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345" w:lineRule="auto"/>
        <w:ind w:left="4929" w:right="4" w:firstLine="3603.000000000001"/>
        <w:jc w:val="right"/>
        <w:rPr>
          <w:sz w:val="18"/>
          <w:szCs w:val="18"/>
        </w:rPr>
      </w:pPr>
      <w:r w:rsidDel="00000000" w:rsidR="00000000" w:rsidRPr="00000000">
        <w:rPr>
          <w:rFonts w:ascii="Nyala" w:cs="Nyala" w:eastAsia="Nyala" w:hAnsi="Nyala"/>
          <w:color w:val="231f20"/>
          <w:sz w:val="18"/>
          <w:szCs w:val="18"/>
          <w:rtl w:val="0"/>
        </w:rPr>
        <w:t xml:space="preserve">ቁጥር 21 (የኮሚቴውን አስተያየት ቁጥር 615፣ ጥር 2015 ይተካል)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4571</wp:posOffset>
                </wp:positionH>
                <wp:positionV relativeFrom="paragraph">
                  <wp:posOffset>-384781</wp:posOffset>
                </wp:positionV>
                <wp:extent cx="6001385" cy="302895"/>
                <wp:effectExtent b="0" l="0" r="0" t="0"/>
                <wp:wrapNone/>
                <wp:docPr id="17" name=""/>
                <a:graphic>
                  <a:graphicData uri="http://schemas.microsoft.com/office/word/2010/wordprocessingGroup">
                    <wpg:wgp>
                      <wpg:cNvGrpSpPr/>
                      <wpg:grpSpPr>
                        <a:xfrm>
                          <a:off x="2345300" y="3628550"/>
                          <a:ext cx="6001385" cy="302895"/>
                          <a:chOff x="2345300" y="3628550"/>
                          <a:chExt cx="6001575" cy="302900"/>
                        </a:xfrm>
                      </wpg:grpSpPr>
                      <wpg:grpSp>
                        <wpg:cNvGrpSpPr/>
                        <wpg:grpSpPr>
                          <a:xfrm>
                            <a:off x="2345308" y="3628553"/>
                            <a:ext cx="6001562" cy="302875"/>
                            <a:chOff x="0" y="0"/>
                            <a:chExt cx="6001562" cy="302875"/>
                          </a:xfrm>
                        </wpg:grpSpPr>
                        <wps:wsp>
                          <wps:cNvSpPr/>
                          <wps:cNvPr id="13" name="Shape 13"/>
                          <wps:spPr>
                            <a:xfrm>
                              <a:off x="0" y="0"/>
                              <a:ext cx="6001375" cy="30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6001385" cy="38735"/>
                            </a:xfrm>
                            <a:custGeom>
                              <a:rect b="b" l="l" r="r" t="t"/>
                              <a:pathLst>
                                <a:path extrusionOk="0" h="38735" w="6001385">
                                  <a:moveTo>
                                    <a:pt x="6001194" y="0"/>
                                  </a:moveTo>
                                  <a:lnTo>
                                    <a:pt x="0" y="0"/>
                                  </a:lnTo>
                                  <a:lnTo>
                                    <a:pt x="0" y="38159"/>
                                  </a:lnTo>
                                  <a:lnTo>
                                    <a:pt x="6001194" y="38159"/>
                                  </a:lnTo>
                                  <a:lnTo>
                                    <a:pt x="6001194" y="0"/>
                                  </a:lnTo>
                                  <a:close/>
                                </a:path>
                              </a:pathLst>
                            </a:custGeom>
                            <a:solidFill>
                              <a:srgbClr val="231F20"/>
                            </a:solidFill>
                            <a:ln>
                              <a:noFill/>
                            </a:ln>
                          </wps:spPr>
                          <wps:bodyPr anchorCtr="0" anchor="ctr" bIns="91425" lIns="91425" spcFirstLastPara="1" rIns="91425" wrap="square" tIns="91425">
                            <a:noAutofit/>
                          </wps:bodyPr>
                        </wps:wsp>
                        <wps:wsp>
                          <wps:cNvSpPr/>
                          <wps:cNvPr id="24" name="Shape 24"/>
                          <wps:spPr>
                            <a:xfrm>
                              <a:off x="3406317" y="36711"/>
                              <a:ext cx="2595245" cy="266065"/>
                            </a:xfrm>
                            <a:prstGeom prst="rect">
                              <a:avLst/>
                            </a:prstGeom>
                            <a:solidFill>
                              <a:srgbClr val="231F20"/>
                            </a:solidFill>
                            <a:ln>
                              <a:noFill/>
                            </a:ln>
                          </wps:spPr>
                          <wps:txbx>
                            <w:txbxContent>
                              <w:p w:rsidR="00000000" w:rsidDel="00000000" w:rsidP="00000000" w:rsidRDefault="00000000" w:rsidRPr="00000000">
                                <w:pPr>
                                  <w:spacing w:after="0" w:before="75.99999904632568" w:line="240"/>
                                  <w:ind w:left="357.99999237060547" w:right="0" w:firstLine="357.99999237060547"/>
                                  <w:jc w:val="left"/>
                                  <w:textDirection w:val="btLr"/>
                                </w:pPr>
                                <w:r w:rsidDel="00000000" w:rsidR="00000000" w:rsidRPr="00000000">
                                  <w:rPr>
                                    <w:rFonts w:ascii="Lucida Sans" w:cs="Lucida Sans" w:eastAsia="Lucida Sans" w:hAnsi="Lucida Sans"/>
                                    <w:b w:val="0"/>
                                    <w:i w:val="0"/>
                                    <w:smallCaps w:val="0"/>
                                    <w:strike w:val="0"/>
                                    <w:color w:val="ffffff"/>
                                    <w:sz w:val="21"/>
                                    <w:vertAlign w:val="baseline"/>
                                  </w:rPr>
                                  <w:t xml:space="preserve">ACOG COMMITTEE STATEMENT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4571</wp:posOffset>
                </wp:positionH>
                <wp:positionV relativeFrom="paragraph">
                  <wp:posOffset>-384781</wp:posOffset>
                </wp:positionV>
                <wp:extent cx="6001385" cy="302895"/>
                <wp:effectExtent b="0" l="0" r="0" t="0"/>
                <wp:wrapNone/>
                <wp:docPr id="17"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001385" cy="30289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36842</wp:posOffset>
            </wp:positionH>
            <wp:positionV relativeFrom="paragraph">
              <wp:posOffset>159165</wp:posOffset>
            </wp:positionV>
            <wp:extent cx="1245044" cy="195808"/>
            <wp:effectExtent b="0" l="0" r="0" t="0"/>
            <wp:wrapNone/>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45044" cy="195808"/>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wp:posOffset>
                </wp:positionH>
                <wp:positionV relativeFrom="paragraph">
                  <wp:posOffset>-230429</wp:posOffset>
                </wp:positionV>
                <wp:extent cx="1315720" cy="334010"/>
                <wp:effectExtent b="0" l="0" r="0" t="0"/>
                <wp:wrapNone/>
                <wp:docPr id="22" name=""/>
                <a:graphic>
                  <a:graphicData uri="http://schemas.microsoft.com/office/word/2010/wordprocessingShape">
                    <wps:wsp>
                      <wps:cNvSpPr/>
                      <wps:cNvPr id="29" name="Shape 29"/>
                      <wps:spPr>
                        <a:xfrm>
                          <a:off x="4692903" y="3617758"/>
                          <a:ext cx="1306195" cy="324485"/>
                        </a:xfrm>
                        <a:custGeom>
                          <a:rect b="b" l="l" r="r" t="t"/>
                          <a:pathLst>
                            <a:path extrusionOk="0" h="324485" w="1306195">
                              <a:moveTo>
                                <a:pt x="113601" y="260032"/>
                              </a:moveTo>
                              <a:lnTo>
                                <a:pt x="99263" y="257340"/>
                              </a:lnTo>
                              <a:lnTo>
                                <a:pt x="85115" y="254114"/>
                              </a:lnTo>
                              <a:lnTo>
                                <a:pt x="71170" y="250380"/>
                              </a:lnTo>
                              <a:lnTo>
                                <a:pt x="57442" y="246138"/>
                              </a:lnTo>
                              <a:lnTo>
                                <a:pt x="29667" y="318973"/>
                              </a:lnTo>
                              <a:lnTo>
                                <a:pt x="29565" y="319252"/>
                              </a:lnTo>
                              <a:lnTo>
                                <a:pt x="91973" y="318973"/>
                              </a:lnTo>
                              <a:lnTo>
                                <a:pt x="113601" y="260032"/>
                              </a:lnTo>
                              <a:close/>
                            </a:path>
                            <a:path extrusionOk="0" h="324485" w="1306195">
                              <a:moveTo>
                                <a:pt x="267754" y="164846"/>
                              </a:moveTo>
                              <a:lnTo>
                                <a:pt x="236816" y="83807"/>
                              </a:lnTo>
                              <a:lnTo>
                                <a:pt x="207606" y="7264"/>
                              </a:lnTo>
                              <a:lnTo>
                                <a:pt x="207505" y="6997"/>
                              </a:lnTo>
                              <a:lnTo>
                                <a:pt x="148513" y="7264"/>
                              </a:lnTo>
                              <a:lnTo>
                                <a:pt x="88430" y="164846"/>
                              </a:lnTo>
                              <a:lnTo>
                                <a:pt x="102006" y="168757"/>
                              </a:lnTo>
                              <a:lnTo>
                                <a:pt x="115849" y="172021"/>
                              </a:lnTo>
                              <a:lnTo>
                                <a:pt x="129933" y="174637"/>
                              </a:lnTo>
                              <a:lnTo>
                                <a:pt x="144233" y="176580"/>
                              </a:lnTo>
                              <a:lnTo>
                                <a:pt x="178295" y="83807"/>
                              </a:lnTo>
                              <a:lnTo>
                                <a:pt x="212547" y="176466"/>
                              </a:lnTo>
                              <a:lnTo>
                                <a:pt x="226682" y="174498"/>
                              </a:lnTo>
                              <a:lnTo>
                                <a:pt x="240601" y="171894"/>
                              </a:lnTo>
                              <a:lnTo>
                                <a:pt x="253784" y="168757"/>
                              </a:lnTo>
                              <a:lnTo>
                                <a:pt x="267411" y="164846"/>
                              </a:lnTo>
                              <a:lnTo>
                                <a:pt x="267754" y="164846"/>
                              </a:lnTo>
                              <a:close/>
                            </a:path>
                            <a:path extrusionOk="0" h="324485" w="1306195">
                              <a:moveTo>
                                <a:pt x="293827" y="232016"/>
                              </a:moveTo>
                              <a:lnTo>
                                <a:pt x="279031" y="193459"/>
                              </a:lnTo>
                              <a:lnTo>
                                <a:pt x="273367" y="178663"/>
                              </a:lnTo>
                              <a:lnTo>
                                <a:pt x="250545" y="185000"/>
                              </a:lnTo>
                              <a:lnTo>
                                <a:pt x="227076" y="189623"/>
                              </a:lnTo>
                              <a:lnTo>
                                <a:pt x="203022" y="192468"/>
                              </a:lnTo>
                              <a:lnTo>
                                <a:pt x="178473" y="193459"/>
                              </a:lnTo>
                              <a:lnTo>
                                <a:pt x="177888" y="193459"/>
                              </a:lnTo>
                              <a:lnTo>
                                <a:pt x="135686" y="190639"/>
                              </a:lnTo>
                              <a:lnTo>
                                <a:pt x="95186" y="182410"/>
                              </a:lnTo>
                              <a:lnTo>
                                <a:pt x="56730" y="169151"/>
                              </a:lnTo>
                              <a:lnTo>
                                <a:pt x="20675" y="151257"/>
                              </a:lnTo>
                              <a:lnTo>
                                <a:pt x="0" y="205155"/>
                              </a:lnTo>
                              <a:lnTo>
                                <a:pt x="41046" y="224447"/>
                              </a:lnTo>
                              <a:lnTo>
                                <a:pt x="84632" y="238683"/>
                              </a:lnTo>
                              <a:lnTo>
                                <a:pt x="130365" y="247510"/>
                              </a:lnTo>
                              <a:lnTo>
                                <a:pt x="177876" y="250520"/>
                              </a:lnTo>
                              <a:lnTo>
                                <a:pt x="178574" y="250520"/>
                              </a:lnTo>
                              <a:lnTo>
                                <a:pt x="208445" y="249275"/>
                              </a:lnTo>
                              <a:lnTo>
                                <a:pt x="237667" y="245719"/>
                              </a:lnTo>
                              <a:lnTo>
                                <a:pt x="266153" y="239928"/>
                              </a:lnTo>
                              <a:lnTo>
                                <a:pt x="293827" y="232016"/>
                              </a:lnTo>
                              <a:close/>
                            </a:path>
                            <a:path extrusionOk="0" h="324485" w="1306195">
                              <a:moveTo>
                                <a:pt x="326212" y="317919"/>
                              </a:moveTo>
                              <a:lnTo>
                                <a:pt x="298754" y="246024"/>
                              </a:lnTo>
                              <a:lnTo>
                                <a:pt x="285203" y="250228"/>
                              </a:lnTo>
                              <a:lnTo>
                                <a:pt x="271449" y="253936"/>
                              </a:lnTo>
                              <a:lnTo>
                                <a:pt x="257505" y="257136"/>
                              </a:lnTo>
                              <a:lnTo>
                                <a:pt x="243370" y="259829"/>
                              </a:lnTo>
                              <a:lnTo>
                                <a:pt x="264858" y="317919"/>
                              </a:lnTo>
                              <a:lnTo>
                                <a:pt x="264960" y="318185"/>
                              </a:lnTo>
                              <a:lnTo>
                                <a:pt x="326212" y="317919"/>
                              </a:lnTo>
                              <a:close/>
                            </a:path>
                            <a:path extrusionOk="0" h="324485" w="1306195">
                              <a:moveTo>
                                <a:pt x="615950" y="247967"/>
                              </a:moveTo>
                              <a:lnTo>
                                <a:pt x="565950" y="214642"/>
                              </a:lnTo>
                              <a:lnTo>
                                <a:pt x="549998" y="234861"/>
                              </a:lnTo>
                              <a:lnTo>
                                <a:pt x="529513" y="250469"/>
                              </a:lnTo>
                              <a:lnTo>
                                <a:pt x="505421" y="260553"/>
                              </a:lnTo>
                              <a:lnTo>
                                <a:pt x="478650" y="264147"/>
                              </a:lnTo>
                              <a:lnTo>
                                <a:pt x="450913" y="260388"/>
                              </a:lnTo>
                              <a:lnTo>
                                <a:pt x="426085" y="249694"/>
                              </a:lnTo>
                              <a:lnTo>
                                <a:pt x="405180" y="233108"/>
                              </a:lnTo>
                              <a:lnTo>
                                <a:pt x="389267" y="211658"/>
                              </a:lnTo>
                              <a:lnTo>
                                <a:pt x="332816" y="233324"/>
                              </a:lnTo>
                              <a:lnTo>
                                <a:pt x="357746" y="270294"/>
                              </a:lnTo>
                              <a:lnTo>
                                <a:pt x="391655" y="299046"/>
                              </a:lnTo>
                              <a:lnTo>
                                <a:pt x="432625" y="317665"/>
                              </a:lnTo>
                              <a:lnTo>
                                <a:pt x="478751" y="324218"/>
                              </a:lnTo>
                              <a:lnTo>
                                <a:pt x="520585" y="318693"/>
                              </a:lnTo>
                              <a:lnTo>
                                <a:pt x="558330" y="303187"/>
                              </a:lnTo>
                              <a:lnTo>
                                <a:pt x="590588" y="279146"/>
                              </a:lnTo>
                              <a:lnTo>
                                <a:pt x="602780" y="264147"/>
                              </a:lnTo>
                              <a:lnTo>
                                <a:pt x="615950" y="247967"/>
                              </a:lnTo>
                              <a:close/>
                            </a:path>
                            <a:path extrusionOk="0" h="324485" w="1306195">
                              <a:moveTo>
                                <a:pt x="622541" y="87833"/>
                              </a:moveTo>
                              <a:lnTo>
                                <a:pt x="603046" y="60071"/>
                              </a:lnTo>
                              <a:lnTo>
                                <a:pt x="597420" y="52057"/>
                              </a:lnTo>
                              <a:lnTo>
                                <a:pt x="563791" y="24295"/>
                              </a:lnTo>
                              <a:lnTo>
                                <a:pt x="523443" y="6337"/>
                              </a:lnTo>
                              <a:lnTo>
                                <a:pt x="478167" y="0"/>
                              </a:lnTo>
                              <a:lnTo>
                                <a:pt x="435076" y="5880"/>
                              </a:lnTo>
                              <a:lnTo>
                                <a:pt x="396379" y="22288"/>
                              </a:lnTo>
                              <a:lnTo>
                                <a:pt x="363613" y="47701"/>
                              </a:lnTo>
                              <a:lnTo>
                                <a:pt x="338328" y="80556"/>
                              </a:lnTo>
                              <a:lnTo>
                                <a:pt x="322059" y="119303"/>
                              </a:lnTo>
                              <a:lnTo>
                                <a:pt x="316357" y="162407"/>
                              </a:lnTo>
                              <a:lnTo>
                                <a:pt x="316979" y="176428"/>
                              </a:lnTo>
                              <a:lnTo>
                                <a:pt x="318770" y="190119"/>
                              </a:lnTo>
                              <a:lnTo>
                                <a:pt x="321691" y="203415"/>
                              </a:lnTo>
                              <a:lnTo>
                                <a:pt x="325666" y="216281"/>
                              </a:lnTo>
                              <a:lnTo>
                                <a:pt x="381787" y="194729"/>
                              </a:lnTo>
                              <a:lnTo>
                                <a:pt x="379488" y="186969"/>
                              </a:lnTo>
                              <a:lnTo>
                                <a:pt x="377812" y="178955"/>
                              </a:lnTo>
                              <a:lnTo>
                                <a:pt x="376783" y="170726"/>
                              </a:lnTo>
                              <a:lnTo>
                                <a:pt x="376428" y="162407"/>
                              </a:lnTo>
                              <a:lnTo>
                                <a:pt x="384365" y="122580"/>
                              </a:lnTo>
                              <a:lnTo>
                                <a:pt x="406171" y="90093"/>
                              </a:lnTo>
                              <a:lnTo>
                                <a:pt x="438556" y="68173"/>
                              </a:lnTo>
                              <a:lnTo>
                                <a:pt x="478269" y="60071"/>
                              </a:lnTo>
                              <a:lnTo>
                                <a:pt x="508406" y="64554"/>
                              </a:lnTo>
                              <a:lnTo>
                                <a:pt x="535000" y="77177"/>
                              </a:lnTo>
                              <a:lnTo>
                                <a:pt x="556666" y="96596"/>
                              </a:lnTo>
                              <a:lnTo>
                                <a:pt x="572071" y="121462"/>
                              </a:lnTo>
                              <a:lnTo>
                                <a:pt x="622541" y="87833"/>
                              </a:lnTo>
                              <a:close/>
                            </a:path>
                            <a:path extrusionOk="0" h="324485" w="1306195">
                              <a:moveTo>
                                <a:pt x="954493" y="177825"/>
                              </a:moveTo>
                              <a:lnTo>
                                <a:pt x="893978" y="177825"/>
                              </a:lnTo>
                              <a:lnTo>
                                <a:pt x="882218" y="211899"/>
                              </a:lnTo>
                              <a:lnTo>
                                <a:pt x="859929" y="239255"/>
                              </a:lnTo>
                              <a:lnTo>
                                <a:pt x="829487" y="257492"/>
                              </a:lnTo>
                              <a:lnTo>
                                <a:pt x="793343" y="264147"/>
                              </a:lnTo>
                              <a:lnTo>
                                <a:pt x="770597" y="261645"/>
                              </a:lnTo>
                              <a:lnTo>
                                <a:pt x="749655" y="254431"/>
                              </a:lnTo>
                              <a:lnTo>
                                <a:pt x="731050" y="243065"/>
                              </a:lnTo>
                              <a:lnTo>
                                <a:pt x="715340" y="228092"/>
                              </a:lnTo>
                              <a:lnTo>
                                <a:pt x="664057" y="260146"/>
                              </a:lnTo>
                              <a:lnTo>
                                <a:pt x="689368" y="286626"/>
                              </a:lnTo>
                              <a:lnTo>
                                <a:pt x="720077" y="306844"/>
                              </a:lnTo>
                              <a:lnTo>
                                <a:pt x="755129" y="319735"/>
                              </a:lnTo>
                              <a:lnTo>
                                <a:pt x="793457" y="324218"/>
                              </a:lnTo>
                              <a:lnTo>
                                <a:pt x="841743" y="316814"/>
                              </a:lnTo>
                              <a:lnTo>
                                <a:pt x="884212" y="296252"/>
                              </a:lnTo>
                              <a:lnTo>
                                <a:pt x="918629" y="264756"/>
                              </a:lnTo>
                              <a:lnTo>
                                <a:pt x="918984" y="264147"/>
                              </a:lnTo>
                              <a:lnTo>
                                <a:pt x="942784" y="224536"/>
                              </a:lnTo>
                              <a:lnTo>
                                <a:pt x="954493" y="177825"/>
                              </a:lnTo>
                              <a:close/>
                            </a:path>
                            <a:path extrusionOk="0" h="324485" w="1306195">
                              <a:moveTo>
                                <a:pt x="955192" y="159334"/>
                              </a:moveTo>
                              <a:lnTo>
                                <a:pt x="946238" y="108813"/>
                              </a:lnTo>
                              <a:lnTo>
                                <a:pt x="922934" y="65036"/>
                              </a:lnTo>
                              <a:lnTo>
                                <a:pt x="887869" y="30568"/>
                              </a:lnTo>
                              <a:lnTo>
                                <a:pt x="843648" y="8039"/>
                              </a:lnTo>
                              <a:lnTo>
                                <a:pt x="792861" y="0"/>
                              </a:lnTo>
                              <a:lnTo>
                                <a:pt x="749769" y="5880"/>
                              </a:lnTo>
                              <a:lnTo>
                                <a:pt x="711073" y="22288"/>
                              </a:lnTo>
                              <a:lnTo>
                                <a:pt x="678307" y="47701"/>
                              </a:lnTo>
                              <a:lnTo>
                                <a:pt x="653021" y="80556"/>
                              </a:lnTo>
                              <a:lnTo>
                                <a:pt x="636752" y="119303"/>
                              </a:lnTo>
                              <a:lnTo>
                                <a:pt x="631050" y="162407"/>
                              </a:lnTo>
                              <a:lnTo>
                                <a:pt x="632587" y="184594"/>
                              </a:lnTo>
                              <a:lnTo>
                                <a:pt x="637032" y="205854"/>
                              </a:lnTo>
                              <a:lnTo>
                                <a:pt x="644144" y="225983"/>
                              </a:lnTo>
                              <a:lnTo>
                                <a:pt x="653732" y="244805"/>
                              </a:lnTo>
                              <a:lnTo>
                                <a:pt x="704697" y="212953"/>
                              </a:lnTo>
                              <a:lnTo>
                                <a:pt x="698957" y="201345"/>
                              </a:lnTo>
                              <a:lnTo>
                                <a:pt x="694690" y="188963"/>
                              </a:lnTo>
                              <a:lnTo>
                                <a:pt x="692035" y="175907"/>
                              </a:lnTo>
                              <a:lnTo>
                                <a:pt x="691121" y="162407"/>
                              </a:lnTo>
                              <a:lnTo>
                                <a:pt x="691705" y="159334"/>
                              </a:lnTo>
                              <a:lnTo>
                                <a:pt x="699058" y="122567"/>
                              </a:lnTo>
                              <a:lnTo>
                                <a:pt x="720864" y="90093"/>
                              </a:lnTo>
                              <a:lnTo>
                                <a:pt x="753262" y="68173"/>
                              </a:lnTo>
                              <a:lnTo>
                                <a:pt x="792975" y="60071"/>
                              </a:lnTo>
                              <a:lnTo>
                                <a:pt x="832129" y="67792"/>
                              </a:lnTo>
                              <a:lnTo>
                                <a:pt x="864285" y="89001"/>
                              </a:lnTo>
                              <a:lnTo>
                                <a:pt x="886320" y="120548"/>
                              </a:lnTo>
                              <a:lnTo>
                                <a:pt x="895108" y="159334"/>
                              </a:lnTo>
                              <a:lnTo>
                                <a:pt x="955192" y="159334"/>
                              </a:lnTo>
                              <a:close/>
                            </a:path>
                            <a:path extrusionOk="0" h="324485" w="1306195">
                              <a:moveTo>
                                <a:pt x="1286637" y="85559"/>
                              </a:moveTo>
                              <a:lnTo>
                                <a:pt x="1261414" y="50660"/>
                              </a:lnTo>
                              <a:lnTo>
                                <a:pt x="1227988" y="23622"/>
                              </a:lnTo>
                              <a:lnTo>
                                <a:pt x="1188097" y="6159"/>
                              </a:lnTo>
                              <a:lnTo>
                                <a:pt x="1143444" y="0"/>
                              </a:lnTo>
                              <a:lnTo>
                                <a:pt x="1092784" y="8178"/>
                              </a:lnTo>
                              <a:lnTo>
                                <a:pt x="1048702" y="30784"/>
                              </a:lnTo>
                              <a:lnTo>
                                <a:pt x="1013790" y="65239"/>
                              </a:lnTo>
                              <a:lnTo>
                                <a:pt x="990600" y="108953"/>
                              </a:lnTo>
                              <a:lnTo>
                                <a:pt x="981710" y="159334"/>
                              </a:lnTo>
                              <a:lnTo>
                                <a:pt x="1041781" y="159334"/>
                              </a:lnTo>
                              <a:lnTo>
                                <a:pt x="1050505" y="120650"/>
                              </a:lnTo>
                              <a:lnTo>
                                <a:pt x="1072451" y="89128"/>
                              </a:lnTo>
                              <a:lnTo>
                                <a:pt x="1104493" y="67894"/>
                              </a:lnTo>
                              <a:lnTo>
                                <a:pt x="1143558" y="60071"/>
                              </a:lnTo>
                              <a:lnTo>
                                <a:pt x="1173073" y="64363"/>
                              </a:lnTo>
                              <a:lnTo>
                                <a:pt x="1199210" y="76479"/>
                              </a:lnTo>
                              <a:lnTo>
                                <a:pt x="1220698" y="95161"/>
                              </a:lnTo>
                              <a:lnTo>
                                <a:pt x="1236281" y="119126"/>
                              </a:lnTo>
                              <a:lnTo>
                                <a:pt x="1286637" y="85559"/>
                              </a:lnTo>
                              <a:close/>
                            </a:path>
                            <a:path extrusionOk="0" h="324485" w="1306195">
                              <a:moveTo>
                                <a:pt x="1305852" y="161823"/>
                              </a:moveTo>
                              <a:lnTo>
                                <a:pt x="1305839" y="157492"/>
                              </a:lnTo>
                              <a:lnTo>
                                <a:pt x="1305610" y="153238"/>
                              </a:lnTo>
                              <a:lnTo>
                                <a:pt x="1305280" y="148996"/>
                              </a:lnTo>
                              <a:lnTo>
                                <a:pt x="1119695" y="148996"/>
                              </a:lnTo>
                              <a:lnTo>
                                <a:pt x="1119695" y="201828"/>
                              </a:lnTo>
                              <a:lnTo>
                                <a:pt x="1237754" y="201828"/>
                              </a:lnTo>
                              <a:lnTo>
                                <a:pt x="1222502" y="226987"/>
                              </a:lnTo>
                              <a:lnTo>
                                <a:pt x="1200861" y="246672"/>
                              </a:lnTo>
                              <a:lnTo>
                                <a:pt x="1174216" y="259524"/>
                              </a:lnTo>
                              <a:lnTo>
                                <a:pt x="1143939" y="264147"/>
                              </a:lnTo>
                              <a:lnTo>
                                <a:pt x="1107668" y="257594"/>
                              </a:lnTo>
                              <a:lnTo>
                                <a:pt x="1077099" y="239395"/>
                              </a:lnTo>
                              <a:lnTo>
                                <a:pt x="1054696" y="211988"/>
                              </a:lnTo>
                              <a:lnTo>
                                <a:pt x="1042911" y="177825"/>
                              </a:lnTo>
                              <a:lnTo>
                                <a:pt x="982408" y="177825"/>
                              </a:lnTo>
                              <a:lnTo>
                                <a:pt x="994156" y="224663"/>
                              </a:lnTo>
                              <a:lnTo>
                                <a:pt x="1018438" y="264947"/>
                              </a:lnTo>
                              <a:lnTo>
                                <a:pt x="1052995" y="296456"/>
                              </a:lnTo>
                              <a:lnTo>
                                <a:pt x="1095603" y="316953"/>
                              </a:lnTo>
                              <a:lnTo>
                                <a:pt x="1144041" y="324218"/>
                              </a:lnTo>
                              <a:lnTo>
                                <a:pt x="1187119" y="318350"/>
                              </a:lnTo>
                              <a:lnTo>
                                <a:pt x="1225816" y="301929"/>
                              </a:lnTo>
                              <a:lnTo>
                                <a:pt x="1258570" y="276529"/>
                              </a:lnTo>
                              <a:lnTo>
                                <a:pt x="1268095" y="264147"/>
                              </a:lnTo>
                              <a:lnTo>
                                <a:pt x="1283855" y="243674"/>
                              </a:lnTo>
                              <a:lnTo>
                                <a:pt x="1300124" y="204927"/>
                              </a:lnTo>
                              <a:lnTo>
                                <a:pt x="1305852" y="161823"/>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wp:posOffset>
                </wp:positionH>
                <wp:positionV relativeFrom="paragraph">
                  <wp:posOffset>-230429</wp:posOffset>
                </wp:positionV>
                <wp:extent cx="1315720" cy="334010"/>
                <wp:effectExtent b="0" l="0" r="0" t="0"/>
                <wp:wrapNone/>
                <wp:docPr id="22"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315720" cy="334010"/>
                        </a:xfrm>
                        <a:prstGeom prst="rect"/>
                        <a:ln/>
                      </pic:spPr>
                    </pic:pic>
                  </a:graphicData>
                </a:graphic>
              </wp:anchor>
            </w:drawing>
          </mc:Fallback>
        </mc:AlternateContent>
      </w:r>
    </w:p>
    <w:p w:rsidR="00000000" w:rsidDel="00000000" w:rsidP="00000000" w:rsidRDefault="00000000" w:rsidRPr="00000000" w14:paraId="00000004">
      <w:pPr>
        <w:spacing w:before="2" w:lineRule="auto"/>
        <w:ind w:left="0" w:right="4" w:firstLine="0"/>
        <w:jc w:val="right"/>
        <w:rPr>
          <w:sz w:val="18"/>
          <w:szCs w:val="18"/>
        </w:rPr>
      </w:pPr>
      <w:r w:rsidDel="00000000" w:rsidR="00000000" w:rsidRPr="00000000">
        <w:rPr>
          <w:rFonts w:ascii="Nyala" w:cs="Nyala" w:eastAsia="Nyala" w:hAnsi="Nyala"/>
          <w:color w:val="231f20"/>
          <w:sz w:val="18"/>
          <w:szCs w:val="18"/>
          <w:rtl w:val="0"/>
        </w:rPr>
        <w:t xml:space="preserve">ህዳር 2025</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7"/>
        <w:rPr/>
      </w:pPr>
      <w:r w:rsidDel="00000000" w:rsidR="00000000" w:rsidRPr="00000000">
        <w:rPr>
          <w:color w:val="231f20"/>
          <w:rtl w:val="0"/>
        </w:rPr>
        <w:t xml:space="preserve">የእርግዝና መከላከያ ተደራሽነት</w:t>
      </w:r>
      <w:r w:rsidDel="00000000" w:rsidR="00000000" w:rsidRPr="00000000">
        <w:rPr>
          <w:rtl w:val="0"/>
        </w:rPr>
      </w:r>
    </w:p>
    <w:p w:rsidR="00000000" w:rsidDel="00000000" w:rsidP="00000000" w:rsidRDefault="00000000" w:rsidRPr="00000000" w14:paraId="00000008">
      <w:pPr>
        <w:spacing w:before="239" w:line="264" w:lineRule="auto"/>
        <w:ind w:left="7" w:right="0" w:hanging="0.9999999999999998"/>
        <w:jc w:val="left"/>
        <w:rPr>
          <w:sz w:val="19"/>
          <w:szCs w:val="19"/>
        </w:rPr>
      </w:pPr>
      <w:r w:rsidDel="00000000" w:rsidR="00000000" w:rsidRPr="00000000">
        <w:rPr>
          <w:rFonts w:ascii="Nyala" w:cs="Nyala" w:eastAsia="Nyala" w:hAnsi="Nyala"/>
          <w:color w:val="231f20"/>
          <w:sz w:val="19"/>
          <w:szCs w:val="19"/>
          <w:rtl w:val="0"/>
        </w:rPr>
        <w:t xml:space="preserve">ይህ የኮሚቴ መግለጫ የተዘጋጀው በአሜሪካ የፅንስና የማህፀን ሐኪሞች ኮሌጅ የፅንስና የማህፀን ሕክምና ፍትሃዊነትን በማሳደግ ኮሚቴ ከአን ቤይለር፣ ኤምዲ እና ኖህ ናቴል፣ ኤምዲ፣ ኤምዲ ጋር በመተባበር ነው።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wp:posOffset>
                </wp:positionH>
                <wp:positionV relativeFrom="paragraph">
                  <wp:posOffset>577411</wp:posOffset>
                </wp:positionV>
                <wp:extent cx="6007735" cy="46990"/>
                <wp:effectExtent b="0" l="0" r="0" t="0"/>
                <wp:wrapNone/>
                <wp:docPr id="8" name=""/>
                <a:graphic>
                  <a:graphicData uri="http://schemas.microsoft.com/office/word/2010/wordprocessingShape">
                    <wps:wsp>
                      <wps:cNvSpPr/>
                      <wps:cNvPr id="9" name="Shape 9"/>
                      <wps:spPr>
                        <a:xfrm>
                          <a:off x="2346895" y="3761268"/>
                          <a:ext cx="5998210" cy="37465"/>
                        </a:xfrm>
                        <a:custGeom>
                          <a:rect b="b" l="l" r="r" t="t"/>
                          <a:pathLst>
                            <a:path extrusionOk="0" h="37465" w="5998210">
                              <a:moveTo>
                                <a:pt x="5997600" y="0"/>
                              </a:moveTo>
                              <a:lnTo>
                                <a:pt x="0" y="0"/>
                              </a:lnTo>
                              <a:lnTo>
                                <a:pt x="0" y="37439"/>
                              </a:lnTo>
                              <a:lnTo>
                                <a:pt x="5997600" y="37439"/>
                              </a:lnTo>
                              <a:lnTo>
                                <a:pt x="5997600"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wp:posOffset>
                </wp:positionH>
                <wp:positionV relativeFrom="paragraph">
                  <wp:posOffset>577411</wp:posOffset>
                </wp:positionV>
                <wp:extent cx="6007735" cy="46990"/>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07735" cy="4699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የሚፈለገውን የእርግዝና መከላከያ ማግኘት እርጉዝ መሆን ለሚችሉ ሰዎች ጤና እና ደህንነት አስፈላጊ ነው፤ የማህበራዊ እና መዋቅራዊ ኃይሎች በጾታዊ እና በመራቢያ ጤና ላይ ያላቸውን ትስስር የሚያረጋግጥ የመራቢያ ፍትህ ማዕቀፍ ለሁሉም ታካሚዎች የወሊድ መከላከያ ፍትሃዊ አቅርቦት ቁልፍ ነው። የማህፀን ሐኪሞች ለእንክብካቤ ማህበራዊ እና መዋቅራዊ እንቅፋቶችን እና የአድልዎ እድልን ማወቅ እና ስለ የእርግዝና መከላከያ ዘዴዎች በጣም የተለመዱ የተሳሳቱ አመለካከቶችን ከእድሜ ጋር በሚስማማ እና ከታካሚው የጤና እውቀት ጋር በሚስማማ መንገድ ለመፍታት መዘጋጀት አለባቸው። ከፋዮች (የክልል፣ የፌዴራል እና የግል መድህን)፣ ሆስፒታሎች እና የጤና እንክብካቤ ስርዓቶች ሁሉንም የአሜሪካ የምግብ እና የመድኃኒት አስተዳደር የፀደቁ ዘዴዎችን በፎርሙላሪ ውስጥ ማካተት አለባቸው እና ያለ ወጪ መጋራት ወይም የጋራ ክፍያዎች ሁሉንም የእርግዝና መከላከያ ዘዴዎች ማግኘትን ማረጋገጥ አለባቸው።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wp:posOffset>
                </wp:positionH>
                <wp:positionV relativeFrom="paragraph">
                  <wp:posOffset>1266766</wp:posOffset>
                </wp:positionV>
                <wp:extent cx="6007735" cy="46990"/>
                <wp:effectExtent b="0" l="0" r="0" t="0"/>
                <wp:wrapNone/>
                <wp:docPr id="4" name=""/>
                <a:graphic>
                  <a:graphicData uri="http://schemas.microsoft.com/office/word/2010/wordprocessingShape">
                    <wps:wsp>
                      <wps:cNvSpPr/>
                      <wps:cNvPr id="5" name="Shape 5"/>
                      <wps:spPr>
                        <a:xfrm>
                          <a:off x="2346895" y="3761268"/>
                          <a:ext cx="5998210" cy="37465"/>
                        </a:xfrm>
                        <a:custGeom>
                          <a:rect b="b" l="l" r="r" t="t"/>
                          <a:pathLst>
                            <a:path extrusionOk="0" h="37465" w="5998210">
                              <a:moveTo>
                                <a:pt x="5997600" y="0"/>
                              </a:moveTo>
                              <a:lnTo>
                                <a:pt x="0" y="0"/>
                              </a:lnTo>
                              <a:lnTo>
                                <a:pt x="0" y="37439"/>
                              </a:lnTo>
                              <a:lnTo>
                                <a:pt x="5997600" y="37439"/>
                              </a:lnTo>
                              <a:lnTo>
                                <a:pt x="5997600"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wp:posOffset>
                </wp:positionH>
                <wp:positionV relativeFrom="paragraph">
                  <wp:posOffset>1266766</wp:posOffset>
                </wp:positionV>
                <wp:extent cx="6007735" cy="46990"/>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07735" cy="4699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8" w:type="default"/>
          <w:footerReference r:id="rId9" w:type="even"/>
          <w:pgSz w:h="15480" w:w="11160" w:orient="portrait"/>
          <w:pgMar w:bottom="1300" w:top="780" w:left="850" w:right="850" w:header="0" w:footer="1072"/>
          <w:pgNumType w:start="88"/>
        </w:sectPr>
      </w:pPr>
      <w:r w:rsidDel="00000000" w:rsidR="00000000" w:rsidRPr="00000000">
        <w:rPr>
          <w:rtl w:val="0"/>
        </w:rPr>
      </w:r>
    </w:p>
    <w:p w:rsidR="00000000" w:rsidDel="00000000" w:rsidP="00000000" w:rsidRDefault="00000000" w:rsidRPr="00000000" w14:paraId="0000000E">
      <w:pPr>
        <w:pStyle w:val="Heading1"/>
        <w:spacing w:before="112" w:line="220" w:lineRule="auto"/>
        <w:ind w:right="203" w:firstLine="7"/>
        <w:rPr/>
      </w:pPr>
      <w:r w:rsidDel="00000000" w:rsidR="00000000" w:rsidRPr="00000000">
        <w:rPr>
          <w:color w:val="231f20"/>
          <w:rtl w:val="0"/>
        </w:rPr>
        <w:t xml:space="preserve">የጥቆማዎች እና የመደምደሚያዎች ማጠቃለያ</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በዚህ የኮሚቴ መግለጫ ውስጥ በተቀመጡት መርሆዎች ላይ በመመስረት፣ የአሜሪካ የፅንስና የማህፀን ሐኪሞች ኮሌጅ (ACOG) የሚከተሉትን ምክሮች ይሰጣል፡</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2"/>
        </w:tabs>
        <w:spacing w:after="0" w:before="67" w:line="232" w:lineRule="auto"/>
        <w:ind w:left="302" w:right="0"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ሐኪሞችና ሌሎች የጤና ባለሙያዎች አንድን ታካሚ ማክበር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የወሊድ መከላከያ ዘዴዎችን በጥያቄ እና ያለ እንቅፋት በመጀመር፣ በመቀጠል፣ በመቀየር ወይም በማቋረጥ የመራቢያ ራስን በራስ የማስተዳደር ነፃነት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2"/>
        </w:tabs>
        <w:spacing w:after="0" w:before="42" w:line="232" w:lineRule="auto"/>
        <w:ind w:left="302" w:right="1"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ከፋዮች (ክፍለ ሀገር፣ ፌዴራል እና የግል መድህን)፣ ሆስፒታሎች እና የጤና እንክብካቤ ስርዓቶች መሆን አለባቸው</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32" w:lineRule="auto"/>
        <w:ind w:left="181" w:right="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ሁሉንም የአሜሪካ የምግብ እና የመድኃኒት አስተዳደርን ያጠቃልላል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በፎርሙላሪ ላይ የጸደቁ ዘዴዎች፣ ለረጅም ጊዜ የሚሠሩ የሚቀለበሱ የእርግዝና መከላከያዎችን ጨምሮ፣ እና ያለ ወጪ መጋራት ወይም የጋራ ክፍያዎች ሁሉንም የእርግዝና መከላከያ ዘዴዎች ማግኘትን ማረጋገጥ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1"/>
        </w:tabs>
        <w:spacing w:after="0" w:before="43" w:line="232" w:lineRule="auto"/>
        <w:ind w:left="181" w:right="3"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የጤና ባለሙያዎች እና የህዝብ ጤና ባለስልጣናት ከእርግዝና መከላከያ አጠቃቀም ጋር በተያያዘ የተሳሳተ መረጃ እና መገለል ለመቀነስ መስራት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1"/>
        </w:tabs>
        <w:spacing w:after="0" w:before="42" w:line="232" w:lineRule="auto"/>
        <w:ind w:left="181" w:right="3" w:hanging="175"/>
        <w:jc w:val="both"/>
        <w:rPr>
          <w:smallCaps w:val="0"/>
          <w:strike w:val="0"/>
          <w:u w:val="none"/>
          <w:shd w:fill="auto" w:val="clear"/>
          <w:vertAlign w:val="baseline"/>
        </w:rPr>
        <w:sectPr>
          <w:type w:val="continuous"/>
          <w:pgSz w:h="15480" w:w="11160" w:orient="portrait"/>
          <w:pgMar w:bottom="1300" w:top="780" w:left="850" w:right="850" w:header="0" w:footer="1072"/>
          <w:cols w:equalWidth="0" w:num="2">
            <w:col w:space="469" w:w="4495.5"/>
            <w:col w:space="0" w:w="4495.5"/>
          </w:cols>
        </w:sect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የፅንስ ሀኪም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የማህፀን ሐኪሞች እና ሌሎች የጤና እንክብካቤ ባለሙያዎች በሁሉም የታካሚ ግንኙነቶች ውስጥ የጋራ ውሳኔ አሰጣጥን መጠቀም አለባቸው፣ ልዩ ለሆኑ ግለሰቦች ልዩ ትኩረት በመስጠት።</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232" w:lineRule="auto"/>
        <w:ind w:left="7" w:right="4" w:firstLine="0"/>
        <w:jc w:val="both"/>
        <w:rPr>
          <w:i w:val="1"/>
          <w:iCs w:val="1"/>
          <w:sz w:val="16"/>
          <w:szCs w:val="16"/>
        </w:rPr>
      </w:pPr>
      <w:r w:rsidDel="00000000" w:rsidR="00000000" w:rsidRPr="00000000">
        <w:rPr>
          <w:rFonts w:ascii="Nyala" w:cs="Nyala" w:eastAsia="Nyala" w:hAnsi="Nyala"/>
          <w:i w:val="1"/>
          <w:iCs w:val="1"/>
          <w:color w:val="231f20"/>
          <w:sz w:val="16"/>
          <w:szCs w:val="16"/>
          <w:rtl w:val="0"/>
        </w:rPr>
        <w:t xml:space="preserve">የአሜሪካ የፅንስና የማህፀን ሐኪሞች ኮሌጅ (ACOG) ህትመቶቹን በየጊዜው ይገመግማል፤ ሆኖም ግን፣ ህትመቶቹ የቅርብ ጊዜ ማስረጃዎችን ላያንፀባርቁ ይችላሉ። የማረጋገጫ ቀን በሰነዱ የመስመር ላይ ስሪት ውስጥ ለመጨረሻ ጊዜ የተገመገመበትን ጊዜ ለማመልከት ተካትቷል። የአሁኑ ሁኔታ እና የዚህ ሰነድ ማንኛውም ዝመናዎች በACOG ክሊኒካል ላይ ማግኘት ይቻላል በACOG ክሊኒካል at ላይ</w:t>
      </w:r>
      <w:hyperlink r:id="rId10">
        <w:r w:rsidDel="00000000" w:rsidR="00000000" w:rsidRPr="00000000">
          <w:rPr>
            <w:i w:val="1"/>
            <w:iCs w:val="1"/>
            <w:color w:val="231f20"/>
            <w:sz w:val="16"/>
            <w:szCs w:val="16"/>
            <w:rtl w:val="0"/>
          </w:rPr>
          <w:t xml:space="preserve">acog.org/lot</w:t>
        </w:r>
      </w:hyperlink>
      <w:r w:rsidDel="00000000" w:rsidR="00000000" w:rsidRPr="00000000">
        <w:rPr>
          <w:i w:val="1"/>
          <w:iCs w:val="1"/>
          <w:color w:val="231f20"/>
          <w:sz w:val="16"/>
          <w:szCs w:val="16"/>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4571</wp:posOffset>
                </wp:positionH>
                <wp:positionV relativeFrom="paragraph">
                  <wp:posOffset>-63100</wp:posOffset>
                </wp:positionV>
                <wp:extent cx="5998210" cy="12700"/>
                <wp:effectExtent b="0" l="0" r="0" t="0"/>
                <wp:wrapNone/>
                <wp:docPr id="13" name=""/>
                <a:graphic>
                  <a:graphicData uri="http://schemas.microsoft.com/office/word/2010/wordprocessingShape">
                    <wps:wsp>
                      <wps:cNvSpPr/>
                      <wps:cNvPr id="18" name="Shape 18"/>
                      <wps:spPr>
                        <a:xfrm>
                          <a:off x="2346895" y="3776825"/>
                          <a:ext cx="5998210" cy="6350"/>
                        </a:xfrm>
                        <a:custGeom>
                          <a:rect b="b" l="l" r="r" t="t"/>
                          <a:pathLst>
                            <a:path extrusionOk="0" h="6350" w="5998210">
                              <a:moveTo>
                                <a:pt x="0" y="0"/>
                              </a:moveTo>
                              <a:lnTo>
                                <a:pt x="5997600" y="0"/>
                              </a:lnTo>
                              <a:lnTo>
                                <a:pt x="5997600" y="5753"/>
                              </a:lnTo>
                              <a:lnTo>
                                <a:pt x="0" y="5753"/>
                              </a:lnTo>
                              <a:lnTo>
                                <a:pt x="0" y="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4571</wp:posOffset>
                </wp:positionH>
                <wp:positionV relativeFrom="paragraph">
                  <wp:posOffset>-63100</wp:posOffset>
                </wp:positionV>
                <wp:extent cx="5998210" cy="12700"/>
                <wp:effectExtent b="0" l="0" r="0" t="0"/>
                <wp:wrapNone/>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998210" cy="12700"/>
                        </a:xfrm>
                        <a:prstGeom prst="rect"/>
                        <a:ln/>
                      </pic:spPr>
                    </pic:pic>
                  </a:graphicData>
                </a:graphic>
              </wp:anchor>
            </w:drawing>
          </mc:Fallback>
        </mc:AlternateContent>
      </w:r>
    </w:p>
    <w:p w:rsidR="00000000" w:rsidDel="00000000" w:rsidP="00000000" w:rsidRDefault="00000000" w:rsidRPr="00000000" w14:paraId="00000019">
      <w:pPr>
        <w:spacing w:before="100" w:line="235" w:lineRule="auto"/>
        <w:ind w:left="7" w:right="4" w:firstLine="0"/>
        <w:jc w:val="both"/>
        <w:rPr>
          <w:i w:val="1"/>
          <w:iCs w:val="1"/>
          <w:sz w:val="16"/>
          <w:szCs w:val="16"/>
        </w:rPr>
      </w:pPr>
      <w:r w:rsidDel="00000000" w:rsidR="00000000" w:rsidRPr="00000000">
        <w:rPr>
          <w:rFonts w:ascii="Nyala" w:cs="Nyala" w:eastAsia="Nyala" w:hAnsi="Nyala"/>
          <w:i w:val="1"/>
          <w:iCs w:val="1"/>
          <w:color w:val="231f20"/>
          <w:sz w:val="16"/>
          <w:szCs w:val="16"/>
          <w:rtl w:val="0"/>
        </w:rPr>
        <w:t xml:space="preserve">ይህ መረጃ ክሊኒኮች የወሊድ እና የማህፀን ህክምና አገልግሎት እንዲሰጡ ለመርዳት እንደ የትምህርት ግብዓት የተነደፈ ሲሆን የዚህ መረጃ አጠቃቀም በፈቃደኝነት የሚደረግ ነው። ይህ መረጃ ሁሉንም ተገቢ ህክምናዎች ወይም የእንክብካቤ ዘዴዎችን ወይም የእንክብካቤ ደረጃን የሚያካትት ተደርጎ መወሰድ የለበትም። የሕክምና ባለሙያውን ገለልተኛ የባለሙያ ፍርድ ለመተካት የታሰበ አይደለም። በሕክምና ባለሙያው ምክንያታዊ ፍርድ ውስጥ እንዲህ ዓይነቱ እርምጃ በታካሚው ሁኔታ፣ በሚገኙ ሀብቶች ውስንነቶች ወይም በእውቀት ወይም በቴክኖሎጂ እድገት ሲገለጽ በተግባር ላይ ያሉ ልዩነቶች ሊጠየቁ ይችላሉ።</w:t>
      </w:r>
      <w:r w:rsidDel="00000000" w:rsidR="00000000" w:rsidRPr="00000000">
        <w:rPr>
          <w:rtl w:val="0"/>
        </w:rPr>
      </w:r>
    </w:p>
    <w:p w:rsidR="00000000" w:rsidDel="00000000" w:rsidP="00000000" w:rsidRDefault="00000000" w:rsidRPr="00000000" w14:paraId="0000001A">
      <w:pPr>
        <w:spacing w:before="97" w:line="232" w:lineRule="auto"/>
        <w:ind w:left="7" w:right="4" w:firstLine="0"/>
        <w:jc w:val="both"/>
        <w:rPr>
          <w:i w:val="1"/>
          <w:iCs w:val="1"/>
          <w:sz w:val="16"/>
          <w:szCs w:val="16"/>
        </w:rPr>
        <w:sectPr>
          <w:type w:val="continuous"/>
          <w:pgSz w:h="15480" w:w="11160" w:orient="portrait"/>
          <w:pgMar w:bottom="1300" w:top="780" w:left="850" w:right="850" w:header="0" w:footer="1072"/>
        </w:sectPr>
      </w:pPr>
      <w:r w:rsidDel="00000000" w:rsidR="00000000" w:rsidRPr="00000000">
        <w:rPr>
          <w:rFonts w:ascii="Nyala" w:cs="Nyala" w:eastAsia="Nyala" w:hAnsi="Nyala"/>
          <w:i w:val="1"/>
          <w:iCs w:val="1"/>
          <w:color w:val="231f20"/>
          <w:sz w:val="16"/>
          <w:szCs w:val="16"/>
          <w:rtl w:val="0"/>
        </w:rPr>
        <w:t xml:space="preserve">ACOG ትክክለኛ እና አስተማማኝ መረጃን ለማቅረብ የተቻለውን ሁሉ ጥረት ቢያደርግም፣ ይህ ህትመት ያለምንም ትክክለኛነት፣ አስተማማኝነት ወይም በሌላ መልኩ በግልጽም ሆነ በተዘዋዋሪ ምንም አይነት ዋስትና ሳይሰጥ "እንዳለ" ይቀርባል። ACOG የማንኛውም ድርጅት፣ ድርጅት ወይም ሰው ምርቶችን ወይም አገልግሎቶችን ዋስትና አይሰጥም፣ ዋስትና አይሰጥም ወይም አያጸድቅም። ACOGም ሆነ ኃላፊዎቹ፣ ዳይሬክተሮቹ፣ አባላቱ፣ ሰራተኞቹ ወይም ወኪሎቹ ከዚህ ህትመት ጋር በተያያዘ ለሚከሰቱ ቀጥተኛ፣ ልዩ፣ ቀጥተኛ ያልሆኑ ወይም ተከታይ ጉዳቶችን ጨምሮ ለማንኛውም ተጠያቂነት፣ ኪሳራ ወይም የይገባኛል ጥያቄ ተጠያቂ አይሆኑም።</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32" w:lineRule="auto"/>
        <w:ind w:left="302" w:right="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በፈቃድ፣ በማስገደድ እና በተደራሽነት ዙሪያ ያሉ ገደቦች (ለምሳሌ፣ በጉርምስና ዕድሜ ላይ የሚገኙ ወጣቶች፣ የተለያዩ ጾታ ያላቸው ግለሰቦች፣ ከእንግሊዝኛ ውጭ ሌሎች ቋንቋዎችን የሚናገሩ፣ የአካል ጉዳተኞች እና ሌሎችም)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2"/>
        </w:tabs>
        <w:spacing w:after="0" w:before="43" w:line="232" w:lineRule="auto"/>
        <w:ind w:left="302" w:right="2"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የሆስፒታል ስርዓቶች ወይም የጤና እንክብካቤ ባለሙያዎች ሃይማኖታዊ አስተምህሮዎች በታካሚዎች ላይ ተጽዕኖ ማሳደር የለባቸውም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ሙሉ የእርግዝና መከላከያ ዘዴዎችን ማግኘት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2"/>
        </w:tabs>
        <w:spacing w:after="0" w:before="41" w:line="232" w:lineRule="auto"/>
        <w:ind w:left="302" w:right="5"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የፅንስ ሀኪም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የማህፀን ሐኪሞች እና ሌሎች የጤና እንክብካቤ ባለሙያዎች ትክክለኛ መረጃ እና ዘላቂ የእርግዝና መከላከያ እና ቫሴክቶሚ ጨምሮ ሙሉ የእርግዝና መከላከያ ዘዴዎችን ወሰን ወቅታዊ መዳረሻ ወይም ሪፈራል መስጠት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2"/>
        </w:tabs>
        <w:spacing w:after="0" w:before="44" w:line="232" w:lineRule="auto"/>
        <w:ind w:left="302" w:right="0"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የገንዘብ ድጋፍ እና የተቋማዊ ድጋፍ የወንድ የወሊድ መከላከያን ጨምሮ አዳዲስ የእርግዝና መከላከያ ዘዴዎችን ልማት ማበረታታት እና የእርግዝና መከላከያ ተደራሽነትን እና የመራቢያ ጤና ውጤቶችን ለመቀነስ ምርምር ማድረግ አለበት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2"/>
        </w:tabs>
        <w:spacing w:after="0" w:before="42" w:line="232" w:lineRule="auto"/>
        <w:ind w:left="302" w:right="1"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የሐኪም ቡድኖች እና የጤና እንክብካቤ ተቋማት የወሊድ መከላከያ ተደራሽነትን የሚቀንሱ የቁጥጥር፣ የህግ አውጪ እና የዳኝነት እርምጃዎችን ለማሸነፍ በይፋ መቃወም እና መሟገት አለባቸው። የክልል እና የፌዴራል መንግስታት የእርግዝና መከላከያ ተደራሽነትን መጠበቅ እና ተደራሽነትን ለማስፋት የገንዘብ ድጋፍን ማሳደግ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2"/>
        </w:tabs>
        <w:spacing w:after="0" w:before="45" w:line="232" w:lineRule="auto"/>
        <w:ind w:left="302" w:right="2" w:hanging="175"/>
        <w:jc w:val="both"/>
        <w:rPr>
          <w:smallCaps w:val="0"/>
          <w:strike w:val="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የእርግዝና መከላከያ ተደራሽነትን ለማሻሻል፣ ከማህፀን ሐኪም በተጨማሪ ለሌሎች የጤና እንክብካቤ ባለሙያዎች የሥልጠና ዕድል ማግኘት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የማህፀን ሐኪሞች ቁጥር መጨመር አለበት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wp:posOffset>
                </wp:positionH>
                <wp:positionV relativeFrom="paragraph">
                  <wp:posOffset>185238</wp:posOffset>
                </wp:positionV>
                <wp:extent cx="2894965" cy="48260"/>
                <wp:effectExtent b="0" l="0" r="0" t="0"/>
                <wp:wrapTopAndBottom distB="0" distT="0"/>
                <wp:docPr id="15" name=""/>
                <a:graphic>
                  <a:graphicData uri="http://schemas.microsoft.com/office/word/2010/wordprocessingShape">
                    <wps:wsp>
                      <wps:cNvSpPr/>
                      <wps:cNvPr id="20" name="Shape 20"/>
                      <wps:spPr>
                        <a:xfrm>
                          <a:off x="3903280" y="3760633"/>
                          <a:ext cx="2885440" cy="38735"/>
                        </a:xfrm>
                        <a:custGeom>
                          <a:rect b="b" l="l" r="r" t="t"/>
                          <a:pathLst>
                            <a:path extrusionOk="0" h="38735" w="2885440">
                              <a:moveTo>
                                <a:pt x="2885033" y="0"/>
                              </a:moveTo>
                              <a:lnTo>
                                <a:pt x="0" y="0"/>
                              </a:lnTo>
                              <a:lnTo>
                                <a:pt x="0" y="38159"/>
                              </a:lnTo>
                              <a:lnTo>
                                <a:pt x="2885033" y="38159"/>
                              </a:lnTo>
                              <a:lnTo>
                                <a:pt x="2885033"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wp:posOffset>
                </wp:positionH>
                <wp:positionV relativeFrom="paragraph">
                  <wp:posOffset>185238</wp:posOffset>
                </wp:positionV>
                <wp:extent cx="2894965" cy="48260"/>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894965" cy="48260"/>
                        </a:xfrm>
                        <a:prstGeom prst="rect"/>
                        <a:ln/>
                      </pic:spPr>
                    </pic:pic>
                  </a:graphicData>
                </a:graphic>
              </wp:anchor>
            </w:drawing>
          </mc:Fallback>
        </mc:AlternateContent>
      </w:r>
    </w:p>
    <w:p w:rsidR="00000000" w:rsidDel="00000000" w:rsidP="00000000" w:rsidRDefault="00000000" w:rsidRPr="00000000" w14:paraId="00000022">
      <w:pPr>
        <w:pStyle w:val="Heading1"/>
        <w:spacing w:before="126" w:lineRule="auto"/>
        <w:ind w:firstLine="7"/>
        <w:rPr/>
      </w:pPr>
      <w:r w:rsidDel="00000000" w:rsidR="00000000" w:rsidRPr="00000000">
        <w:rPr>
          <w:color w:val="231f20"/>
          <w:rtl w:val="0"/>
        </w:rPr>
        <w:t xml:space="preserve">ዳራ</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መከላከያ ተደራሽነት ግለሰቦች እርግዝና እንደሚፈልጉ እና መቼ እንደሚፈልጉ እንዲመርጡ ያስችላቸዋል። ይህ ከመራቢያ ፍትህ ጽንሰ-ሀሳብ ጋር ይዛመዳል፡ ልጅ የመውለድ፣ ልጅ የመውለድ እና ልጆችን በአስተማማኝ አካባቢ የማሳደግ መብት (1)። በሰውነት ራስን በራስ የማስተዳደር ገደቦች ላይ አካላዊ፣ ስሜታዊ እና የገንዘብ ወጪዎች አሉ። የሚፈለገውን የእርግዝና መከላከያ የማግኘት ችሎታ ለግለሰቦች ዋንኛ ደረጃ ነው፣ ይህም ልጆች እና ወላጅ መቼ ወይም መቼ እንደሚወልዱ እንዲወስኑ ያስችላቸዋል። ከ99% በላይ የሚሆኑት የግብረ ሥጋ ግንኙነት የሚያደርጉ ሴቶች የተወሰነ የእርግዝና መከላከያ ዘዴ ቢጠቀሙም (2)፣ በዩናይትድ ስቴትስ ውስጥ ያልታሰበ እርግዝና መጠን በ2019 35.7% ነበር እና በጉርምስና ዕድሜ ላይ ባሉ ወጣቶች፣ ዝቅተኛ ገቢ ባላቸው እና በዘር ወይም በጎሳ አናሳ በሆኑ ግለሰቦች መካከል ከፍተኛ ነበር (3)። ያልታቀደ እርግዝና ያልተሟላ የእርግዝና መከላከያ ፍላጎት ምልክት ቢሆንም እና እርግዝና ሊከሰት የሚችልባቸው ውስብስብ ምክንያቶች ቢኖሩም፣ የእርግዝና መከላከያ ተደራሽነት መጨመር ያልተፈለገ እርግዝናን እና ተያያዥ አሉታዊ የሕፃናት እና የእናቶች ጤና ውጤቶችን ለመቀነስ ይረዳል (4)።</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 w:right="3"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እንደ አጠቃላይ የጤና አጠባበቅ፣ የእርግዝና መከላከያ እና ያልተፈለገ እርግዝና ከጤና ማህበራዊ ወሳኞች እና ከማህበራዊ ሁኔታዎች ጋር የተቆራኙ ናቸው፣ ይህም በግለሰብ ጤና ላይ ብቻ ሳይሆን ከትውልድ መካከል ያለውን ጉዳት የሚያራዝሙ ዑደቶችን ለመፍጠርም ይሰራል።</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የአናሳ ዜግነት ያላቸው ግለሰቦች የመራቢያ መብቶች በአድልዎ፣ በአድልዎ፣ በአባትነት እና ያለፍላጎት የማምከን እና የህክምና ሙከራ ታሪክ ምክንያት አሉታዊ ተጽዕኖ ደርሶባቸዋል ይህም የህክምና ማህበረሰቡን አለመተማመን አስከትሏል (ሣጥን 1)። መተማመንን መገንባት በማስረጃ ላይ የተመሰረተ፣ በታካሚ ላይ ያተኮረ የአማራጮች ምክር እና የጋራ ውሳኔ አሰጣጥን ይጠይቃል፣ ይህም የታካሚ ግቦችን እና ምርጫዎችን በመረዳት (6)። በተጨማሪም፣ ሰዎች የእርግዝና መከላከያ ለመጠቀም የተለያዩ ምክንያቶች አሏቸው። ግለሰቦች እንደ የወር አበባ ዑደት አለመመጣጠን፣ የቅድመ ወሊድ ሲንድሮም፣ አክኔ ወይም ሂርሱቲዝም እና የዳሌ ህመም ያሉ የእርግዝና መከላከያ ጥቅሞቹን ለማግኘት የሆርሞን የወሊድ መከላከያ ሊፈልጉ ይችላሉ።</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199"/>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5480" w:w="11160" w:orient="portrait"/>
          <w:pgMar w:bottom="1300" w:top="800" w:left="850" w:right="850" w:header="0" w:footer="1076"/>
          <w:cols w:equalWidth="0" w:num="2">
            <w:col w:space="347" w:w="4556.5"/>
            <w:col w:space="0" w:w="4556.5"/>
          </w:cols>
        </w:sect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ክሊኒኮች በሚተገብሩበት ቦታ የእርግዝና መከላከያ አገልግሎትን የሚመለከቱ ወቅታዊ ህጎችን ማወቅ አለባቸው። የዩኤስ ጠቅላይ ፍርድ ቤት የእርግዝና መከላከያ አጠቃቀም በ1960ዎቹ አጋማሽ ላይ ላሉ ባለትዳሮች (7) እና በ1970ዎቹ ላላገቡ ግለሰቦች ሕገ መንግሥታዊ መብት መሆኑን አረጋግጧል (8)። ይህ ዋስትና ቢኖርም፣ የፌዴራል እና የክልል ፖሊሲዎች ለትምህርት ተነሳሽነቶች እና ለወሊድ መከላከያ ሽፋን የገንዘብ ድጋፍን በመመሪያዎች እና ቁጥጥር አማካኝነት የእርግዝና መከላከያ መዳረሻን ማስፋት ወይም ውል ማድረግ ይችላሉ፤ እነዚህም በፅንስ መከላከያ አቅርቦት ውስጥ ያለውን አድልዎ እና ኢ-ፍትሃዊነት ሊነኩ ይችላሉ (9)። ተቀባይነት የሌላቸው የሕግ ውሳኔዎች እና ገዳቢ ሕጎች ለአካለ መጠን ያልደረሱ ሕፃናት እና ጎልማሶች የእርግዝና መከላከያ አገልግሎትን ያደናቅፋሉ እንዲሁም የምክር አገልግሎትን፣ ሽፋንን እና አቅርቦትን በመገደብ በታካሚ-ሐኪም ግንኙነት ውስጥ ጣልቃ ይገባሉ። የክልል ሕግ አውጪዎች ከፍርድ ቤት ውሳኔዎች ጋር በመሆን የወላጅ ፈቃድ በመጠየቅ የጉርምስና ዕድሜ ላይ የሚገኙ ልጆች የእርግዝና መከላከያ አገልግሎትን ገድበዋል። ጠቅላይ ፍርድ ቤቱ የፌዴራል የፅንስ ማስወረድ ጥበቃን ካስወገደ በኋላ (10) የቀደሙትን ዓመታት በመሻር ዳኛ ክላረንስ ቶማስ ለመገምገም ፍላጎት እንዳላቸው አመልክተዋል።</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ግሪስዎልድ ከ ኮነቲከት ጋር</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ውሳኔ።</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ዶብስ ከጃክ-ሶን የሴቶች የጤና ድርጅት ጋር</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ውሳኔው ሁሉን አቀፍ እና ፍትሃዊ የእርግዝና መከላከያ ተደራሽነትን እጅግ በጣም አስፈላጊ ያደርገዋል፤ ተደራሽነት እየጨመረ የመጣ አደጋ ላይ ይመስላል (11)። ያለ ማዘዣ (OTC)፣ የቴሌሄልዝ እና በፋርማሲስት የታዘዘ የሆርሞን የወሊድ መከላከያ የታካሚዎችን ተደራሽነት ለመጨመር መንገዶች ናቸው (12-14)። ለረጅም ጊዜ የሚቀያየሩ የወሊድ መከላከያዎችን (LARC) ጨምሮ የእርግዝና መከላከያዎችን በማቅረብ ላይ ስልጠና ለሁሉም ክሊኒኮች መገኘት አለበት፣ እና በተመሳሳይ ቀን የLARC (15) መዳረሻ ለማቅረብ ሁሉም ጥረት መደረግ አለበት። ክሊኒኮች በACOG የተደገፉ የበሽታ መቆጣጠሪያ እና መከላከያ ማዕከላት የእርግዝና መከላከያ አጠቃቀም የሕክምና ብቁነት መስፈርቶችን ማወቅ እና የእያንዳንዱን ምድብ (16) አንድምታ መረዳት አለባቸው። ለ"ምድብ 3" ምክሮች (አደጋዎች ከጥቅሞች ሊበልጡ ይችላሉ)፣</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8" w:right="0" w:firstLine="0"/>
        <w:jc w:val="center"/>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ffffff"/>
          <w:sz w:val="20"/>
          <w:szCs w:val="20"/>
          <w:u w:val="none"/>
          <w:shd w:fill="auto" w:val="clear"/>
          <w:vertAlign w:val="baseline"/>
          <w:rtl w:val="0"/>
        </w:rPr>
        <w:t xml:space="preserve">ሣጥን 1. የፅንስና የማህፀን ሕክምና፡- ዘረኝነት፣ ማስገደድ እና ኢዩጀኒክስ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wp:posOffset>
                </wp:positionH>
                <wp:positionV relativeFrom="paragraph">
                  <wp:posOffset>21704</wp:posOffset>
                </wp:positionV>
                <wp:extent cx="6007735" cy="5175885"/>
                <wp:effectExtent b="0" l="0" r="0" t="0"/>
                <wp:wrapNone/>
                <wp:docPr id="12" name=""/>
                <a:graphic>
                  <a:graphicData uri="http://schemas.microsoft.com/office/word/2010/wordprocessingShape">
                    <wps:wsp>
                      <wps:cNvSpPr/>
                      <wps:cNvPr id="17" name="Shape 17"/>
                      <wps:spPr>
                        <a:xfrm>
                          <a:off x="2346895" y="1196820"/>
                          <a:ext cx="5998210" cy="5166360"/>
                        </a:xfrm>
                        <a:custGeom>
                          <a:rect b="b" l="l" r="r" t="t"/>
                          <a:pathLst>
                            <a:path extrusionOk="0" h="5166360" w="5998210">
                              <a:moveTo>
                                <a:pt x="5997587" y="0"/>
                              </a:moveTo>
                              <a:lnTo>
                                <a:pt x="5991110" y="0"/>
                              </a:lnTo>
                              <a:lnTo>
                                <a:pt x="5991110" y="199440"/>
                              </a:lnTo>
                              <a:lnTo>
                                <a:pt x="5991110" y="5159514"/>
                              </a:lnTo>
                              <a:lnTo>
                                <a:pt x="6477" y="5159514"/>
                              </a:lnTo>
                              <a:lnTo>
                                <a:pt x="6477" y="199440"/>
                              </a:lnTo>
                              <a:lnTo>
                                <a:pt x="5991110" y="199440"/>
                              </a:lnTo>
                              <a:lnTo>
                                <a:pt x="5991110" y="0"/>
                              </a:lnTo>
                              <a:lnTo>
                                <a:pt x="0" y="0"/>
                              </a:lnTo>
                              <a:lnTo>
                                <a:pt x="0" y="199440"/>
                              </a:lnTo>
                              <a:lnTo>
                                <a:pt x="0" y="5165991"/>
                              </a:lnTo>
                              <a:lnTo>
                                <a:pt x="5997587" y="5165991"/>
                              </a:lnTo>
                              <a:lnTo>
                                <a:pt x="5997587" y="199440"/>
                              </a:lnTo>
                              <a:lnTo>
                                <a:pt x="5997587" y="12"/>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wp:posOffset>
                </wp:positionH>
                <wp:positionV relativeFrom="paragraph">
                  <wp:posOffset>21704</wp:posOffset>
                </wp:positionV>
                <wp:extent cx="6007735" cy="5175885"/>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07735" cy="5175885"/>
                        </a:xfrm>
                        <a:prstGeom prst="rect"/>
                        <a:ln/>
                      </pic:spPr>
                    </pic:pic>
                  </a:graphicData>
                </a:graphic>
              </wp:anchor>
            </w:drawing>
          </mc:Fallback>
        </mc:AlternateContent>
      </w:r>
    </w:p>
    <w:p w:rsidR="00000000" w:rsidDel="00000000" w:rsidP="00000000" w:rsidRDefault="00000000" w:rsidRPr="00000000" w14:paraId="00000028">
      <w:pPr>
        <w:spacing w:before="205" w:line="237" w:lineRule="auto"/>
        <w:ind w:left="127" w:right="122" w:firstLine="0"/>
        <w:jc w:val="both"/>
        <w:rPr>
          <w:sz w:val="19"/>
          <w:szCs w:val="19"/>
        </w:rPr>
      </w:pPr>
      <w:r w:rsidDel="00000000" w:rsidR="00000000" w:rsidRPr="00000000">
        <w:rPr>
          <w:rFonts w:ascii="Nyala" w:cs="Nyala" w:eastAsia="Nyala" w:hAnsi="Nyala"/>
          <w:color w:val="231f20"/>
          <w:sz w:val="19"/>
          <w:szCs w:val="19"/>
          <w:rtl w:val="0"/>
        </w:rPr>
        <w:t xml:space="preserve">የፅንስና የማህፀን ሕክምና ልዩ ሙያ ታሪክ የተመሠረተው በዘረኝነትና በጭቆና ላይ ነው። የዘርፉ አቅኚ የነበሩት ጄምስ ማሪዮን ሲምስ፣ ማደንዘዣ ሳይኖራቸው በባርነት በተያዙ ጥቁር ሴቶች ላይ ሙከራ አድርገዋል፤ ከእነዚህም ውስጥ ሶስት ሴቶች ማለትም ቤትሴይ፣ ሉሲ እና አናርካ ያለፍቃድ ተደጋጋሚ የማህፀን ሕክምና ሂደቶችን አከናውነዋል።* በ20ኛው ክፍለ ዘመን መጀመሪያ ላይ የነበረው የኢዩጀኒክስ ንቅናቄ “ለመውለድ ብቁ አይደሉም” ተብለው በተፈረጁ የኅብረተሰብ አባላት ላይ የሕዝብ ቁጥጥር ዘዴ ሆኖ ማምከንን በግድ አስገድዶታል፤ እነዚህም ተቋማዊ የሆኑ ግለሰቦችን፣ የአካል ጉዳተኞችን፣ ዝቅተኛ ገቢ ያላቸውን፣ የቆዳ ቀለም ያላቸውን ሴቶች፣ ስደተኞችን እና “የአእምሮ ብቃት የሌላቸው” ወይም “ደካማ አስተሳሰብ ያላቸው” ተብለው የተሰየሙትን ያካትታሉ።</w:t>
      </w:r>
      <w:r w:rsidDel="00000000" w:rsidR="00000000" w:rsidRPr="00000000">
        <w:rPr>
          <w:rFonts w:ascii="Nyala" w:cs="Nyala" w:eastAsia="Nyala" w:hAnsi="Nyala"/>
          <w:color w:val="231f20"/>
          <w:sz w:val="19"/>
          <w:szCs w:val="19"/>
          <w:vertAlign w:val="superscript"/>
          <w:rtl w:val="0"/>
        </w:rPr>
        <w:t xml:space="preserve">እና</w:t>
      </w:r>
      <w:r w:rsidDel="00000000" w:rsidR="00000000" w:rsidRPr="00000000">
        <w:rPr>
          <w:rFonts w:ascii="Play" w:cs="Play" w:eastAsia="Play" w:hAnsi="Play"/>
          <w:color w:val="231f20"/>
          <w:sz w:val="19"/>
          <w:szCs w:val="19"/>
          <w:vertAlign w:val="baseline"/>
          <w:rtl w:val="0"/>
        </w:rPr>
        <w:t xml:space="preserve"> </w:t>
      </w:r>
      <w:r w:rsidDel="00000000" w:rsidR="00000000" w:rsidRPr="00000000">
        <w:rPr>
          <w:rFonts w:ascii="Nyala" w:cs="Nyala" w:eastAsia="Nyala" w:hAnsi="Nyala"/>
          <w:color w:val="231f20"/>
          <w:sz w:val="19"/>
          <w:szCs w:val="19"/>
          <w:vertAlign w:val="baseline"/>
          <w:rtl w:val="0"/>
        </w:rPr>
        <w:t xml:space="preserve">በቅርብ ጊዜ በመራቢያ ጤና ላይ የማስገደድ ምሳሌዎች በእስር ቤቶች ውስጥ የግዳጅ ማምከን፣ የዕፅ ሱስ ችግር ላለባቸው ግለሰቦች ማምከን እንዲደረግባቸው የገንዘብ ማበረታቻዎች እና በአሜሪካ የኢሚግሬሽን እና የጉምሩክ አስከባሪ ቁጥጥር ስር ባሉ ሴቶች ላይ የሚደረጉ የሂስቴሬክቶሚ ዓይነቶችን ያካትታሉ።</w:t>
      </w:r>
      <w:r w:rsidDel="00000000" w:rsidR="00000000" w:rsidRPr="00000000">
        <w:rPr>
          <w:rFonts w:ascii="Nyala" w:cs="Nyala" w:eastAsia="Nyala" w:hAnsi="Nyala"/>
          <w:color w:val="231f20"/>
          <w:sz w:val="19"/>
          <w:szCs w:val="19"/>
          <w:vertAlign w:val="superscript"/>
          <w:rtl w:val="0"/>
        </w:rPr>
        <w:t xml:space="preserve">ከ ጋር</w:t>
      </w:r>
      <w:r w:rsidDel="00000000" w:rsidR="00000000" w:rsidRPr="00000000">
        <w:rPr>
          <w:rFonts w:ascii="Play" w:cs="Play" w:eastAsia="Play" w:hAnsi="Play"/>
          <w:color w:val="231f20"/>
          <w:sz w:val="19"/>
          <w:szCs w:val="19"/>
          <w:vertAlign w:val="baseline"/>
          <w:rtl w:val="0"/>
        </w:rPr>
        <w:t xml:space="preserve"> </w:t>
      </w:r>
      <w:r w:rsidDel="00000000" w:rsidR="00000000" w:rsidRPr="00000000">
        <w:rPr>
          <w:rFonts w:ascii="Nyala" w:cs="Nyala" w:eastAsia="Nyala" w:hAnsi="Nyala"/>
          <w:color w:val="231f20"/>
          <w:sz w:val="19"/>
          <w:szCs w:val="19"/>
          <w:vertAlign w:val="baseline"/>
          <w:rtl w:val="0"/>
        </w:rPr>
        <w:t xml:space="preserve">በተደጋጋሚ፣ ማስገደድ በዘር፣ በጎሳ፣ በማህበራዊ-ኢኮኖሚያዊ ሁኔታ ወይም በስነ-ሕዝብ ምክንያቶች ላይ ተመስርቶ የተለየ የእርግዝና መከላከያ ምክር በመስጠት ሊከናወን ይችላል።</w:t>
      </w:r>
      <w:r w:rsidDel="00000000" w:rsidR="00000000" w:rsidRPr="00000000">
        <w:rPr>
          <w:color w:val="231f20"/>
          <w:sz w:val="19"/>
          <w:szCs w:val="19"/>
          <w:vertAlign w:val="superscript"/>
          <w:rtl w:val="0"/>
        </w:rPr>
        <w:t xml:space="preserve">§</w:t>
      </w:r>
      <w:r w:rsidDel="00000000" w:rsidR="00000000" w:rsidRPr="00000000">
        <w:rPr>
          <w:rtl w:val="0"/>
        </w:rPr>
      </w:r>
    </w:p>
    <w:p w:rsidR="00000000" w:rsidDel="00000000" w:rsidP="00000000" w:rsidRDefault="00000000" w:rsidRPr="00000000" w14:paraId="00000029">
      <w:pPr>
        <w:spacing w:before="120" w:lineRule="auto"/>
        <w:ind w:left="127" w:right="123" w:firstLine="0"/>
        <w:jc w:val="both"/>
        <w:rPr>
          <w:sz w:val="19"/>
          <w:szCs w:val="19"/>
          <w:vertAlign w:val="baseline"/>
        </w:rPr>
      </w:pPr>
      <w:r w:rsidDel="00000000" w:rsidR="00000000" w:rsidRPr="00000000">
        <w:rPr>
          <w:rFonts w:ascii="Nyala" w:cs="Nyala" w:eastAsia="Nyala" w:hAnsi="Nyala"/>
          <w:color w:val="231f20"/>
          <w:sz w:val="19"/>
          <w:szCs w:val="19"/>
          <w:rtl w:val="0"/>
        </w:rPr>
        <w:t xml:space="preserve">የአሜሪካ የፅንስና የማህፀን ሐኪሞች ኮሌጅ ሁሉንም ሰው የሚያገለግል ፍትሃዊ የጤና አጠባበቅ ስርዓት ተግባራዊ መሆን የሚቻለው የዘመናዊ የጤና እኩልነት መዛባት (የመራቢያ ኢፍትሃዊነትን ጨምሮ) የዳበረበትን ታሪካዊ ሁኔታ በመገንዘብ ብቻ እንደሆነ ይገልጻል። ለተጨማሪ መረጃ የACOG የፖሊሲ መግለጫን ይመልከቱ፣</w:t>
      </w:r>
      <w:r w:rsidDel="00000000" w:rsidR="00000000" w:rsidRPr="00000000">
        <w:rPr>
          <w:rFonts w:ascii="Nyala" w:cs="Nyala" w:eastAsia="Nyala" w:hAnsi="Nyala"/>
          <w:i w:val="1"/>
          <w:iCs w:val="1"/>
          <w:color w:val="231f20"/>
          <w:sz w:val="19"/>
          <w:szCs w:val="19"/>
          <w:rtl w:val="0"/>
        </w:rPr>
        <w:t xml:space="preserve">ዘረኝነት በፅንስና የማህፀን ህክምና</w:t>
      </w:r>
      <w:r w:rsidDel="00000000" w:rsidR="00000000" w:rsidRPr="00000000">
        <w:rPr>
          <w:color w:val="231f20"/>
          <w:sz w:val="19"/>
          <w:szCs w:val="19"/>
          <w:rtl w:val="0"/>
        </w:rPr>
        <w:t xml:space="preserve">.</w:t>
      </w:r>
      <w:r w:rsidDel="00000000" w:rsidR="00000000" w:rsidRPr="00000000">
        <w:rPr>
          <w:color w:val="231f20"/>
          <w:sz w:val="19"/>
          <w:szCs w:val="19"/>
          <w:vertAlign w:val="baseline"/>
        </w:rPr>
        <w:drawing>
          <wp:inline distB="0" distT="0" distL="0" distR="0">
            <wp:extent cx="25400" cy="95249"/>
            <wp:effectExtent b="0" l="0" r="0" t="0"/>
            <wp:docPr id="2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400" cy="9524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3" w:lineRule="auto"/>
        <w:ind w:left="127" w:right="124" w:firstLine="0"/>
        <w:jc w:val="both"/>
        <w:rPr>
          <w:sz w:val="19"/>
          <w:szCs w:val="19"/>
        </w:rPr>
      </w:pPr>
      <w:r w:rsidDel="00000000" w:rsidR="00000000" w:rsidRPr="00000000">
        <w:rPr>
          <w:rFonts w:ascii="Nyala" w:cs="Nyala" w:eastAsia="Nyala" w:hAnsi="Nyala"/>
          <w:color w:val="231f20"/>
          <w:sz w:val="19"/>
          <w:szCs w:val="19"/>
          <w:rtl w:val="0"/>
        </w:rPr>
        <w:t xml:space="preserve">* የአሜሪካ የፅንስና የማህፀን ሐኪሞች ኮሌጅ። የፅንስና የማህፀን ሕክምና፡- ዘረኝነትን የሚፈታ የጋራ እርምጃ። የጋራ መግለጫ። መጋቢት 22፣ 2022 ተገናኝቷል።</w:t>
      </w:r>
      <w:hyperlink r:id="rId12">
        <w:r w:rsidDel="00000000" w:rsidR="00000000" w:rsidRPr="00000000">
          <w:rPr>
            <w:color w:val="231f20"/>
            <w:sz w:val="19"/>
            <w:szCs w:val="19"/>
            <w:rtl w:val="0"/>
          </w:rPr>
          <w:t xml:space="preserve">https://www.acog.org/news/news-articles/2020/08/joint-statement-obstetrics-and-gynecology-collective-action-addressing-racism</w:t>
        </w:r>
      </w:hyperlink>
      <w:r w:rsidDel="00000000" w:rsidR="00000000" w:rsidRPr="00000000">
        <w:rPr>
          <w:color w:val="231f20"/>
          <w:sz w:val="19"/>
          <w:szCs w:val="19"/>
          <w:rtl w:val="0"/>
        </w:rPr>
        <w:t xml:space="preserve">.</w:t>
      </w:r>
      <w:r w:rsidDel="00000000" w:rsidR="00000000" w:rsidRPr="00000000">
        <w:rPr>
          <w:rtl w:val="0"/>
        </w:rPr>
      </w:r>
    </w:p>
    <w:p w:rsidR="00000000" w:rsidDel="00000000" w:rsidP="00000000" w:rsidRDefault="00000000" w:rsidRPr="00000000" w14:paraId="0000002B">
      <w:pPr>
        <w:spacing w:before="130" w:line="228" w:lineRule="auto"/>
        <w:ind w:left="127" w:right="124" w:firstLine="0"/>
        <w:jc w:val="both"/>
        <w:rPr>
          <w:sz w:val="19"/>
          <w:szCs w:val="19"/>
        </w:rPr>
      </w:pPr>
      <w:r w:rsidDel="00000000" w:rsidR="00000000" w:rsidRPr="00000000">
        <w:rPr>
          <w:rFonts w:ascii="Nyala" w:cs="Nyala" w:eastAsia="Nyala" w:hAnsi="Nyala"/>
          <w:color w:val="231f20"/>
          <w:sz w:val="19"/>
          <w:szCs w:val="19"/>
          <w:vertAlign w:val="superscript"/>
          <w:rtl w:val="0"/>
        </w:rPr>
        <w:t xml:space="preserve">እና</w:t>
      </w:r>
      <w:r w:rsidDel="00000000" w:rsidR="00000000" w:rsidRPr="00000000">
        <w:rPr>
          <w:rFonts w:ascii="Play" w:cs="Play" w:eastAsia="Play" w:hAnsi="Play"/>
          <w:color w:val="231f20"/>
          <w:sz w:val="19"/>
          <w:szCs w:val="19"/>
          <w:vertAlign w:val="baseline"/>
          <w:rtl w:val="0"/>
        </w:rPr>
        <w:t xml:space="preserve"> </w:t>
      </w:r>
      <w:r w:rsidDel="00000000" w:rsidR="00000000" w:rsidRPr="00000000">
        <w:rPr>
          <w:rFonts w:ascii="Nyala" w:cs="Nyala" w:eastAsia="Nyala" w:hAnsi="Nyala"/>
          <w:color w:val="231f20"/>
          <w:sz w:val="19"/>
          <w:szCs w:val="19"/>
          <w:vertAlign w:val="baseline"/>
          <w:rtl w:val="0"/>
        </w:rPr>
        <w:t xml:space="preserve">የድህረ ወሊድ ማምከን ተደራሽነት። የACOG ኮሚቴ አስተያየት ቁጥር 827። የአሜሪካ የፅንስና የማህፀን ሐኪሞች ኮሌጅ። ኦብስቴት ጂኔኮል 2021፤137:e169–76። doi: 10.1097/AOG.0000000000004381።</w:t>
      </w:r>
      <w:r w:rsidDel="00000000" w:rsidR="00000000" w:rsidRPr="00000000">
        <w:rPr>
          <w:rtl w:val="0"/>
        </w:rPr>
      </w:r>
    </w:p>
    <w:p w:rsidR="00000000" w:rsidDel="00000000" w:rsidP="00000000" w:rsidRDefault="00000000" w:rsidRPr="00000000" w14:paraId="0000002C">
      <w:pPr>
        <w:spacing w:before="121" w:line="226" w:lineRule="auto"/>
        <w:ind w:left="58" w:right="58" w:firstLine="0"/>
        <w:jc w:val="center"/>
        <w:rPr>
          <w:sz w:val="19"/>
          <w:szCs w:val="19"/>
        </w:rPr>
      </w:pPr>
      <w:r w:rsidDel="00000000" w:rsidR="00000000" w:rsidRPr="00000000">
        <w:rPr>
          <w:rFonts w:ascii="Nyala" w:cs="Nyala" w:eastAsia="Nyala" w:hAnsi="Nyala"/>
          <w:color w:val="231f20"/>
          <w:sz w:val="19"/>
          <w:szCs w:val="19"/>
          <w:vertAlign w:val="superscript"/>
          <w:rtl w:val="0"/>
        </w:rPr>
        <w:t xml:space="preserve">ከ ጋር</w:t>
      </w:r>
      <w:r w:rsidDel="00000000" w:rsidR="00000000" w:rsidRPr="00000000">
        <w:rPr>
          <w:rFonts w:ascii="Play" w:cs="Play" w:eastAsia="Play" w:hAnsi="Play"/>
          <w:color w:val="231f20"/>
          <w:sz w:val="19"/>
          <w:szCs w:val="19"/>
          <w:vertAlign w:val="baseline"/>
          <w:rtl w:val="0"/>
        </w:rPr>
        <w:t xml:space="preserve"> </w:t>
      </w:r>
      <w:r w:rsidDel="00000000" w:rsidR="00000000" w:rsidRPr="00000000">
        <w:rPr>
          <w:rFonts w:ascii="Nyala" w:cs="Nyala" w:eastAsia="Nyala" w:hAnsi="Nyala"/>
          <w:color w:val="231f20"/>
          <w:sz w:val="19"/>
          <w:szCs w:val="19"/>
          <w:vertAlign w:val="baseline"/>
          <w:rtl w:val="0"/>
        </w:rPr>
        <w:t xml:space="preserve">በእስር ላይ ላሉ ነፍሰ ጡር፣ ከወሊድ በኋላ እና እርጉዝ ላልሆኑ ግለሰቦች የመራቢያ ጤና እንክብካቤ። የACOG ኮሚቴ አስተያየት</w:t>
      </w:r>
      <w:r w:rsidDel="00000000" w:rsidR="00000000" w:rsidRPr="00000000">
        <w:rPr>
          <w:rtl w:val="0"/>
        </w:rPr>
      </w:r>
    </w:p>
    <w:p w:rsidR="00000000" w:rsidDel="00000000" w:rsidP="00000000" w:rsidRDefault="00000000" w:rsidRPr="00000000" w14:paraId="0000002D">
      <w:pPr>
        <w:spacing w:before="0" w:line="240" w:lineRule="auto"/>
        <w:ind w:left="127" w:right="124" w:firstLine="0"/>
        <w:jc w:val="both"/>
        <w:rPr>
          <w:sz w:val="19"/>
          <w:szCs w:val="19"/>
        </w:rPr>
      </w:pPr>
      <w:r w:rsidDel="00000000" w:rsidR="00000000" w:rsidRPr="00000000">
        <w:rPr>
          <w:rFonts w:ascii="Nyala" w:cs="Nyala" w:eastAsia="Nyala" w:hAnsi="Nyala"/>
          <w:color w:val="231f20"/>
          <w:sz w:val="19"/>
          <w:szCs w:val="19"/>
          <w:rtl w:val="0"/>
        </w:rPr>
        <w:t xml:space="preserve">ቁጥር 830። የአሜሪካ የፅንስና የማህፀን ሐኪሞች ኮሌጅ። ኦብስቴት ጂኔኮል 2021፤138:e24–34። doi: 10.1097/ AOG.00000000000004429፤ አባስ ኤን፣ ማልሆትራ ቲ፣ ቡሊንግተን ቢ፣ አሮራ ኬኤስ። የኦፒዮይድ አጠቃቀም ችግር ላለባቸው ሴቶች የእርግዝና መከላከያ መስጠትና ማስተዋወቅ ረገድ ሥነ ምግባራዊ ጉዳዮች። ጄ ክሊን ሥነ ምግባር 2022፤33:112–23። doi: 10.1086/JCE2022332112፤ እና ፕሮጀክት ደቡብ። መልስ፡- በኢርዊን ካውንቲ የእስር ማዕከል ውስጥ ለተያዙ ስደተኞችና ሠራተኞች የሕክምና እንክብካቤ እጥረት፣ ደህንነቱ ያልተጠበቀ የሥራ ልምዶች እና ከኮቪድ-19 በቂ ጥበቃ አለመኖር። ሴፕቴምበር 8፣ 2025 ተገናኝቷል።</w:t>
      </w:r>
      <w:hyperlink r:id="rId13">
        <w:r w:rsidDel="00000000" w:rsidR="00000000" w:rsidRPr="00000000">
          <w:rPr>
            <w:color w:val="231f20"/>
            <w:sz w:val="19"/>
            <w:szCs w:val="19"/>
            <w:rtl w:val="0"/>
          </w:rPr>
          <w:t xml:space="preserve">https://</w:t>
        </w:r>
      </w:hyperlink>
      <w:r w:rsidDel="00000000" w:rsidR="00000000" w:rsidRPr="00000000">
        <w:rPr>
          <w:color w:val="231f20"/>
          <w:sz w:val="19"/>
          <w:szCs w:val="19"/>
          <w:rtl w:val="0"/>
        </w:rPr>
        <w:t xml:space="preserve"> </w:t>
      </w:r>
      <w:hyperlink r:id="rId14">
        <w:r w:rsidDel="00000000" w:rsidR="00000000" w:rsidRPr="00000000">
          <w:rPr>
            <w:color w:val="231f20"/>
            <w:sz w:val="19"/>
            <w:szCs w:val="19"/>
            <w:rtl w:val="0"/>
          </w:rPr>
          <w:t xml:space="preserve">projectsouth.org/wp-content/uploads/2020/09/OIG-ICDC-Complaint-1.pdf</w:t>
        </w:r>
      </w:hyperlink>
      <w:r w:rsidDel="00000000" w:rsidR="00000000" w:rsidRPr="00000000">
        <w:rPr>
          <w:rtl w:val="0"/>
        </w:rPr>
      </w:r>
    </w:p>
    <w:p w:rsidR="00000000" w:rsidDel="00000000" w:rsidP="00000000" w:rsidRDefault="00000000" w:rsidRPr="00000000" w14:paraId="0000002E">
      <w:pPr>
        <w:spacing w:before="117" w:lineRule="auto"/>
        <w:ind w:left="127" w:right="124" w:firstLine="0"/>
        <w:jc w:val="both"/>
        <w:rPr>
          <w:sz w:val="19"/>
          <w:szCs w:val="19"/>
        </w:rPr>
      </w:pPr>
      <w:r w:rsidDel="00000000" w:rsidR="00000000" w:rsidRPr="00000000">
        <w:rPr>
          <w:color w:val="231f20"/>
          <w:sz w:val="20"/>
          <w:szCs w:val="20"/>
          <w:vertAlign w:val="superscript"/>
          <w:rtl w:val="0"/>
        </w:rPr>
        <w:t xml:space="preserve">§</w:t>
      </w:r>
      <w:r w:rsidDel="00000000" w:rsidR="00000000" w:rsidRPr="00000000">
        <w:rPr>
          <w:rFonts w:ascii="Nyala" w:cs="Nyala" w:eastAsia="Nyala" w:hAnsi="Nyala"/>
          <w:color w:val="231f20"/>
          <w:sz w:val="19"/>
          <w:szCs w:val="19"/>
          <w:rtl w:val="0"/>
        </w:rPr>
        <w:t xml:space="preserve">ቋሚ የእርግዝና መከላከያ፡ የሥነ ምግባር ጉዳዮች እና ግምት ውስጥ የሚገቡ ጉዳዮች። የACOG ኮሚቴ መግለጫ ቁጥር 8። የአሜሪካ የፅንስና የማህፀን ሐኪሞች ኮሌጅ። ኦብስቴት ጂኔኮል 2024፤143:e31–9። doi: 10.1097/AOG.0000000000005474።</w:t>
      </w:r>
      <w:r w:rsidDel="00000000" w:rsidR="00000000" w:rsidRPr="00000000">
        <w:rPr>
          <w:rtl w:val="0"/>
        </w:rPr>
      </w:r>
    </w:p>
    <w:p w:rsidR="00000000" w:rsidDel="00000000" w:rsidP="00000000" w:rsidRDefault="00000000" w:rsidRPr="00000000" w14:paraId="0000002F">
      <w:pPr>
        <w:spacing w:before="121" w:lineRule="auto"/>
        <w:ind w:left="127" w:right="124" w:firstLine="15"/>
        <w:jc w:val="both"/>
        <w:rPr>
          <w:sz w:val="19"/>
          <w:szCs w:val="19"/>
        </w:rPr>
      </w:pPr>
      <w:r w:rsidDel="00000000" w:rsidR="00000000" w:rsidRPr="00000000">
        <w:rPr>
          <w:vertAlign w:val="baseline"/>
        </w:rPr>
        <w:drawing>
          <wp:inline distB="0" distT="0" distL="0" distR="0">
            <wp:extent cx="25400" cy="95249"/>
            <wp:effectExtent b="0" l="0" r="0" t="0"/>
            <wp:docPr id="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400" cy="9524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Nyala" w:cs="Nyala" w:eastAsia="Nyala" w:hAnsi="Nyala"/>
          <w:color w:val="231f20"/>
          <w:sz w:val="19"/>
          <w:szCs w:val="19"/>
          <w:rtl w:val="0"/>
        </w:rPr>
        <w:t xml:space="preserve">የአሜሪካ የፅንስና የማህፀን ሐኪሞች ኮሌጅ። በፅንስና የማህፀን ሕክምና ዘረኝነት። የፖሊሲ መግለጫ። ኤፕሪል 26፣ 2024 ተፈቅዷል።</w:t>
      </w:r>
      <w:hyperlink r:id="rId15">
        <w:r w:rsidDel="00000000" w:rsidR="00000000" w:rsidRPr="00000000">
          <w:rPr>
            <w:color w:val="231f20"/>
            <w:sz w:val="19"/>
            <w:szCs w:val="19"/>
            <w:rtl w:val="0"/>
          </w:rPr>
          <w:t xml:space="preserve">https://www.acog.org/clinical-information/policy-and-position-statements/statements-of-policy/</w:t>
        </w:r>
      </w:hyperlink>
      <w:r w:rsidDel="00000000" w:rsidR="00000000" w:rsidRPr="00000000">
        <w:rPr>
          <w:color w:val="231f20"/>
          <w:sz w:val="19"/>
          <w:szCs w:val="19"/>
          <w:rtl w:val="0"/>
        </w:rPr>
        <w:t xml:space="preserve"> </w:t>
      </w:r>
      <w:hyperlink r:id="rId16">
        <w:r w:rsidDel="00000000" w:rsidR="00000000" w:rsidRPr="00000000">
          <w:rPr>
            <w:rFonts w:ascii="Nyala" w:cs="Nyala" w:eastAsia="Nyala" w:hAnsi="Nyala"/>
            <w:color w:val="231f20"/>
            <w:sz w:val="19"/>
            <w:szCs w:val="19"/>
            <w:rtl w:val="0"/>
          </w:rPr>
          <w:t xml:space="preserve">2022/ዘረኝነት-በ-የፅንስ-ማህፀን-ህክምና</w:t>
        </w:r>
      </w:hyperlink>
      <w:r w:rsidDel="00000000" w:rsidR="00000000" w:rsidRPr="00000000">
        <w:rPr>
          <w:color w:val="231f20"/>
          <w:sz w:val="19"/>
          <w:szCs w:val="19"/>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17" w:type="default"/>
          <w:footerReference r:id="rId18" w:type="even"/>
          <w:type w:val="nextPage"/>
          <w:pgSz w:h="15480" w:w="11160" w:orient="portrait"/>
          <w:pgMar w:bottom="1300" w:top="880" w:left="850" w:right="850" w:header="0" w:footer="1076"/>
          <w:pgNumType w:start="90"/>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የሕክምና ባለሙያው ሊከሰቱ የሚችሉ አደጋዎችን የሚገልጽ በታካሚ ላይ ያተኮረ ውይይት ማድረግ አለበት፣ የጋራ ውሳኔን በመጠቀም የመጨረሻ ውሳኔ ማድረግ አለበት። የጤና እንክብካቤ ባለሙያዎች በአሮጌ ወይም ትክክል ባልሆኑ የአሠራር ዘዴዎች ወይም በማስረጃ ላይ ባልተመሰረቱ የታካሚ እንክብካቤ መስፈርቶች ላይ በመመስረት የእርግዝና መከላከያ እንቅፋቶችን በመጣል ተደራሽነትን ማደናቀፍ የለባቸውም። የታካሚዎች ስለ እርግዝና መከላከያ ግብዓቶች በ</w:t>
      </w:r>
      <w:hyperlink r:id="rId19">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https://www.acog.org/womens-health/</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hyperlink r:id="rId20">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ጤናማ ኑሮ/የወሊድ ​​መቆጣጠሪያ</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wp:posOffset>
                </wp:positionH>
                <wp:positionV relativeFrom="paragraph">
                  <wp:posOffset>110099</wp:posOffset>
                </wp:positionV>
                <wp:extent cx="2894965" cy="48260"/>
                <wp:effectExtent b="0" l="0" r="0" t="0"/>
                <wp:wrapTopAndBottom distB="0" distT="0"/>
                <wp:docPr id="9" name=""/>
                <a:graphic>
                  <a:graphicData uri="http://schemas.microsoft.com/office/word/2010/wordprocessingShape">
                    <wps:wsp>
                      <wps:cNvSpPr/>
                      <wps:cNvPr id="10" name="Shape 10"/>
                      <wps:spPr>
                        <a:xfrm>
                          <a:off x="3903280" y="3760633"/>
                          <a:ext cx="2885440" cy="38735"/>
                        </a:xfrm>
                        <a:custGeom>
                          <a:rect b="b" l="l" r="r" t="t"/>
                          <a:pathLst>
                            <a:path extrusionOk="0" h="38735" w="2885440">
                              <a:moveTo>
                                <a:pt x="2885033" y="0"/>
                              </a:moveTo>
                              <a:lnTo>
                                <a:pt x="0" y="0"/>
                              </a:lnTo>
                              <a:lnTo>
                                <a:pt x="0" y="38159"/>
                              </a:lnTo>
                              <a:lnTo>
                                <a:pt x="2885033" y="38159"/>
                              </a:lnTo>
                              <a:lnTo>
                                <a:pt x="2885033"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wp:posOffset>
                </wp:positionH>
                <wp:positionV relativeFrom="paragraph">
                  <wp:posOffset>110099</wp:posOffset>
                </wp:positionV>
                <wp:extent cx="2894965" cy="48260"/>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894965" cy="48260"/>
                        </a:xfrm>
                        <a:prstGeom prst="rect"/>
                        <a:ln/>
                      </pic:spPr>
                    </pic:pic>
                  </a:graphicData>
                </a:graphic>
              </wp:anchor>
            </w:drawing>
          </mc:Fallback>
        </mc:AlternateContent>
      </w:r>
    </w:p>
    <w:p w:rsidR="00000000" w:rsidDel="00000000" w:rsidP="00000000" w:rsidRDefault="00000000" w:rsidRPr="00000000" w14:paraId="00000033">
      <w:pPr>
        <w:pStyle w:val="Heading1"/>
        <w:spacing w:before="125" w:lineRule="auto"/>
        <w:ind w:firstLine="7"/>
        <w:jc w:val="both"/>
        <w:rPr/>
      </w:pPr>
      <w:r w:rsidDel="00000000" w:rsidR="00000000" w:rsidRPr="00000000">
        <w:rPr>
          <w:color w:val="231f20"/>
          <w:rtl w:val="0"/>
        </w:rPr>
        <w:t xml:space="preserve">ምክሮች እና መደምደሚያዎች</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2" w:lineRule="auto"/>
        <w:ind w:left="7" w:right="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ሐኪሞችና ሌሎች የጤና ባለሙያዎች ታካሚን ማክበር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የወሊድ መከላከያ ዘዴዎችን በጥያቄ እና ያለ እንቅፋት በመጀመር፣ በመቀጠል፣ በመቀየር ወይም በማቋረጥ የመራቢያ ራስን በራስ የማስተዳደር ችሎታ</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7" w:right="3"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ሐኪሞችና ሌሎች የጤና አጠባበቅ ባለሙያዎች ብዙውን ጊዜ ታካሚዎች የወሊድ መከላከያ ዘዴዎችን እንዲያገኙ፣ እንዲቀጥሉ ወይም እንዲያቋርጡ እንቅፋት ይፈጥራሉ። ይህ ሊሆን የሚችለው በእውቀት እጦት፣ በአሠራር እንቅፋቶች ወይም በወላጅነት እና በእርግዝና መከላከያ ላይ ባሉ የግል ወይም ባህላዊ አድልዎዎች ምክንያት ሊሆን ይችላል። በማህፀን ውስጥ ለሚገኝ መሳሪያ (IUD) ማስገባት ብቁነት በእድሜ፣ በእኩልነት ወይም በተረጋገጠው አሉታዊ የግብረ ሥጋ ግንኙነት የሚተላለፉ ኢንፌክሽኖች ምርመራ ውጤቶች ላይ የተመሰረተ አይደለም፣ እና እርግዝና የማይታሰብ በሚሆንበት ጊዜ ሁሉ ሁሉም የእርግዝና መከላከያዎች በተመሳሳይ ቀን ሊጀመሩ ይችላሉ (17)። የሆርሞን የወሊድ መከላከያ ከመጀመሩ በፊት መደበኛ የዳሌ ምርመራ ወይም የማኅጸን ካንሰር ምርመራ ማድረግ የሕክምና ወይም የደህንነት ጥቅም የለውም፣ እና የዳሌ ምርመራ የመከሰት እድሉ በጣም ውጤታማ የሆኑ የእርግዝና መከላከያ ዘዴዎችን ከመጀመር እንቅፋት ሊሆን ይችላል፣ እና የዳሌ ምርመራ የመከሰት እድሉ በጣም ውጤታማ የሆኑ የእርግዝና መከላከያ ዘዴዎችን ከመጀመር እንቅፋት ሊሆን ይችላል።</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5"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480" w:w="11160" w:orient="portrait"/>
          <w:pgMar w:bottom="1300" w:top="780" w:left="850" w:right="850" w:header="0" w:footer="1076"/>
          <w:cols w:equalWidth="0" w:num="2">
            <w:col w:space="346" w:w="4557"/>
            <w:col w:space="0" w:w="4557"/>
          </w:cols>
        </w:sect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(18)። የደም ግፊት ክትትል ኢስትሮጅን የያዙ የእርግዝና መከላከያዎችን ለሚጠቀሙ እንቅስቃሴ-አልባ ታካሚዎች አይገለጽም።</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480" w:w="11160" w:orient="portrait"/>
          <w:pgMar w:bottom="1300" w:top="920" w:left="850" w:right="850" w:header="0" w:footer="1076"/>
        </w:sect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 w:right="0"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ባለሙያዎች የእርግዝና መከላከያ የእርግዝና መከላከያን እንደ የእርግዝና መከላከያ በጣም አስፈላጊ ተግባር አድርገው ሊመለከቱት እና በዚህም ምክንያት ደረጃውን የጠበቀ የምክር አገልግሎት ሊሰጡ ቢችሉም፣ ውጤታማነት ለብዙ ታካሚዎች ዘዴን ለመምረጥ ብቸኛው ወይም ዋናው ምክንያት አይደለም (19)። የጤና ባለሙያዎች ውይይቱን ለታካሚው ፍላጎቶች እና ፍላጎቶች ቅድሚያ በመስጠት እንደገና በማዋቀር፣ አስቀድሞ የተመረጠ ዘዴን ማግኘት ይችላሉ (20)። ለረጅም ጊዜ የሚቆዩ የሚቀለበስ የእርግዝና መከላከያ ዘዴዎች፣ ምንም እንኳን በጣም ውጤታማ ከሆኑ የእርግዝና መከላከያ ዘዴዎች መካከል ቢሆኑም እና ስለዚህ ለብዙዎች የሚፈለጉ ቢሆኑም፣ የ IUD ጅምር እና መቋረጥን ለማስቆም ወራሪ ሂደት እና ህመም ሊያስከትል የሚችል የዳሌ ምርመራ ያስፈልጋቸዋል። ይህ የታካሚውን ፍላጎት በመገደብ የመጀመር ወይም የማቆም ችሎታን የሚገድብ ብቻ ሳይሆን፣ እንደዚህ ያሉ ግንኙነቶች ጭንቀትን የሚቀሰቅሱ ወይም አሰቃቂ ሊሆኑ ይችላሉ፣ በተለይም የግል ወይም ታሪካዊ የወሲብ ጥቃት ወይም የህክምና ጉዳት ላጋጠማቸው እና በማህጸን ህክምና ምርመራዎች የተወሰነ ልምድ ላላቸው (21)። የህመም ማስታገሻ ጣልቃ ገብነቶችን (የአፍ ወይም የደም ሥር መድሃኒቶች፣ የአካባቢ ወይም የአካባቢ ማደንዘዣ፣ የጭንቀት መድሃኒቶች ወይም የአቀራረብ ጥምረት) ማካተት ከLARC ዘዴዎች ጋር ተያይዞ የሚመጣውን ጭንቀት እና የስሜት ቀውስ ሊቀንስ ይችላል። ACOG እና CDC ሁለቱም IUD ሲያስገባ እና ሲወገድ ለታካሚዎች የህመም ማስታገሻ አማራጮችን እንዲያቀርቡ ይመክራሉ (17፣ 22)። በታካሚ ላይ ያተኮሩ አማራጮችን ለመጨመር የጤና እንክብካቤ ባለሙያዎች ስለ አደጋዎች እና ጥቅሞች ምክር በመስጠት የህመም ማስታገሻ አማራጮችን መገኘት ማረጋገጥ አለባቸው።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4571</wp:posOffset>
                </wp:positionH>
                <wp:positionV relativeFrom="paragraph">
                  <wp:posOffset>-2982549</wp:posOffset>
                </wp:positionV>
                <wp:extent cx="5998210" cy="2812415"/>
                <wp:effectExtent b="0" l="0" r="0" t="0"/>
                <wp:wrapNone/>
                <wp:docPr id="11" name=""/>
                <a:graphic>
                  <a:graphicData uri="http://schemas.microsoft.com/office/word/2010/wordprocessingGroup">
                    <wpg:wgp>
                      <wpg:cNvGrpSpPr/>
                      <wpg:grpSpPr>
                        <a:xfrm>
                          <a:off x="2346875" y="2373775"/>
                          <a:ext cx="5998210" cy="2812415"/>
                          <a:chOff x="2346875" y="2373775"/>
                          <a:chExt cx="5998250" cy="2812425"/>
                        </a:xfrm>
                      </wpg:grpSpPr>
                      <wpg:grpSp>
                        <wpg:cNvGrpSpPr/>
                        <wpg:grpSpPr>
                          <a:xfrm>
                            <a:off x="2346895" y="2373793"/>
                            <a:ext cx="5998210" cy="2812415"/>
                            <a:chOff x="0" y="0"/>
                            <a:chExt cx="5998210" cy="2812415"/>
                          </a:xfrm>
                        </wpg:grpSpPr>
                        <wps:wsp>
                          <wps:cNvSpPr/>
                          <wps:cNvPr id="13" name="Shape 13"/>
                          <wps:spPr>
                            <a:xfrm>
                              <a:off x="0" y="0"/>
                              <a:ext cx="5998200" cy="281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998210" cy="200025"/>
                            </a:xfrm>
                            <a:prstGeom prst="rect">
                              <a:avLst/>
                            </a:prstGeom>
                            <a:solidFill>
                              <a:srgbClr val="231F20"/>
                            </a:solidFill>
                            <a:ln>
                              <a:noFill/>
                            </a:ln>
                          </wps:spPr>
                          <wps:txbx>
                            <w:txbxContent>
                              <w:p w:rsidR="00000000" w:rsidDel="00000000" w:rsidP="00000000" w:rsidRDefault="00000000" w:rsidRPr="00000000">
                                <w:pPr>
                                  <w:spacing w:after="0" w:before="35" w:line="240"/>
                                  <w:ind w:left="59.000000953674316" w:right="0" w:firstLine="59.000000953674316"/>
                                  <w:jc w:val="center"/>
                                  <w:textDirection w:val="btLr"/>
                                </w:pPr>
                                <w:r w:rsidDel="00000000" w:rsidR="00000000" w:rsidRPr="00000000">
                                  <w:rPr>
                                    <w:rFonts w:ascii="Lucida Sans" w:cs="Lucida Sans" w:eastAsia="Lucida Sans" w:hAnsi="Lucida Sans"/>
                                    <w:b w:val="0"/>
                                    <w:i w:val="0"/>
                                    <w:smallCaps w:val="0"/>
                                    <w:strike w:val="0"/>
                                    <w:color w:val="ffffff"/>
                                    <w:sz w:val="20"/>
                                    <w:vertAlign w:val="baseline"/>
                                  </w:rPr>
                                  <w:t xml:space="preserve">Box 2. Sources for Combatting Misinformation</w:t>
                                </w:r>
                              </w:p>
                            </w:txbxContent>
                          </wps:txbx>
                          <wps:bodyPr anchorCtr="0" anchor="t" bIns="0" lIns="0" spcFirstLastPara="1" rIns="0" wrap="square" tIns="0">
                            <a:noAutofit/>
                          </wps:bodyPr>
                        </wps:wsp>
                        <wps:wsp>
                          <wps:cNvSpPr/>
                          <wps:cNvPr id="15" name="Shape 15"/>
                          <wps:spPr>
                            <a:xfrm>
                              <a:off x="0" y="0"/>
                              <a:ext cx="5998210" cy="2812415"/>
                            </a:xfrm>
                            <a:custGeom>
                              <a:rect b="b" l="l" r="r" t="t"/>
                              <a:pathLst>
                                <a:path extrusionOk="0" h="2812415" w="5998210">
                                  <a:moveTo>
                                    <a:pt x="5997587" y="0"/>
                                  </a:moveTo>
                                  <a:lnTo>
                                    <a:pt x="5991110" y="6477"/>
                                  </a:lnTo>
                                  <a:lnTo>
                                    <a:pt x="5991110" y="2805836"/>
                                  </a:lnTo>
                                  <a:lnTo>
                                    <a:pt x="6477" y="2805836"/>
                                  </a:lnTo>
                                  <a:lnTo>
                                    <a:pt x="6477" y="6477"/>
                                  </a:lnTo>
                                  <a:lnTo>
                                    <a:pt x="0" y="0"/>
                                  </a:lnTo>
                                  <a:lnTo>
                                    <a:pt x="0" y="2812313"/>
                                  </a:lnTo>
                                  <a:lnTo>
                                    <a:pt x="5997587" y="2812313"/>
                                  </a:lnTo>
                                  <a:lnTo>
                                    <a:pt x="5997587" y="0"/>
                                  </a:lnTo>
                                  <a:close/>
                                </a:path>
                              </a:pathLst>
                            </a:custGeom>
                            <a:solidFill>
                              <a:srgbClr val="231F20"/>
                            </a:solidFill>
                            <a:ln>
                              <a:noFill/>
                            </a:ln>
                          </wps:spPr>
                          <wps:bodyPr anchorCtr="0" anchor="ctr" bIns="91425" lIns="91425" spcFirstLastPara="1" rIns="91425" wrap="square" tIns="91425">
                            <a:noAutofit/>
                          </wps:bodyPr>
                        </wps:wsp>
                        <wps:wsp>
                          <wps:cNvSpPr/>
                          <wps:cNvPr id="16" name="Shape 16"/>
                          <wps:spPr>
                            <a:xfrm>
                              <a:off x="6476" y="199440"/>
                              <a:ext cx="5984875" cy="2606675"/>
                            </a:xfrm>
                            <a:prstGeom prst="rect">
                              <a:avLst/>
                            </a:prstGeom>
                            <a:noFill/>
                            <a:ln>
                              <a:noFill/>
                            </a:ln>
                          </wps:spPr>
                          <wps:txbx>
                            <w:txbxContent>
                              <w:p w:rsidR="00000000" w:rsidDel="00000000" w:rsidP="00000000" w:rsidRDefault="00000000" w:rsidRPr="00000000">
                                <w:pPr>
                                  <w:spacing w:after="0" w:before="155" w:line="240"/>
                                  <w:ind w:left="108.99999618530273" w:right="0" w:firstLine="108.99999618530273"/>
                                  <w:jc w:val="left"/>
                                  <w:textDirection w:val="btLr"/>
                                </w:pPr>
                                <w:r w:rsidDel="00000000" w:rsidR="00000000" w:rsidRPr="00000000">
                                  <w:rPr>
                                    <w:rFonts w:ascii="Lucida Sans" w:cs="Lucida Sans" w:eastAsia="Lucida Sans" w:hAnsi="Lucida Sans"/>
                                    <w:b w:val="0"/>
                                    <w:i w:val="0"/>
                                    <w:smallCaps w:val="0"/>
                                    <w:strike w:val="0"/>
                                    <w:color w:val="231f20"/>
                                    <w:sz w:val="19"/>
                                    <w:vertAlign w:val="baseline"/>
                                  </w:rPr>
                                  <w:t xml:space="preserve">ACOG</w:t>
                                </w:r>
                                <w:r w:rsidDel="00000000" w:rsidR="00000000" w:rsidRPr="00000000">
                                  <w:rPr>
                                    <w:rFonts w:ascii="Arial" w:cs="Arial" w:eastAsia="Arial" w:hAnsi="Arial"/>
                                    <w:b w:val="0"/>
                                    <w:i w:val="0"/>
                                    <w:smallCaps w:val="0"/>
                                    <w:strike w:val="0"/>
                                    <w:color w:val="231f20"/>
                                    <w:sz w:val="19"/>
                                    <w:vertAlign w:val="baseline"/>
                                  </w:rPr>
                                  <w:t xml:space="preserve">’</w:t>
                                </w:r>
                                <w:r w:rsidDel="00000000" w:rsidR="00000000" w:rsidRPr="00000000">
                                  <w:rPr>
                                    <w:rFonts w:ascii="Lucida Sans" w:cs="Lucida Sans" w:eastAsia="Lucida Sans" w:hAnsi="Lucida Sans"/>
                                    <w:b w:val="0"/>
                                    <w:i w:val="0"/>
                                    <w:smallCaps w:val="0"/>
                                    <w:strike w:val="0"/>
                                    <w:color w:val="231f20"/>
                                    <w:sz w:val="19"/>
                                    <w:vertAlign w:val="baseline"/>
                                  </w:rPr>
                                  <w:t xml:space="preserve">s Birth Control: Resource Overview</w:t>
                                </w:r>
                              </w:p>
                              <w:p w:rsidR="00000000" w:rsidDel="00000000" w:rsidP="00000000" w:rsidRDefault="00000000" w:rsidRPr="00000000">
                                <w:pPr>
                                  <w:spacing w:after="0" w:before="60" w:line="240"/>
                                  <w:ind w:left="349.00001525878906" w:right="0" w:firstLine="349.00001525878906"/>
                                  <w:jc w:val="both"/>
                                  <w:textDirection w:val="btLr"/>
                                </w:pPr>
                                <w:r w:rsidDel="00000000" w:rsidR="00000000" w:rsidRPr="00000000">
                                  <w:rPr>
                                    <w:rFonts w:ascii="Lucida Sans" w:cs="Lucida Sans" w:eastAsia="Lucida Sans" w:hAnsi="Lucida Sans"/>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31f20"/>
                                    <w:sz w:val="19"/>
                                    <w:vertAlign w:val="baseline"/>
                                  </w:rPr>
                                  <w:t xml:space="preserve">This page lists the key publications and resources for patients from ACOG.</w:t>
                                </w:r>
                              </w:p>
                              <w:p w:rsidR="00000000" w:rsidDel="00000000" w:rsidP="00000000" w:rsidRDefault="00000000" w:rsidRPr="00000000">
                                <w:pPr>
                                  <w:spacing w:after="0" w:before="173.99999618530273" w:line="240"/>
                                  <w:ind w:left="108.99999618530273" w:right="0" w:firstLine="108.99999618530273"/>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Lucida Sans" w:cs="Lucida Sans" w:eastAsia="Lucida Sans" w:hAnsi="Lucida Sans"/>
                                    <w:b w:val="0"/>
                                    <w:i w:val="0"/>
                                    <w:smallCaps w:val="0"/>
                                    <w:strike w:val="0"/>
                                    <w:color w:val="231f20"/>
                                    <w:sz w:val="19"/>
                                    <w:vertAlign w:val="baseline"/>
                                  </w:rPr>
                                  <w:t xml:space="preserve">ACOG</w:t>
                                </w:r>
                                <w:r w:rsidDel="00000000" w:rsidR="00000000" w:rsidRPr="00000000">
                                  <w:rPr>
                                    <w:rFonts w:ascii="Arial" w:cs="Arial" w:eastAsia="Arial" w:hAnsi="Arial"/>
                                    <w:b w:val="0"/>
                                    <w:i w:val="0"/>
                                    <w:smallCaps w:val="0"/>
                                    <w:strike w:val="0"/>
                                    <w:color w:val="231f20"/>
                                    <w:sz w:val="19"/>
                                    <w:vertAlign w:val="baseline"/>
                                  </w:rPr>
                                  <w:t xml:space="preserve">’</w:t>
                                </w:r>
                                <w:r w:rsidDel="00000000" w:rsidR="00000000" w:rsidRPr="00000000">
                                  <w:rPr>
                                    <w:rFonts w:ascii="Lucida Sans" w:cs="Lucida Sans" w:eastAsia="Lucida Sans" w:hAnsi="Lucida Sans"/>
                                    <w:b w:val="0"/>
                                    <w:i w:val="0"/>
                                    <w:smallCaps w:val="0"/>
                                    <w:strike w:val="0"/>
                                    <w:color w:val="231f20"/>
                                    <w:sz w:val="19"/>
                                    <w:vertAlign w:val="baseline"/>
                                  </w:rPr>
                                  <w:t xml:space="preserve">s Healthy Teens</w:t>
                                </w:r>
                              </w:p>
                              <w:p w:rsidR="00000000" w:rsidDel="00000000" w:rsidP="00000000" w:rsidRDefault="00000000" w:rsidRPr="00000000">
                                <w:pPr>
                                  <w:spacing w:after="0" w:before="60.999999046325684" w:line="240"/>
                                  <w:ind w:left="349.00001525878906" w:right="277.00000762939453" w:firstLine="349.00001525878906"/>
                                  <w:jc w:val="both"/>
                                  <w:textDirection w:val="btLr"/>
                                </w:pPr>
                                <w:r w:rsidDel="00000000" w:rsidR="00000000" w:rsidRPr="00000000">
                                  <w:rPr>
                                    <w:rFonts w:ascii="Lucida Sans" w:cs="Lucida Sans" w:eastAsia="Lucida Sans" w:hAnsi="Lucida Sans"/>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31f20"/>
                                    <w:sz w:val="19"/>
                                    <w:vertAlign w:val="baseline"/>
                                  </w:rPr>
                                  <w:t xml:space="preserve">ACOG’s patient education website for adolescents has information on body image, sexuality, birth control, the first gynecologic visit, and other topics.</w:t>
                                </w:r>
                              </w:p>
                              <w:p w:rsidR="00000000" w:rsidDel="00000000" w:rsidP="00000000" w:rsidRDefault="00000000" w:rsidRPr="00000000">
                                <w:pPr>
                                  <w:spacing w:after="0" w:before="175" w:line="240"/>
                                  <w:ind w:left="108.99999618530273" w:right="0" w:firstLine="108.99999618530273"/>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Lucida Sans" w:cs="Lucida Sans" w:eastAsia="Lucida Sans" w:hAnsi="Lucida Sans"/>
                                    <w:b w:val="0"/>
                                    <w:i w:val="0"/>
                                    <w:smallCaps w:val="0"/>
                                    <w:strike w:val="0"/>
                                    <w:color w:val="231f20"/>
                                    <w:sz w:val="19"/>
                                    <w:vertAlign w:val="baseline"/>
                                  </w:rPr>
                                  <w:t xml:space="preserve">ACOG</w:t>
                                </w:r>
                                <w:r w:rsidDel="00000000" w:rsidR="00000000" w:rsidRPr="00000000">
                                  <w:rPr>
                                    <w:rFonts w:ascii="Arial" w:cs="Arial" w:eastAsia="Arial" w:hAnsi="Arial"/>
                                    <w:b w:val="0"/>
                                    <w:i w:val="0"/>
                                    <w:smallCaps w:val="0"/>
                                    <w:strike w:val="0"/>
                                    <w:color w:val="231f20"/>
                                    <w:sz w:val="19"/>
                                    <w:vertAlign w:val="baseline"/>
                                  </w:rPr>
                                  <w:t xml:space="preserve">’</w:t>
                                </w:r>
                                <w:r w:rsidDel="00000000" w:rsidR="00000000" w:rsidRPr="00000000">
                                  <w:rPr>
                                    <w:rFonts w:ascii="Lucida Sans" w:cs="Lucida Sans" w:eastAsia="Lucida Sans" w:hAnsi="Lucida Sans"/>
                                    <w:b w:val="0"/>
                                    <w:i w:val="0"/>
                                    <w:smallCaps w:val="0"/>
                                    <w:strike w:val="0"/>
                                    <w:color w:val="231f20"/>
                                    <w:sz w:val="19"/>
                                    <w:vertAlign w:val="baseline"/>
                                  </w:rPr>
                                  <w:t xml:space="preserve">s Combating Misinformation</w:t>
                                </w:r>
                              </w:p>
                              <w:p w:rsidR="00000000" w:rsidDel="00000000" w:rsidP="00000000" w:rsidRDefault="00000000" w:rsidRPr="00000000">
                                <w:pPr>
                                  <w:spacing w:after="0" w:before="60.999999046325684" w:line="240"/>
                                  <w:ind w:left="349.00001525878906" w:right="225" w:firstLine="349.00001525878906"/>
                                  <w:jc w:val="both"/>
                                  <w:textDirection w:val="btLr"/>
                                </w:pPr>
                                <w:r w:rsidDel="00000000" w:rsidR="00000000" w:rsidRPr="00000000">
                                  <w:rPr>
                                    <w:rFonts w:ascii="Lucida Sans" w:cs="Lucida Sans" w:eastAsia="Lucida Sans" w:hAnsi="Lucida Sans"/>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31f20"/>
                                    <w:sz w:val="19"/>
                                    <w:vertAlign w:val="baseline"/>
                                  </w:rPr>
                                  <w:t xml:space="preserve">This page includes ACOG resources to help people identify misinformation when they see it, combat myths, provide evidence-based information, and help clinicians talk with their patients about misinformation and communicate the facts.</w:t>
                                </w:r>
                              </w:p>
                              <w:p w:rsidR="00000000" w:rsidDel="00000000" w:rsidP="00000000" w:rsidRDefault="00000000" w:rsidRPr="00000000">
                                <w:pPr>
                                  <w:spacing w:after="0" w:before="176.00000381469727" w:line="240"/>
                                  <w:ind w:left="108.99999618530273" w:right="0" w:firstLine="108.99999618530273"/>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Lucida Sans" w:cs="Lucida Sans" w:eastAsia="Lucida Sans" w:hAnsi="Lucida Sans"/>
                                    <w:b w:val="0"/>
                                    <w:i w:val="0"/>
                                    <w:smallCaps w:val="0"/>
                                    <w:strike w:val="0"/>
                                    <w:color w:val="231f20"/>
                                    <w:sz w:val="19"/>
                                    <w:vertAlign w:val="baseline"/>
                                  </w:rPr>
                                  <w:t xml:space="preserve">Bedsider</w:t>
                                </w:r>
                              </w:p>
                              <w:p w:rsidR="00000000" w:rsidDel="00000000" w:rsidP="00000000" w:rsidRDefault="00000000" w:rsidRPr="00000000">
                                <w:pPr>
                                  <w:spacing w:after="0" w:before="60" w:line="240"/>
                                  <w:ind w:left="349.00001525878906" w:right="227.00000762939453" w:firstLine="349.00001525878906"/>
                                  <w:jc w:val="both"/>
                                  <w:textDirection w:val="btLr"/>
                                </w:pPr>
                                <w:r w:rsidDel="00000000" w:rsidR="00000000" w:rsidRPr="00000000">
                                  <w:rPr>
                                    <w:rFonts w:ascii="Lucida Sans" w:cs="Lucida Sans" w:eastAsia="Lucida Sans" w:hAnsi="Lucida Sans"/>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31f20"/>
                                    <w:sz w:val="19"/>
                                    <w:vertAlign w:val="baseline"/>
                                  </w:rPr>
                                  <w:t xml:space="preserve">Bedsider is an online birth control support network for individuals aged 18–29 years, operated by Power to Decide, a private, nonprofit organization.</w:t>
                                </w:r>
                              </w:p>
                              <w:p w:rsidR="00000000" w:rsidDel="00000000" w:rsidP="00000000" w:rsidRDefault="00000000" w:rsidRPr="00000000">
                                <w:pPr>
                                  <w:spacing w:after="0" w:before="181.00000381469727" w:line="240"/>
                                  <w:ind w:left="108.99999618530273" w:right="0" w:firstLine="108.99999618530273"/>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231f20"/>
                                    <w:sz w:val="19"/>
                                    <w:vertAlign w:val="baseline"/>
                                  </w:rPr>
                                  <w:t xml:space="preserve">ACOG, American College of Obstetricians &amp; Gynecologists.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4571</wp:posOffset>
                </wp:positionH>
                <wp:positionV relativeFrom="paragraph">
                  <wp:posOffset>-2982549</wp:posOffset>
                </wp:positionV>
                <wp:extent cx="5998210" cy="2812415"/>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998210" cy="2812415"/>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0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መከላከያ መጠቀምን ያካትታል፤ ይህም የተለያዩ ለውጦችን ያካትታል</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ወይም የማቆሚያ ዘዴዎች። ታካሚዎች ከጤና እንክብካቤ ስርዓቱ ጋር መስተጋብር በሚያስፈልግበት ጊዜ ዘዴውን ለማቋረጥ ሲመርጡ እንቅፋቶች ያጋጥሟቸዋል (ለምሳሌ፣ የ IUD ወይም የተተከለ አካል መወገድ)። ይህ ምናልባት በአሠራር እንቅፋቶች (ማለትም ቀጠሮ ማግኘት) ወይም በጤና እንክብካቤ ምክንያት ሊሆን ይችላል።</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 w:right="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የባለሙያዎች ማመንታት ወይም መሳሪያን ለማስወገድ ፈቃደኛ አለመሆን፣ የመራቢያ ግፊት ምሳሌ (23)። የጤና እንክብካቤ ባለሙያዎች ታካሚዎች ዘዴዎችን በፍላጎት እንዲጀምሩ፣ እንዲያቆሙ ወይም እንዲቀይሩ መርዳት አለባቸው፣ ይህም ስለ ዘዴዎች መረጃ በቀላሉ የሚገኝ መሆኑን እና የአሠራር እንቅፋቶች መቀነስን ማረጋገጥ ነው።</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ስለ ትክክለኛ አጠቃቀም እና ስለ መከላከያዎች ትክክለኛ መረጃ ጨምሮ ስለ ሁሉም የእርግዝና መከላከያ ዘዴዎች ሰፊ እውቀት ለአጠቃላይ የእርግዝና መከላከያ እንክብካቤ አቅርቦት አስፈላጊ ነው። ስለ እርግዝና ምክር የሚሰጥ የጤና ባለሙያ የታዘዙትን፣ OTC እና ፋርማሲካል ያልሆኑ የእርግዝና መከላከያ ዘዴዎችን ማወቅ አለበት። የእርግዝና መከላከያ አማራጮች ከታካሚው ግቦች ጋር መጣጣም አለባቸው፣ ይህም ውጤታማነትን፣ ራስን መጀመር ወይም ማቆምን፣ የአጠቃቀም ቀላልነትን፣ ህመምን ማስወገድን፣ ወጪን መቀነስን፣ አሉታዊ ውጤቶችን መከላከልን ወይም የእርግዝና መከላከያ ያልሆኑ ጥቅሞችን (ማለትም የወር አበባ መቆጣጠሪያ ወይም የአክኔ ሕክምና) ሊያካትት ወይም ላይጨምር ይችላል። በታካሚ ላይ ያተኮረ የምክር አገልግሎት ዘዴ በሚመርጡበት ጊዜ የታካሚዎች ፍላጎቶች እጅግ በጣም አስፈላጊ መሆናቸውን ያረጋግጣል።</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199"/>
        <w:jc w:val="both"/>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480" w:w="11160" w:orient="portrait"/>
          <w:pgMar w:bottom="1300" w:top="780" w:left="850" w:right="850" w:header="0" w:footer="1076"/>
          <w:cols w:equalWidth="0" w:num="2">
            <w:col w:space="349" w:w="4555.5"/>
            <w:col w:space="0" w:w="4555.5"/>
          </w:cols>
        </w:sect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ባለሙያዎች እንደ መከላከያ ዘዴዎች፣ የመራባት ግንዛቤ ዘዴዎች (ተያያዥ መተግበሪያዎች ሊኖራቸው ይችላል) እና ማቆም ያሉ ፋርማኮሎጂካል ያልሆኑ ዘዴዎችን ለመወያየት ዝግጁ መሆን አለባቸው። ምንም እንኳን የእነዚህ ዘዴዎች የእርግዝና መከላከያ ውጤታማነት ከሆርሞን እና ከLARC ዘዴዎች ጋር ሲነጻጸር ዝቅተኛ ቢሆንም፣ ርካሽ፣ ተደራሽ፣ በደንብ የሚታገሱ እና በደንብ የሚታወቁ እና ጥቂት ተቃራኒዎች አሏቸው። ፋርማኮሎጂካል ያልሆኑ ዘዴዎች ሆርሞኖችን የያዙ አይደሉም እና አብዛኛዎቹ በታካሚዎች የሚጀመሩት በወሲብ ወቅት ወይም ከዚያ በፊት ሲሆን፣ ሁለቱም ለብዙ ታካሚዎች በጣም ተፈላጊ ባህሪያት ናቸው። እንዲሁም ውጤታማነትን ለመጨመር ከሆርሞን ዘዴዎች ጋር በማጣመር ወይም የውስጥ እና የውጭ ኮንዶሞችን ስርጭት ለመከላከል ጥቅም ላይ ሊውሉ ይችላሉ።</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በግብረ ሥጋ ግንኙነት የሚተላለፉ ኢንፌክሽኖች። ፋርማሲ-ያልሆኑ የማኮሎጂ ዘዴዎች ውጤታማነት በተጠቃሚ ስህተት በእጅጉ ሊቀንስ ይችላል፤ ስለዚህ፣ ታካሚዎች የመረጡትን ዘዴ በጣም ውጤታማ በሆነ መንገድ ማግኘት መቻላቸውን ለማረጋገጥ፣ የጤና እንክብካቤ ባለሙያዎች ስለ ውጤታማነት እና ትክክለኛ አጠቃቀም ምክር መስጠት መቻል አለባቸው። በታካሚ የሚጀምሩ እና በጊዜ የተመደቡ ሌሎች የእርግዝና መከላከያ ዘዴዎች ድንገተኛ የእርግዝና መከላከያ (OTC ወይም ለላቀ አቅርቦት በሐኪም ትዕዛዝ የሚገኝ) እና በሐኪም የታዘዘ የሴት ብልት ጄል ያካትታሉ። በተጨማሪም፣ እንደ የወንዶች-ትሩዋል ዑደቶች፣ እንቁላል እና የሕክምና ቀጠሮዎች ያሉ መረጃዎችን የሚከታተሉ የስማርትፎን ወይም የኮምፒውተር አፕሊኬሽኖችን (መተግበሪያዎች) ሲወያዩ፣ ክሊኒኮች ለመተግበሪያዎቹ ከተሰጠው መረጃ ሊመጡ ስለሚችሉ የግላዊነት ጥሰቶች፣ የህግ ክትትል እና የወንጀል ማጭበርበር ማወቅ አለባቸው (24)። በመተግበሪያዎች ውስጥ የገባው መረጃ በጤና መድህን ተንቀሳቃሽነት እና ተጠያቂነት ህግ ስር የተጠበቀ አይደለም እና በውጭ ሊጋራ ይችላል።</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06" w:right="0" w:firstLine="0"/>
        <w:jc w:val="both"/>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ከፋዮች (ክፍለ ሀገር፣ ፌዴራል እና የግል መድን)፣</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7" w:right="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ሆስፒታሎች እና የጤና እንክብካቤ ስርዓቶች ሁሉንም የአሜሪካ የምግብ እና የመድኃኒት አስተዳደርን ማካተት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በፎርሙላሪ ላይ የጸደቁ ዘዴዎች፣ ለረጅም ጊዜ የሚሠሩ የሚቀለበሱ የእርግዝና መከላከያዎችን ጨምሮ፣ እና ያለ ወጪ መጋራት ወይም የጋራ ክፍያዎች ሁሉንም የእርግዝና መከላከያ ዘዴዎች ማግኘትን ማረጋገጥ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 w:right="0"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ከፋዮች ለወሊድ መከላከያ አገልግሎቶች ተገቢውን ካሳ መስጠት አለባቸው። ምንም እንኳን ሙሉ የእርግዝና መከላከያ አማራጮችን ማግኘት የእንክብካቤ ጥራትን የሚያሻሽል እና የጤና ውጤቶችን የሚያመቻች ቢሆንም፣ ከፍተኛ የቅድመ-ወሊድ ወጪዎች እና የተወሰነ ክፍያ አንዳንድ ክሊኒኮች የLARC ዘዴዎችን እንዳያከማቹ ያግዳቸዋል። የመንግስት እና የግል ከፋዮች ለክሊኒካዊ አገልግሎቶች ተገቢ ክፍያ ለማረጋገጥ እና ለወሊድ መከላከያ መሳሪያዎች በግዢ ወጪ መጠን ተመላሽ ለማድረግ ከጤና ባለሙያዎች ጋር በመተባበር የእርግዝና መከላከያ ተደራሽነትን ለማሻሻል በሚደረገው ጥረት አስተዋጽኦ ሊያደርጉ ይችላሉ። ወዲያውኑ ከወሊድ በኋላ እና ከፅንስ ማስወረድ በኋላ የእርግዝና መከላከያ ተደራሽነት አስፈላጊ ነው ምክንያቱም ታካሚው ብዙውን ጊዜ እርግዝናን ለማስወገድ ከፍተኛ ተነሳሽነት ስላለው፣ ቀድሞውኑ በጤና እንክብካቤ ስርዓቱ ውስጥ ስለሆነ እና እርጉዝ ስላልሆነ። ሆኖም፣ ወዲያውኑ ከወሊድ በኋላ ወይም ከፅንስ ማስወረድ በኋላ ለሚደረጉ የLARC ዘዴዎች ተገቢው ተመላሽ ገንዘብ ማግኘት አስቸጋሪ ሊሆን ይችላል። መዳረሻን የሚያዘገዩ መዋቅራዊ እንቅፋቶች ሲኖሩ (ለምሳሌ፣ በተመሳሳይ ቀን የLARC ዘዴዎችን ከማቅረብ ይልቅ ብዙ ጉብኝቶችን የሚጠይቁ ተቋማዊ ፖሊሲዎች)፣ የክፍያ ሞዴሎች እነዚህን ተጨማሪ እርምጃዎች ማንጸባረቅ አለባቸው እና ክሊኒኮች አሁንም በአግባቡ ተመላሽ ሊደረግላቸው ይገባል። የማህፀን ሐኪም-የማህፀን ሐኪሞች (የማህፀን ሐኪሞች) ለLARC ዘዴዎች እና ለታካሚ-ተኮር ስርዓቶች የተሻሻሉ የክፍያ አወቃቀሮችን መደገፍ አለባቸው።</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0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ተመጣጣኝ የወሊድ መከላከያ ማግኘት ማስወገድን ይጠይቃል</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የወሊድ መከላከያዎችን ከኢንሹራንስ ሽፋን ጋር የተያያዙ ወጪዎችን ብቻ ሳይሆን እንደ ኮንዶም፣ የኦቲሲ የእርግዝና መከላከያ ክኒን እና የኦቲሲ ድንገተኛ የእርግዝና መከላከያ ያሉ የኦቲሲ ዘዴዎችን የገንዘብ ጫና መቀነስ ወይም ማስወገድ። የአሜሪካ ምግብ እና መድኃኒት</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 w:right="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በአስተዳደር የጸደቁ የኦቲቲ ዘዴዎች በተመጣጣኝ እንክብካቤ ህግ መሰረት፣ ልክ በአሁኑ ጊዜ በተሸፈኑት የታዘዙ የእርግዝና መከላከያ ዘዴዎች መሰረት፣ ያለ ወጪ መጋራት መሸፈን አለባቸው። የአሜሪካ የፅንስና የማህፀን ህክምና ባለሙያዎች ኮሌጅ ያለ ዕድሜ ገደብ የሆርሞን የወሊድ መከላከያ አጠቃቀምን ይደግፋል። ለተጨማሪ መረጃ፣ የACOG ኮሚቴ አስተያየት ቁጥር 788ን ይመልከቱ።</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ያለ ማዘዣ የሆርሞን የወሊድ መቆጣጠሪያ አገልግሎት ማግኘት</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(12)። በተጨማሪም፣ የክፍያ እና የአሠራር ፖሊሲዎች በሐኪም ትዕዛዝ እንደገና መሙላት እና ማደስ ላይ ያሉ እንቅፋቶችን ለማስወገድ የ13 ወር የእርግዝና መከላከያ አቅርቦትን መደገፍ አለባቸው። መረጃዎች እንደሚያሳዩት የአንድ አመት የእርግዝና መከላከያ አቅርቦት ወጪ ቆጣቢ እና የተገዢነት እና የቀጣይነት መጠኖችን ያሻሽላል (25)።</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የወሊድ መከላከያ በግለሰቦች እና በጤና ስርዓቶች ላይ የሚደርሰውን የገንዘብ ጫና ለመቀነስ፣ የፌዴራል የማዕረግ X ፕሮግራሞች የገንዘብ ድጋፍ መጠበቅ እና መስፋፋት አለበት። እንዲህ ዓይነቱ ገንዘብ የሚገኘው በሳይንሳዊ መልኩ ትክክለኛ፣ በማስረጃ ላይ የተመሰረተ እና ሁሉን አቀፍ የእርግዝና መከላከያ አገልግሎት ለሚሰጡ አቅራቢዎች ብቻ ነው፣ እንደ የችግር ጊዜ የእርግዝና ማዕከላት ያሉ አታላይ ድርጅቶችን ሳይጨምር። የፌዴራል እና የክልል መንግስታት በርዕዮተ ዓለም ላይ በመመስረት የገንዘብ ድጋፍን መከልከል የለባቸውም። ክልሎች ዝቅተኛ ገቢ ላላቸው ግለሰቦች እና ቤተሰቦች የሜዲኬይድ ብቁነትን ማስፋት እና የእርግዝና መከላከያ አገልግሎቶችን ክፍያ መጨመር አለባቸው።</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(26)። እርጉዝ እያሉ ለሜዲኬይድ ኢንሹራንስ ብቁ የሆኑ ታካሚዎች የእርግዝና መከላከያ ተደራሽነትን ለማረጋገጥ የእርግዝና ጊዜው ካለቀ በኋላ የተራዘመ ሽፋን ሊኖራቸው ይገባል፣ ይህም ዘዴዎችን መጀመር፣ መቀጠል ወይም መቀየርን ያካትታል። ለተጨማሪ ዝርዝሮች፣ የACOG ኮሚቴ አስተያየት ቁጥር 826ን ይመልከቱ።</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የሴቶችን ጤና ለማሻሻል ሜዲኬይድን መጠበቅ እና ማስፋፋት</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 w:val="left" w:leader="none" w:pos="1914"/>
          <w:tab w:val="left" w:leader="none" w:pos="3402"/>
          <w:tab w:val="left" w:leader="none" w:pos="3884"/>
          <w:tab w:val="left" w:leader="none" w:pos="4014"/>
        </w:tabs>
        <w:spacing w:after="0" w:before="0" w:line="237" w:lineRule="auto"/>
        <w:ind w:left="7" w:right="3" w:firstLine="199"/>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የጤና ባለሙያዎችና የሕዝብ ጤና ባለሥልጣናት ከወሊድ መከላከያ አጠቃቀም ጋር በተያያዘ የተሳሳተ መረጃ እና መገለል ለመቀነስ መስራት አለባቸው</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በትምህርት ቤቶችም ሆነ በማህበረሰቡ ውስጥ የተሟላ የጾታዊ ትምህርት፣ በሕክምና ትክክለኛ፣ በማስረጃ ላይ የተመሰረተ እና ለእድሜ ተስማሚ እና</w:t>
        <w:tab/>
        <w:t xml:space="preserve">ስለ እርግዝና መከላከያ፣ ስለ ጾታዊ ዝንባሌ እና ስለ ጾታ ማንነት መረጃ ማካተት አለበት። የኦብ-ጂኖች እውቀት፣ ልምድ እና የአንድ ማህበረሰብ ልዩ ተግዳሮቶች ግንዛቤ ስላላቸው፣ ለጾታዊ ትምህርት ፕሮግራሞች ጠቃሚ ግብዓት ሊሆኑ ይችላሉ። እንደ ርዕሰ ጉዳይ ባለሙያዎች፣ የኦብ-ጂኖች የጾታ ትምህርት ፕሮግራሞችን በማማከር እና በመደገፍ መሳተፍ አለባቸው (27)። የACOG ኮሚቴ አስተያየት ቁጥር 678ን ይመልከቱ።</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አጠቃላይ የወሲብ ትምህርት</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ስለ አጠቃላይ የወሲብ ትምህርት ተጨማሪ መመሪያ ለማግኘት</w:t>
        <w:tab/>
        <w:t xml:space="preserve">ጨምሮ</w:t>
        <w:tab/>
        <w:t xml:space="preserve">ባህሪያት</w:t>
        <w:tab/>
        <w:t xml:space="preserve">የ</w:t>
        <w:tab/>
        <w:t xml:space="preserve">ውጤታማ</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ፕሮግራሞች (27)።</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5" w:firstLine="199"/>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5480" w:w="11160" w:orient="portrait"/>
          <w:pgMar w:bottom="1300" w:top="800" w:left="850" w:right="850" w:header="0" w:footer="1076"/>
          <w:cols w:equalWidth="0" w:num="2">
            <w:col w:space="349" w:w="4555.5"/>
            <w:col w:space="0" w:w="4555.5"/>
          </w:cols>
        </w:sect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የፅንስና የማህፀን ሐኪሞች ስለ የወሊድ መከላከያ ዘዴዎች በጣም የተለመዱ የተሳሳቱ አመለካከቶችን ከእድሜ ጋር በሚስማማ እና ከታካሚው የጤና አጠባበቅ ጋር በሚጣጣም መንገድ ማወቅ እና ለመፍታት መዘጋጀት አለባቸው። ምንም እንኳን ብዙ ታካሚዎች ስለ እርግዝና መከላከያ መረጃ ከኦንላይን ምንጮች ቢፈልጉም፣ መረጃዎች እንደሚያሳዩት በመስመር ላይ</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ፍለጋዎች በመረጃ ላይ ከፍተኛ ልዩነት ሊፈጥሩ ይችላሉ (28)። በ"የተሳሳተ መረጃ መዋጋት" ሀብቱ (29)፣ ACOG ስለ የወሊድ እና የማህፀን ጤና እንክብካቤ የተሳሳቱ መረጃዎችን በመቃወም ላይ ይገኛል። የጤና እንክብካቤ ባለሙያዎች ትክክለኛ የመስመር ላይ ትምህርት ለማዘጋጀት ከተጠቃሚዎች ጋር በመተባበር ሊተባበሩ ይችላሉ (28)። በተለይም ማህበራዊ ሚዲያ የተሳሳቱ መረጃዎችን ምንጭ ሊሆን ቢችልም፣ ግለሰቦች የግል ልምዶችን የሚያካፍሉበት የማህበረሰብ ምንጭ ሆኖ ሊያገለግል ይችላል። ምንም እንኳን አርቲፊሻል ኢንተለጀንስ ለታካሚ ትምህርት ጥቅም ላይ ሊውል ቢችልም እና አስፈላጊ መረጃዎችን የማቅረብ አቅም ቢኖረውም፣ ትክክለኛነቱ አሁንም አሳሳቢ ነው። የተሳሳተ መረጃ በመዋጋት ረገድ ጠቃሚ ሊሆኑ የሚችሉ የታካሚዎችን የመራቢያ ጤና ሀብቶች ለማግኘት ሣጥን 2ን ይመልከቱ።</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7" w:right="1"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የፅንስ ሀኪም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የማህፀን ሐኪሞች እና ሌሎች የጤና እንክብካቤ ባለሙያዎች በሁሉም የታካሚ ግንኙነቶች የጋራ ውሳኔ አሰጣጥን መጠቀም አለባቸው፣ ይህም በፈቃደኝነት፣ በግዳጅ እና በተደራሽነት ዙሪያ ልዩ ገደቦች ላጋጠሟቸው ግለሰቦች (ለምሳሌ፣ ጎረምሶች፣ ጾታዊ ልዩነት ያላቸው ግለሰቦች፣ ከእንግሊዝኛ ውጭ ቋንቋዎችን የሚናገሩ፣ የአካል ጉዳተኞች እና ሌሎችም) ልዩ ትኩረት በመስጠት ነው።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ታካሚዎች የተለያዩ ፍላጎቶች፣ ምርጫዎች፣ እሴቶች፣ መንፈሳዊ እምነቶች እና ግቦች ያሏቸው ግለሰቦች ናቸው፤ በዚህም ምክንያት፣ የሕክምና ባለሙያዎች የወሊድ መከላከያ ምክረ ሀሳባቸውን ለተለየው ታካሚ ማበጀት አለባቸው። ምንም እንኳን ሁሉም ግለሰቦች በልዩ ፍላጎቶቻቸው ላይ ተመስርተው አክባሪ፣ በታካሚ ላይ ያተኮረ እንክብካቤ ማግኘት ቢገባቸውም፣ በቡድኖች መካከል ሊታሰቡባቸው የሚገቡ አንዳንድ ተመሳሳይ ነገሮች አሉ። አንዳንድ ታካሚዎች ከክሊኒኮች አድልዎ ወይም ማስገደድ ሊያጋጥማቸው ይችላል፣ እና በጤና አጠባበቅ ስርዓቱ ላይ ባለማመን ምክንያት የሕክምና እንክብካቤን የማስወገድ ዕድላቸው ከፍተኛ ሊሆን ይችላል። የጤና አጠባበቅ ባለሙያዎች ለእንክብካቤ ማህበራዊ እና መዋቅራዊ እንቅፋቶች እና በታካሚዎች ላይ አድልዎ የመፍጠር እድልን ማወቅ አለባቸው፣ ይህም ጊዜያዊ ወይም ቋሚ የሕክምና እክል ያለባቸውን፣ የአእምሮ ጤና ምርመራ ያለባቸውን፣ ጎረምሶችን፣ ከእንግሊዝኛ ውጪ ቋንቋዎችን የሚናገሩትን እና በጾታ ልዩነት ላይ ያሉ ግለሰቦችን ያጠቃልላል።</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20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የፅንስ ሐኪሞች-የማህፀን ሐኪሞች እና ሌሎች የመራቢያ ሐኪሞች</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እንክብካቤ ባለሙያዎች አካል ጉዳተኞች የመራቢያ ጤና እንክብካቤ እንዳያገኙ የሚከለክሏቸውን እንቅፋቶች መረዳት አለባቸው። ይህ ኢ-ፍትሃዊነትን በመለየት እና በታካሚ ላይ ያተኮሩ አገልግሎቶችን ለማሳወቅ ወሳኝ ነው (30)። የሕክምና ወይም የአእምሮ ጤና ምርመራ ያለባቸው ታካሚዎች፣ ወይም ሁለቱም፣ እና የአካል ጉዳተኞች በተለይ ያልተከለከሉ የእርግዝና መከላከያ ዓይነቶችን ሁሉ ተመሳሳይ መዳረሻ ሊሰጣቸው ይገባል። በታካሚው የአካል ጉዳት ላይ በመመስረት፣ ክሊኒኮች መረጃው ለእነሱ ተደራሽ በሆነ ቅርጸት መያዙን፣ አሉታዊ ተፅእኖዎች መወያየታቸውን እና የጋራ የውሳኔ አሰጣጥ ወይም የተደገፈ የውሳኔ አሰጣጥ ስራ ላይ መዋሉን ማረጋገጥ አለባቸው (31)። በጉርምስና ዕድሜ ላይ የሚገኙ ወጣቶች ስለ ሁሉም የእርግዝና መከላከያ ዓይነቶች በታካሚ ላይ ያተኮሩ የምክር አገልግሎት መስጠት አለባቸው፣ የተለመዱ እንቅፋቶች የተሳሳቱ ግንዛቤዎችን፣ ወጪን እና ህጋዊ አንድምታዎችን ያካትታሉ ብለው በማሰብ። የLARC ዘዴዎች ተገቢነት በእድሜ ወይም በእኩልነት ላይ የተመሰረተ አይደለም፣ እና ጉርምስና ግን አይደለም።</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 w:right="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የLARC ዘዴ ለሚፈልጉ ግለሰቦች መከላከያ ነው። ሚስጥራዊነት በጉርምስና ዕድሜ ላይ ባሉ ታካሚዎች ላይ እምነት ለመገንባት ቁልፍ ነው (32፣ 33)፣ እና የውሳኔ ሰጪዎች ጠቃሚ ሊሆኑ ይችላሉ (34)። ከእንግሊዝኛ ውጭ ቋንቋዎችን የሚናገሩ ታካሚዎች በቤተሰብ አባል ወይም ተንከባካቢ ላይ ከመመካት ይልቅ የተረጋገጠ የሕክምና አስተርጓሚ ሊኖራቸው ይገባል። በተጨማሪም፣ የጠበቀ የትዳር ጓደኛ ጥቃት ወጣት የሆኑ፣ ድሆች እና አናሳ የሆኑ ግለሰቦችን ባልተመጣጠነ ሁኔታ ይጎዳል። የጠበቀ የትዳር ጓደኛ ጥቃትን መመርመር የመራቢያ ኃይልን ማስገደድ፣ ለምሳሌ የእርግዝና መከላከያን መከልከል ወይም ፅንስ ማስወረድ ማስገደድ (35፣ 36) ማካተት አለበት።</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የአደንዛዥ ዕፅ አጠቃቀም ችግር ያለባቸው ግለሰቦች ተጨማሪ እንቅፋቶችና ስጋቶች ሊኖራቸው ይችላል። አንድ ፕሮግራም የኦፒዮይድ አጠቃቀም ችግር ላለባቸው ግለሰቦች የሚፈለገውን የእርግዝና መከላከያ ተደራሽነት ለማሳደግ የሚከተሉት ክፍሎች ውጤታማ እንደሆኑ አረጋግጧል፡ 1) ያልተሟላ ፍላጎት ላላቸው ሴቶች መድረስ፤ 2) ነፃ ወይም ተመጣጣኝ የእርግዝና መከላከያ መስጠት፤ 3) የአገልግሎት ተደራሽነትን ከፍ ማድረግ፤ 4) በታካሚ ላይ ያተኮረ እንክብካቤ መስጠት፤</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ፈቃደኛ የሆኑ፣ ብቁ የሆኑ የእርግዝና መከላከያ አቅራቢዎችን መቅጠር፤ እና 6) የእኩዮች አስተማሪዎችን መጠቀም (37)። በጅምላ እስራት ታሪክ እና በተፈጥሮ የማስገደድ አቅም ምክንያት፣ የታሰሩ ታካሚዎች በምርጫቸው የሚመራ የመራቢያ የጤና እንክብካቤ ማግኘታቸው በጣም አስፈላጊ ነው (38)። በመጨረሻም፣ እርጉዝ የመሆን እድላቸው ያላቸው የተለያዩ ጾታ ያላቸው ግለሰቦች ስለ የእርግዝና መከላከያ ፍላጎቶቻቸው መጠየቅ እና ከመገለል፣ ከአድልዎ ወይም ከግድያ ነፃ በሆነ መልኩ ስለ ሙሉ የእርግዝና መከላከያ አማራጮች ምክር ሊሰጣቸው ይገባል (39፣ 40)።</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7" w:right="3"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የሆስፒታል ሥርዓቶች ወይም የጤና እንክብካቤ ባለሙያዎች ሃይማኖታዊ አስተምህሮዎች ታካሚዎችን ሊነኩ አይገባም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ሙሉ የእርግዝና መከላከያ ዘዴዎችን ማግኘት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5"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በሃይማኖታዊ ወይም በሌሎች ሳይንሳዊ ባልሆኑ ምክንያቶች ላይ ተመስርተው አስፈላጊ እንክብካቤን የሚከለክሉ ወይም የሚገድቡ የተቋማዊ ወይም የኢንሹራንስ ፖሊሲዎች፣ ህጎች እና የክሊኒኮች እርምጃዎች የታካሚዎችን ጤና እና ደህንነት አደጋ ላይ ሊጥሉ ይችላሉ። የካቶሊክ ሆስፒታሎችን ጨምሮ ከሃይማኖት ጋር የተያያዙ የሆስፒታል ስርዓቶች በማስረጃ ላይ በተመሠረተ የታካሚ እንክብካቤ ላይ እንቅፋቶችን እና ገደቦችን ያስከትላሉ፤ እነዚህ ፖሊሲዎች የታካሚውን እና የሐኪሙን ​​ግንኙነት ሊጎዱ ይችላሉ</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(41)። እ.ኤ.አ. በ2020፣ በዩናይትድ ስቴትስ ውስጥ ካሉት 10 ትላልቅ የጤና ሥርዓቶች ውስጥ አራቱ በ41 ግዛቶች ውስጥ የሚገኙ ተቋማት ያሏቸው የካቶሊክ እምነት ተከታዮች ነበሩ (42)። ሆስፒታሎች ከሃይማኖት ድርጅቶች ጋር ሲዋሃዱ ወይም ግንኙነት ሲፈጥሩ፣ ባለስልጣናት የማህበረሰቡን የእርግዝና መከላከያ ተደራሽነት መገምገም እና መጠበቅ አለባቸው። ታካሚዎች ከሚኖሩበት ቦታ አጠገብ ያለውን ሆስፒታል የመጠቀም ዝንባሌ አላቸው፣ እና ብዙ ታካሚዎች የአካባቢያቸው ሆስፒታል ከሃይማኖት ጋር የተያያዘ መሆኑን ወይም የእርግዝና መከላከያ አገልግሎቶችን ጨምሮ ሙሉ በሙሉ የሚራባ የጤና እንክብካቤ እንደማይሰጥ አያውቁም (43)። ጉዳዩን የሚያወሳስበው ነገር፣ አንዳንድ ሆስፒታሎች የሃይማኖት ቅንጅታቸውን አያስተዋውቁም (42)።</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199"/>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5480" w:w="11160" w:orient="portrait"/>
          <w:pgMar w:bottom="1300" w:top="800" w:left="850" w:right="850" w:header="0" w:footer="1076"/>
          <w:cols w:equalWidth="0" w:num="2">
            <w:col w:space="349" w:w="4555.5"/>
            <w:col w:space="0" w:w="4555.5"/>
          </w:cols>
        </w:sect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ተመጣጣኝ የጤና አጠባበቅ ሕግ በአሁኑ ጊዜ አያት የሌላቸው የኢንሹራንስ ዕቅዶች ያለ ወጪ መጋራት የወሊድ መከላከያዎችን እንዲሰጡ ቢያዝዝም፣ የሃይማኖት ድርጅቶች ከዚህ ደንብ ነፃ ናቸው። በተጨማሪም፣ የጠቅላይ ፍርድ ቤት</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7" w:right="0" w:hanging="0.999999999999999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በ2014 ስልጣን ላይ የዋለ</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በርዌል ከ. የሆቢ ሎቢ</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የግል ኮርፖሬሽን በኩባንያው ባለቤት ሃይማኖታዊ እምነት ላይ ተመስርተው የወሊድ መከላከያ ሽፋንን ከሠራተኞች የኢንሹራንስ ጥቅማ ጥቅሞች ሊያወጣ የሚችልበት ሁኔታ (44)። የሌቮንጆርጅስትሬል የሚለቁ IUDዎችን ጨምሮ የሆርሞን የወሊድ መከላከያ ዘዴዎች ከወሊድ መከላከያ በላይ የሕክምና ምልክቶች ስላሏቸው፣ የተወሰኑ የእርግዝና መከላከያዎችን ለማቅረብ የሚያስችሉ አንዳንድ “የመፍትሄ አቅጣጫዎች” አሉ። ሆኖም፣ ታካሚዎች ምንም አይነት ምልክት ሳይታይባቸው የሚመርጡትን የእርግዝና መከላከያ ዘዴ ማግኘት አለባቸው። በአሠሪ ወይም በፕላን ሃይማኖታዊ ነፃነት ምክንያት ሽፋን የሌላቸው ታካሚዎች የእርግዝና መከላከያ አማራጭ ሽፋን ማግኘት አለባቸው። በጤና አጠባበቅ ባለሙያ፣ በተቋም ወይም በፋርማሲ ሃይማኖታዊ ወይም ሥነ ምግባራዊ እምነት ምክንያት ህሊናቸው ፈቃደኛ አለመሆን ታካሚው ማንኛውንም የእርግዝና መከላከያ ዘዴ እንዳያገኝ መከልከል የለበትም። የጤና አጠባበቅ ባለሙያው ወይም የጤና አጠባበቅ ስርዓቱ በግል እምነቶች ወይም በሃይማኖት ትስስር ምክንያት የሚፈለገውን እንክብካቤ መስጠት ካልቻለ የሕክምና ትክክለኛ መረጃ እና ፈጣን ሪፈራል ማግኘት አለባቸው (45፣ 46)።</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06" w:right="0" w:firstLine="0"/>
        <w:jc w:val="both"/>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የፅንስ ሀኪም</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የማህፀን ሐኪሞች እና ሌሎች የጤና ባለሙያዎች</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2"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የእንክብካቤ ባለሙያዎች ትክክለኛ መረጃ እና ወቅታዊ መዳረሻ ወይም ሙሉ የእርግዝና መከላከያ ዘዴዎችን ማለትም ቋሚ የእርግዝና መከላከያ እና ቫሴክቶሚ ጨምሮ ሪፈራል መስጠት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 w:right="0"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የቱባል ማምከን (ቋሚ የእርግዝና መከላከያ ተብሎም የሚጠራው) በዩናይትድ ስቴትስ ውስጥ በስፋት ጥቅም ላይ የዋለው የወሊድ መከላከያ ዘዴ ሲሆን 18.1% (47) ነው። የጤና ባለሙያዎች በተለይም ዝቅተኛ ገቢ ላላቸው ታካሚዎች፣ የታሰሩ ታካሚዎች እና የመራባት እና የወላጅነት መብት በታሪክ ውስጥ ችግር ያለባቸው ወይም ቁጥጥር ወይም ክትትል የሚያስፈልጋቸው ታካሚዎች ዋጋቸው የተቀነሰ ወይም የተዛባ አመለካከት ያላቸው ወይም የተዛባ አመለካከት ያላቸው ታካሚዎች ታሪካዊ እና ዘመናዊ እውነታን ማወቅ አለባቸው (48)። ዕድሜ እና እኩልነት ለቋሚ የእርግዝና መከላከያ እንደ ተቃራኒዎች መታየት የለባቸውም፣ እና ምክር ሊቀለበስ የሚችል አማራጮችን፣ የማይቀለበስ፣ የመውደቅ መጠን፣ የኢክቶፒክ እርግዝና እና የመጸጸት እድልን ማካተት አለበት። የማምከን ሂደት ከእርግዝና በፊት ወይም በኋላ ወይም ፅንስ ማስወረድ በሚከሰትበት ጊዜ ደህንነቱ በተጠበቀ ሁኔታ ሊከናወን ይችላል። ክሊኒኮች የስምምነት ዕድሜን እና የአሰራር ሂደቱን ጊዜ በተመለከተ ህጎችን ማወቅ አለባቸው።</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20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የወንዶች ማምከን (vasectomy)፣ ቫሴክቶሚ፣ በ4.5% የሚሆነው ጥቅም ላይ ይውላል።</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ጥንዶች ሲሆኑ ከሴቶች ቋሚ የእርግዝና መከላከያ ዘዴዎች ጋር ሲነፃፀሩ ብዙም ወራሪ ያልሆነ፣ ብዙም ውድ ያልሆነ እና የበለጠ ውጤታማ ነው (49)። ወዲያውኑ ውጤታማ አይደለም እና አዞስፐርሚያን ለማረጋገጥ ምርመራ ይጠይቃል። ስለ ቫሴክቶሚ ምክር ስለ የወሊድ መከላከያ አማራጮች በሚደረጉ ውይይቶች ውስጥ መካተት አለበት። ቫሴክቶሚ ለማቅረብ እንቅፋት የሆነው የሰለጠኑ የክሊኒኮች እጥረት ነው። ይህ ስልጠና በቤተሰብ ዕቅድ ውስጥ ባለው የፌሎውሺፕ ውስጥ መካተት ተደራሽነትን የማስፋት አቅም አለው (50)።</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7" w:right="1" w:firstLine="199"/>
        <w:jc w:val="both"/>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የገንዘብ ድጋፍ እና የተቋማዊ ድጋፍ የወንድ የወሊድ መከላከያ ዘዴዎችን ጨምሮ አዳዲስ የእርግዝና መከላከያ ዘዴዎችን እና ምርምርን ማበረታታት አለበት</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2" w:lineRule="auto"/>
        <w:ind w:left="7" w:right="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የእርግዝና መከላከያ ተደራሽነት እና የመራቢያ ጤና ውጤቶችን አለመመጣጠን ለመቀነስ</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ብዙ ግለሰቦች ሊከሰቱ በሚችሉ የጎንዮሽ ጉዳቶች ወይም የአደጋ ምክንያቶች ምክንያት የእርግዝና መከላከያ ለመጀመር ወይም ለመቀጠል አይመርጡም። የማይፈለጉ ውጤቶችን እና ውጤቶችን የሚቀንሱ አዳዲስ የእርግዝና መከላከያዎች ብቁ የሆኑ ታካሚዎችን ቁጥር በማስፋት ተደራሽነትን ይጨምራሉ። የእርግዝና መከላከያ ሸክም እርጉዝ ሊሆኑ በሚችሉት ላይ ከፍተኛ ተጽዕኖ ቢኖረውም፣ የወንድ የወሊድ መከላከያዎችን በማልማት እና በመተግበር ላይ ያለው ፍላጎት ይጨምራል (51)። በተጨማሪም የእርግዝና መከላከያን ደህንነት እና ተቀባይነት የሚያሳይ ጥናት ሰፊ ተደራሽነት እና አጠቃቀምን ያስከትላል። የኦቲሲ ዘዴዎች መስፋፋት ላይ ምርምር (ለምሳሌ፣ በራስ የሚተዳደር ዴፖ ሜድሮክሲፕሮጄስትሮን አሲቴት) ተደራሽነትን ለመጨመር ሌላኛው መንገድ ነው። ቀጣይነት ያለው የእርግዝና መከላከያ ምርምር ተቋማዊ እና መንግስታዊ ድጋፍ መከላከል እና መስፋፋት አለበት።</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206" w:right="0" w:firstLine="0"/>
        <w:jc w:val="both"/>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የሐኪሞች ቡድኖች እና የጤና እንክብካቤ ተቋማት</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2" w:lineRule="auto"/>
        <w:ind w:left="7" w:right="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የወሊድ መቆጣጠሪያ ተደራሽነትን የሚቀንሱ የቁጥጥር፣ የህግ አውጪ እና የዳኝነት እርምጃዎችን በይፋ መቃወም እና መቃወም አለበት። የክልል እና የፌዴራል መንግስታት የእርግዝና መከላከያ ተደራሽነትን መጠበቅ እና ተደራሽነትን ለማስፋት የገንዘብ ድጋፍን ማሳደግ አለባቸው</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 w:right="3"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መንግስት ስለ እርግዝና መከላከያ መረጃን ማስወገድ ወይም መደበቅ የለበትም፣ እና መመሪያ የማግኘት ተደራሽነት በአንድ የተወሰነ አስተዳደር ርዕዮተ ዓለም መመራት የለበትም። መረጃ፣ ክሊኒካዊ መመሪያ እና ትምህርት በማስረጃ ላይ የተመሰረተ እና ፍትሃዊ ሆኖ መቆየት አለባቸው እና ለሕዝብ እና ለክሊኒኮች ተደራሽ መሆን አለባቸው። የማህፀን ህክምና ባለሙያዎች ከሳይንስ ይልቅ በተሳሳተ መረጃ ላይ የተመሰረቱ ህጎችን እና ፖሊሲዎችን ለመቃወም ጥሩ ቦታ አላቸው። ለምሳሌ፣ በአንዳንድ ግዛቶች ውስጥ ካለው የህግ አውጭ ጥረት በተቃራኒ፣ ባለው መረጃ ላይ በመመስረት፣ የLARC ዘዴዎች እርግዝናን አያስተጓጉሉም እና ፅንስ ማስወረድ መድሃኒቶች አይደሉም (52)። የፅንስ መከላከያ ህክምና ባለሙያዎች እና ሌሎች የጤና እንክብካቤ ባለሙያዎች የእርግዝና መከላከያ ተደራሽነትን የሚቀንሱ እርምጃዎችን በግልጽ እና በይፋ መቃወም አለባቸው። የእርግዝና መከላከያ ተደራሽነትን ለመቃወም የሚረዱባቸው መንገዶች የህግ አውጭዎችን እና የመንግስት ባለስልጣናትን መጻፍ ወይም ማግባባት፣ በጋዜጣዎች ላይ የአስተያየት ፅሁፎችን መጻፍ፣ በሚዲያ ቃለመጠይቆች ላይ መሳተፍ፣ በሕግ አውጭ ወይም በፍትህ ሂደቶች ላይ መመስከር እና የአሚከስ አጫጭር መግለጫዎችን መፈረም ያካትታሉ።</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06" w:right="0" w:firstLine="0"/>
        <w:jc w:val="both"/>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የእርግዝና መከላከያ ተደራሽነትን ለማሻሻል፣</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 w:right="1"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nextPage"/>
          <w:pgSz w:h="15480" w:w="11160" w:orient="portrait"/>
          <w:pgMar w:bottom="1300" w:top="780" w:left="850" w:right="850" w:header="0" w:footer="1076"/>
          <w:cols w:equalWidth="0" w:num="2">
            <w:col w:space="349" w:w="4555.5"/>
            <w:col w:space="0" w:w="4555.5"/>
          </w:cols>
        </w:sectPr>
      </w:pP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ከማህፀን ሐኪም በተጨማሪ ለሌሎች የጤና እንክብካቤ ባለሙያዎች ስልጠና</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231f20"/>
          <w:sz w:val="20"/>
          <w:szCs w:val="20"/>
          <w:u w:val="none"/>
          <w:shd w:fill="auto" w:val="clear"/>
          <w:vertAlign w:val="baseline"/>
          <w:rtl w:val="0"/>
        </w:rPr>
        <w:t xml:space="preserve">የማህፀን ሐኪሞች ቁጥር መጨመር አለበት</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መከላከያ የፅንስ መከላከያ ክሊኒኮች ብቻ አይደሉም። ዝቅተኛ ገቢ ላላቸው ህዝቦች እና ዝቅተኛ ገቢ ላላቸው ህዝቦች ተደራሽነት በዋና እንክብካቤ መስጫ ክልል ውስጥ የቤተሰብ እቅድ አገልግሎቶችን በስፋት በማዋሃድ ሊሻሻል ይችላል (53)። በተጨማሪም፣ የታወቁ እና የታመኑ የህፃናት ጤና አጠባበቅ አቅራቢዎች ለታዳጊዎች ተደራሽነትን ሊያሻሽሉ ይችላሉ። ሁሉም የጤና አጠባበቅ ባለሙያዎች ስለ እርግዝና መከላከያ እና ስለ ችሎታ መሰረታዊ እውቀት ሊኖራቸው ይገባል።</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በተለይም በእርግዝና ምክንያት ሊባባሱ የሚችሉ ወይም አንዲት ታካሚ እርጉዝ ከሆንች ሊጎዱ የሚችሉ ሕክምናዎች ላሏቸው ታካሚዎች እንክብካቤ የሚያደርጉ ከሆነ ማዘዝ አለባቸው። በሆስፒታል ውስጥ የሚገኙ የሕክምና ባለሙያዎች እና የታሰሩ ግለሰቦችን የሚንከባከቡ ታካሚዎች የእርግዝና ስጋት እንዳለባቸው መገምገም እና የታካሚውን የተመረጠ የእርግዝና መከላከያ ዘዴ መቀጠል አለባቸው፣ ምክንያቱም ማቋረጥ ያልተፈለገ እርግዝና ሊያስከትል ይችላል።</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ምንም እንኳን የአሠራር እንቅፋቶች (ለምሳሌ፣ አጭር የቀጠሮ ጊዜ፣ ያልሰለጠኑ የድጋፍ ሰራተኞች፣ የእርግዝና መከላከያ መሳሪያዎችን ማከማቸት አለመቻል) ብዙውን ጊዜ በብዙ የመጀመሪያ ደረጃ እንክብካቤ ወይም የህፃናት እንክብካቤ ቦታዎች የLARC ዘዴዎችን አቅርቦት ቢገድቡም፣ ከተለያዩ ልዩ ባለሙያዎች (የቤተሰብ ህክምና፣ የውስጥ ህክምና እና የህፃናት ህክምና) የተውጣጡ ዶክተሮች IUDዎችን እና የተተከሉትን በተገቢው ስልጠና ማስገባት እና ማስወገድ ይችላሉ። ሆኖም፣ ብዙ የማህጸን ህክምና ያልሆኑ ሐኪሞች ለታካሚዎቻቸው LARCዎችን ለመጀመር ምቾት እንዲሰማቸው ስልጠና ወይም የአማካሪነት ችሎታ ለማግኘት አስቸጋሪ እንደሆኑ ሪፖርት ያደርጋሉ (54)። ለሐኪሞች የሥልጠና እድሎችን ማስፋት ለታካሚዎቻቸው የእርግዝና መከላከያ አማራጮችን ተደራሽነት ይጨምራል።</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(55)። የላቁ የሕክምና ባለሙያዎች የLARC ዘዴዎችን ጨምሮ የእርግዝና መከላከያ ለመስጠት እኩል ተስማሚ ናቸው። የእርግዝና መከላከያ እና የLARC ምደባ ስልጠና ከሐኪም ተባባሪዎች፣ ከነርሶች ባለሙያዎች እና ከአዋላጆች ስልጠና ጋር መዋሃድ አለበት (56)። በብዙ ግዛቶች፣ የተመዘገቡ ነርሶች እና ፋርማሲስቶች እራሳቸውን የሚያስተዳድሩ የእርግዝና መከላከያዎችን መስጠት ይችላሉ፣ እና እንደዚህ አይነት የአገልግሎት መስፋፋት፣ የእርግዝና መከላከያ አቅርቦትን በተመለከተ ስልጠና፣ የታካሚዎችን ተደራሽነት ያሰፋል።</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wp:posOffset>
                </wp:positionH>
                <wp:positionV relativeFrom="paragraph">
                  <wp:posOffset>130026</wp:posOffset>
                </wp:positionV>
                <wp:extent cx="2894965" cy="48260"/>
                <wp:effectExtent b="0" l="0" r="0" t="0"/>
                <wp:wrapTopAndBottom distB="0" distT="0"/>
                <wp:docPr id="19" name=""/>
                <a:graphic>
                  <a:graphicData uri="http://schemas.microsoft.com/office/word/2010/wordprocessingShape">
                    <wps:wsp>
                      <wps:cNvSpPr/>
                      <wps:cNvPr id="26" name="Shape 26"/>
                      <wps:spPr>
                        <a:xfrm>
                          <a:off x="3903280" y="3760633"/>
                          <a:ext cx="2885440" cy="38735"/>
                        </a:xfrm>
                        <a:custGeom>
                          <a:rect b="b" l="l" r="r" t="t"/>
                          <a:pathLst>
                            <a:path extrusionOk="0" h="38735" w="2885440">
                              <a:moveTo>
                                <a:pt x="2885033" y="0"/>
                              </a:moveTo>
                              <a:lnTo>
                                <a:pt x="0" y="0"/>
                              </a:lnTo>
                              <a:lnTo>
                                <a:pt x="0" y="38150"/>
                              </a:lnTo>
                              <a:lnTo>
                                <a:pt x="2885033" y="38150"/>
                              </a:lnTo>
                              <a:lnTo>
                                <a:pt x="2885033"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wp:posOffset>
                </wp:positionH>
                <wp:positionV relativeFrom="paragraph">
                  <wp:posOffset>130026</wp:posOffset>
                </wp:positionV>
                <wp:extent cx="2894965" cy="48260"/>
                <wp:effectExtent b="0" l="0" r="0" t="0"/>
                <wp:wrapTopAndBottom distB="0" distT="0"/>
                <wp:docPr id="19"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894965" cy="48260"/>
                        </a:xfrm>
                        <a:prstGeom prst="rect"/>
                        <a:ln/>
                      </pic:spPr>
                    </pic:pic>
                  </a:graphicData>
                </a:graphic>
              </wp:anchor>
            </w:drawing>
          </mc:Fallback>
        </mc:AlternateContent>
      </w:r>
    </w:p>
    <w:p w:rsidR="00000000" w:rsidDel="00000000" w:rsidP="00000000" w:rsidRDefault="00000000" w:rsidRPr="00000000" w14:paraId="0000007B">
      <w:pPr>
        <w:pStyle w:val="Heading1"/>
        <w:spacing w:before="126" w:lineRule="auto"/>
        <w:ind w:firstLine="7"/>
        <w:rPr/>
      </w:pPr>
      <w:r w:rsidDel="00000000" w:rsidR="00000000" w:rsidRPr="00000000">
        <w:rPr>
          <w:color w:val="231f20"/>
          <w:rtl w:val="0"/>
        </w:rPr>
        <w:t xml:space="preserve">መደምደሚያ</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 w:right="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የሚፈለገውን የእርግዝና መከላከያ ማግኘት እርጉዝ መሆን ለሚችሉ ሰዎች ጤና እና ደህንነት በጣም አስፈላጊ ሲሆን ከዚህ በኋላም የበለጠ አስፈላጊ ነው</w:t>
      </w:r>
      <w:r w:rsidDel="00000000" w:rsidR="00000000" w:rsidRPr="00000000">
        <w:rPr>
          <w:rFonts w:ascii="Nyala" w:cs="Nyala" w:eastAsia="Nyala" w:hAnsi="Nyala"/>
          <w:b w:val="0"/>
          <w:bCs w:val="0"/>
          <w:i w:val="1"/>
          <w:iCs w:val="1"/>
          <w:smallCaps w:val="0"/>
          <w:strike w:val="0"/>
          <w:color w:val="231f20"/>
          <w:sz w:val="20"/>
          <w:szCs w:val="20"/>
          <w:u w:val="none"/>
          <w:shd w:fill="auto" w:val="clear"/>
          <w:vertAlign w:val="baseline"/>
          <w:rtl w:val="0"/>
        </w:rPr>
        <w:t xml:space="preserve">ዶብስ</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ውሳኔ። የማህበራዊ እና መዋቅራዊ ኃይሎች በጾታዊ እና በመራቢያ ጤና ላይ ያላቸውን ትስስር የሚያረጋግጥ የመራቢያ ፍትህ ማዕቀፍ ለሁሉም ታካሚዎች ፍትሃዊ የእርግዝና መከላከያ አቅርቦት ቁልፍ ነው። የፅንስ ማህጸን ሐኪሞች እና ሌሎች የጤና እንክብካቤ ባለሙያዎች የእርግዝና መከላከያ ምክርን በግለሰብ ታካሚ እሴቶች፣ ምርጫዎች፣ ግቦች እና እምነቶች ላይ በመመስረት ማስተካከል እና የእርግዝና መከላከያ ተደራሽነትን የሚያደናቅፉ እንቅፋቶችን ማሸነፍ አለባቸው። እንደ ርዕስ X እና Medicaid ያሉ ሙሉ የእርግዝና መከላከያ ዘዴዎችን ተደራሽነት የሚያሳድጉ ፕሮግራሞች ጥበቃ ሊደረግላቸው እና ሊስፋፉ ይገባል።</w:t>
      </w:r>
      <w:r w:rsidDel="00000000" w:rsidR="00000000" w:rsidRPr="00000000">
        <w:rPr>
          <w:rtl w:val="0"/>
        </w:rPr>
      </w:r>
    </w:p>
    <w:p w:rsidR="00000000" w:rsidDel="00000000" w:rsidP="00000000" w:rsidRDefault="00000000" w:rsidRPr="00000000" w14:paraId="0000007D">
      <w:pPr>
        <w:pStyle w:val="Heading1"/>
        <w:spacing w:before="102" w:lineRule="auto"/>
        <w:ind w:firstLine="7"/>
        <w:rPr/>
      </w:pPr>
      <w:r w:rsidDel="00000000" w:rsidR="00000000" w:rsidRPr="00000000">
        <w:rPr>
          <w:color w:val="231f20"/>
          <w:rtl w:val="0"/>
        </w:rPr>
        <w:t xml:space="preserve">የቋንቋ አጠቃቀም</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 w:right="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የአሜሪካ የፅንስና የማህፀን ሐኪሞች ኮሌጅ የፅንስና የማህፀን ሕክምና ለሚፈልጉ ታካሚዎች የጾታ ልዩነት እውቅና ይሰጣል እንዲሁም ይደግፋል። በዚህ ሰነድ የመጀመሪያ ክፍሎች፣ ደራሲዎች ጾታን የሚያካትት ቋንቋ ወይም ጾታን የሚገድብ ቋንቋን ለመጠቀም ይፈልጋሉ። የምርምር ግኝቶችን ሲገልጹ፣ ይህ ሰነድ የሚከተሉትን ይጠቀማል</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7" w:right="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በመርማሪዎች የተዘገበው የሥርዓተ-ፆታ ቃላት። የACOGን አካታች ቋንቋ በተመለከተ ያለውን ፖሊሲ ለመገምገም፣ ይመልከቱ</w:t>
      </w:r>
      <w:hyperlink r:id="rId21">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https://www.</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hyperlink r:id="rId22">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acog.org/clinical-information/policy-and-position-states-ments/statements-of-policy/2022/inclusive-language</w:t>
        </w:r>
      </w:hyperlink>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1"/>
        <w:ind w:firstLine="7"/>
        <w:rPr/>
      </w:pPr>
      <w:r w:rsidDel="00000000" w:rsidR="00000000" w:rsidRPr="00000000">
        <w:rPr>
          <w:color w:val="231f20"/>
          <w:rtl w:val="0"/>
        </w:rPr>
        <w:t xml:space="preserve">ማጣቀሻዎች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3112363</wp:posOffset>
                </wp:positionH>
                <wp:positionV relativeFrom="paragraph">
                  <wp:posOffset>-109410</wp:posOffset>
                </wp:positionV>
                <wp:extent cx="2894965" cy="46990"/>
                <wp:effectExtent b="0" l="0" r="0" t="0"/>
                <wp:wrapNone/>
                <wp:docPr id="10" name=""/>
                <a:graphic>
                  <a:graphicData uri="http://schemas.microsoft.com/office/word/2010/wordprocessingShape">
                    <wps:wsp>
                      <wps:cNvSpPr/>
                      <wps:cNvPr id="11" name="Shape 11"/>
                      <wps:spPr>
                        <a:xfrm>
                          <a:off x="3903280" y="3761268"/>
                          <a:ext cx="2885440" cy="37465"/>
                        </a:xfrm>
                        <a:custGeom>
                          <a:rect b="b" l="l" r="r" t="t"/>
                          <a:pathLst>
                            <a:path extrusionOk="0" h="37465" w="2885440">
                              <a:moveTo>
                                <a:pt x="2885033" y="0"/>
                              </a:moveTo>
                              <a:lnTo>
                                <a:pt x="0" y="0"/>
                              </a:lnTo>
                              <a:lnTo>
                                <a:pt x="0" y="37439"/>
                              </a:lnTo>
                              <a:lnTo>
                                <a:pt x="2885033" y="37439"/>
                              </a:lnTo>
                              <a:lnTo>
                                <a:pt x="2885033"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3112363</wp:posOffset>
                </wp:positionH>
                <wp:positionV relativeFrom="paragraph">
                  <wp:posOffset>-109410</wp:posOffset>
                </wp:positionV>
                <wp:extent cx="2894965" cy="46990"/>
                <wp:effectExtent b="0" l="0" r="0" t="0"/>
                <wp:wrapNone/>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894965" cy="4699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6"/>
          <w:tab w:val="left" w:leader="none" w:pos="288"/>
        </w:tabs>
        <w:spacing w:after="0" w:before="47" w:line="232" w:lineRule="auto"/>
        <w:ind w:left="288" w:right="5" w:hanging="197"/>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ሮስ ኤልጄ፣ ሶሊንገር አር. የመራቢያ ፍትህ፡ መግቢያ። የካሊፎርኒያ ፕሬስ ዩኒቨርሲቲ፤ 2017።</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8" w:line="232" w:lineRule="auto"/>
        <w:ind w:left="295" w:right="4" w:hanging="20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ዳንኤልስ ኬ፣ ሞሸር ደብሊውዲ። ሴቶች እስካሁን የተጠቀሙባቸው የእርግዝና መከላከያ ዘዴዎች፡ ዩናይትድ ስቴትስ፣ 1982-2010። የናትል የጤና ስታቲስቲክስ ሪፖርት 2013፡1–15።</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6" w:hanging="20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Rossen LM፣ Hamilton BE፣ Abma JC፣ Gregory EC፣ Beresovsky V፣ Resendez AV። በዩናይትድ ስቴትስ ውስጥ አጠቃላይ እና ያልተፈለገ የእርግዝና መጠንን ለመገመት የተሻሻለ ዘዴ። ሰኔ 23፣ 2025 ላይ ተገኝቷል።</w:t>
      </w:r>
      <w:hyperlink r:id="rId23">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https://www.cdc.gov/nchs/data/series/sr_02/</w:t>
        </w:r>
      </w:hyperlink>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hyperlink r:id="rId24">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sr02-201.pdf</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6" w:line="232" w:lineRule="auto"/>
        <w:ind w:left="295" w:right="4" w:hanging="20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ኔልሰን ኤችዲ፣ ዳርኒ ቢጂ፣ አህረንስ ኬ፣ በርገስ ኤ፣ ጁንግባወር አርኤም፣ ካንተር ኤ፣ እና ሌሎችም። ያልታሰበ እርግዝና ከእናቶች እና ከጨቅላ ሕፃናት ጤና ውጤቶች ጋር ያለው ግንኙነት፡ ስልታዊ ግምገማ እና ሜታ-ትንተና። JAMA 2022፤328:1714–29። doi: 10.1001/ja-ma.2022.19097</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5" w:hanging="20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የመራቢያ ጤና እንክብካቤን በማቅረብ ረገድ የጤና ማህበራዊ እና መዋቅራዊ መወሰኛዎችን መፍታት። የ ACOG ኮሚቴ መግለጫ ቁጥር 11። የአሜሪካ የፅንስና የማህፀን ሐኪሞች ኮሌጅ። ኦብስቴት ጂኔኮል 2024፤144:e113–20። doi: 10.1097/AOG. 000000000005721</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4" w:hanging="20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በታካሚ ላይ ያተኮረ የእርግዝና መከላከያ ምክር። የACOG ኮሚቴ መግለጫ ቁጥር 1። የአሜሪካ የፅንስና የማህፀን ሐኪሞች ኮሌጅ። ኦብስቴት ጂኔኮል 2022፤139:350–3። doi: 10.1097/AOG. 000000000004659</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0"/>
        </w:tabs>
        <w:spacing w:after="0" w:before="72" w:line="192" w:lineRule="auto"/>
        <w:ind w:left="280" w:right="0" w:hanging="1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ግሪስዎልድ ከ ኮነቲከት፣ 381 US 479፣ 1965። ሰኔ 23 ላይ ተገናኝቷል፣</w:t>
      </w:r>
      <w:r w:rsidDel="00000000" w:rsidR="00000000" w:rsidRPr="00000000">
        <w:rPr>
          <w:rtl w:val="0"/>
        </w:rPr>
      </w:r>
    </w:p>
    <w:p w:rsidR="00000000" w:rsidDel="00000000" w:rsidP="00000000" w:rsidRDefault="00000000" w:rsidRPr="00000000" w14:paraId="00000089">
      <w:pPr>
        <w:spacing w:before="2" w:line="232" w:lineRule="auto"/>
        <w:ind w:left="281" w:right="4" w:firstLine="0"/>
        <w:jc w:val="both"/>
        <w:rPr>
          <w:sz w:val="17"/>
          <w:szCs w:val="17"/>
        </w:rPr>
      </w:pPr>
      <w:r w:rsidDel="00000000" w:rsidR="00000000" w:rsidRPr="00000000">
        <w:rPr>
          <w:color w:val="231f20"/>
          <w:sz w:val="17"/>
          <w:szCs w:val="17"/>
          <w:rtl w:val="0"/>
        </w:rPr>
        <w:t xml:space="preserve">2025.</w:t>
      </w:r>
      <w:hyperlink r:id="rId25">
        <w:r w:rsidDel="00000000" w:rsidR="00000000" w:rsidRPr="00000000">
          <w:rPr>
            <w:color w:val="231f20"/>
            <w:sz w:val="17"/>
            <w:szCs w:val="17"/>
            <w:rtl w:val="0"/>
          </w:rPr>
          <w:t xml:space="preserve">https://tile.loc.gov/storage-services/service/ll/usrep/us-rep381/usrep381479/usrep381479.pdf</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8" w:line="232" w:lineRule="auto"/>
        <w:ind w:left="295" w:right="6" w:hanging="20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አይሰንስታድት ከቤርድ፣ 405 US 438፣ 1972። ሰኔ 23፣ 2025 ተገናኝቷል።</w:t>
      </w:r>
      <w:hyperlink r:id="rId26">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https://tile.loc.gov/storage-services/service/ll/usrep/us-rep405/usrep405438/usrep405438.pdf</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6" w:line="232" w:lineRule="auto"/>
        <w:ind w:left="295" w:right="5" w:hanging="20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ስዋን ኤልኢ። የአሜሪካ ፖሊሲ በእርግዝና መከላከያ አቅርቦት ላይ ያለው ተጽእኖ፡ የፖሊሲ ትንተና። ሪፕሮድ ሄልዝ 2021፤18፡235–3። doi: 10. 1186/s12978-021-01289-3</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7"/>
          <w:tab w:val="left" w:leader="none" w:pos="289"/>
        </w:tabs>
        <w:spacing w:after="0" w:before="77" w:line="232" w:lineRule="auto"/>
        <w:ind w:left="289" w:right="5" w:hanging="28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ዶብስ ከጃክሰን የሴቶች የጤና ድርጅት ጋር፣ 597 ዩኤስ 215፣ 2022። ሰኔ 23፣ 2025 ተገናኝቷል።</w:t>
      </w:r>
      <w:hyperlink r:id="rId27">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https://www.supremecourt.</w:t>
        </w:r>
      </w:hyperlink>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hyperlink r:id="rId28">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gov/opinions/21pdf/19-1392_6j37.pdf</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0"/>
          <w:tab w:val="left" w:leader="none" w:pos="272"/>
        </w:tabs>
        <w:spacing w:after="0" w:before="78" w:line="232" w:lineRule="auto"/>
        <w:ind w:left="272" w:right="4" w:hanging="26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ክሌላንድ ኬ፣ ኩማር ቢ፣ ካካድ ኤን፣ ሻባዝ ጄ፣ ብሮጋን ኤንአር፣ ጋንዳል-ፓወርስ ኤምኬ፣ ወዘተ. የፅንስ ማስወረድ ገደቦች በዩናይትድ ስቴትስ ውስጥ ስለሚከሰቱ የአስቸኳይ ጊዜ የእርግዝና መከላከያዎችን የመጠበቅ ጊዜው አሁን ነው። የእርግዝና መከላከያ 2022፤114:6–9። doi: 10.1016/j.con-traception.2022.06.008</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6"/>
        </w:tabs>
        <w:spacing w:after="0" w:before="77" w:line="232" w:lineRule="auto"/>
        <w:ind w:left="286" w:right="4" w:hanging="27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የሆርሞን የወሊድ መቆጣጠሪያን ያለ ማዘዣ መጠቀም። የACOG ኮሚቴ አስተያየት ቁጥር 788። የአሜሪካ የፅንስና የማህፀን ሐኪሞች ኮሌጅ። ኦብስቴት ጂኔኮል 2019፤134:e96–105። doi: 10. 1097/AOG.0000000000003473</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6"/>
          <w:tab w:val="left" w:leader="none" w:pos="288"/>
        </w:tabs>
        <w:spacing w:after="0" w:before="77" w:line="232" w:lineRule="auto"/>
        <w:ind w:left="288" w:right="5" w:hanging="28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ሀርታዶ ኤሲ፣ ክሮውሊ ኤስኤም፣ ላንድሪ ኬኤም፣ ላንድሪ ኤምኤስ። በ2018 የቴሌሄልዝ የእርግዝና መከላከያ እንክብካቤ፡- ለተደራሽነት እና ለታካሚ እርካታ እንቅፋቶች የጥራት ማሻሻያ ጥናት። የእርግዝና መከላከያ 2022፤112፡81–5። doi: 10.1016/j.የእርግዝና መከላከያ.2022.02.011</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6"/>
        </w:tabs>
        <w:spacing w:after="0" w:before="77" w:line="232" w:lineRule="auto"/>
        <w:ind w:left="286" w:right="4" w:hanging="279"/>
        <w:jc w:val="both"/>
        <w:rPr>
          <w:smallCaps w:val="0"/>
          <w:strike w:val="0"/>
          <w:u w:val="none"/>
          <w:shd w:fill="auto" w:val="clear"/>
          <w:vertAlign w:val="baseline"/>
        </w:rPr>
        <w:sectPr>
          <w:type w:val="nextPage"/>
          <w:pgSz w:h="15480" w:w="11160" w:orient="portrait"/>
          <w:pgMar w:bottom="1300" w:top="800" w:left="850" w:right="850" w:header="0" w:footer="1076"/>
          <w:cols w:equalWidth="0" w:num="2">
            <w:col w:space="346" w:w="4557"/>
            <w:col w:space="0" w:w="4557"/>
          </w:cols>
        </w:sect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ኤክሃውስ ኤልኤም፣ ቲ ኤጄ፣ ከርቲስ ኬኤም፣ ስቱዋርት-ሊንች ኤል፣ ዋይትማን ኤምኬ። በፋርማሲስት የታዘዘ የእርግዝና መከላከያ ላይ የታካሚ እና የፋርማሲስት አመለካከቶች፡ ስልታዊ ግምገማ። የእርግዝና መከላከያ 2021፤103፡ 66–74። doi: 10.1016/j.የእርግዝና መከላከያ.2020.10.012</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6"/>
          <w:tab w:val="left" w:leader="none" w:pos="288"/>
        </w:tabs>
        <w:spacing w:after="0" w:before="79" w:line="232" w:lineRule="auto"/>
        <w:ind w:left="288" w:right="0" w:hanging="28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ወደ ማህጸን ውስጥ የሚገቡ መሳሪያዎችን እና የእርግዝና መከላከያዎችን ማሻሻል። የ ACOG ኮሚቴ መግለጫ ቁጥር 5። የአሜሪካ የፅንስና የማህፀን ሐኪሞች ኮሌጅ [በኦብስቴት ጂኔኮል 2023፤142:221 የታተመ] ኦብስቴት ጂኔኮል 2023፤141:866–72። doi: 10.1097/AOG.0000000000005127</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7"/>
          <w:tab w:val="left" w:leader="none" w:pos="289"/>
        </w:tabs>
        <w:spacing w:after="0" w:before="59" w:line="232" w:lineRule="auto"/>
        <w:ind w:left="289" w:right="1" w:hanging="28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ንጉየን ኤቲ፣ ከርቲስ ኬኤም፣ ቴፐር ኤንኬ፣ ኮርትስሚት ኬ፣ ብሪቴን ኤደብሊው፣ ስናይደር ኤም፣ እና ሌሎችም። የአሜሪካ የእርግዝና መከላከያ የሕክምና ብቁነት መስፈርቶች፣ 2024። የMMWR የምክር ሪፖርት 2024፤ 73:1–126። doi: 10. 15585/mmwr.rr7304a1</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8"/>
          <w:tab w:val="left" w:leader="none" w:pos="270"/>
        </w:tabs>
        <w:spacing w:after="0" w:before="59" w:line="232" w:lineRule="auto"/>
        <w:ind w:left="270" w:right="0" w:hanging="26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ከርቲስ ኬኤም፣ ንጉየን ኤቲ፣ ቴፐር ኤንኬ፣ ዛፓታ ኤልቢ፣ ስናይደር ኤም፣ ሃትፊልድ-ቲማጅቺ ኬ፣ እና ሌሎችም። ለወሊድ መከላከያ አጠቃቀም የተመረጡ የተግባር ምክሮች በአሜሪካ፣ 2024። የMMWR የምክር ሪፖርት 2024፤ 73:1–77። doi: 10.15585/mmwr.rr7303a1</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6"/>
          <w:tab w:val="left" w:leader="none" w:pos="288"/>
        </w:tabs>
        <w:spacing w:after="0" w:before="59" w:line="232" w:lineRule="auto"/>
        <w:ind w:left="288" w:right="0" w:hanging="282"/>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ስቴዋርት ኤፍኤች፣ ሃርፐር ሲሲ፣ ኤለርትሰን ሲኢ፣ ግሪምስ ዲኤ፣ ሳዋያ ጂኤፍ፣ ትሩሴል ጄ። ለሆርሞን የእርግዝና መከላከያ ክሊኒካዊ የጡት እና የዳሌ ምርመራ መስፈርቶች፡ የአሁኑ ልምምድ ከምስክርነት ጋር። JA-MA 2001፤285:2232–9። doi: 10.1001/jama.285.17.2232</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7"/>
          <w:tab w:val="left" w:leader="none" w:pos="289"/>
        </w:tabs>
        <w:spacing w:after="0" w:before="60" w:line="232" w:lineRule="auto"/>
        <w:ind w:left="289" w:right="0" w:hanging="28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ብራንዲ ኬ፣ ፉዌንስ ኤል. ደረጃውን የጠበቀ የወሊድ መከላከያ ምክር እና የታካሚ-ተኮር የቤተሰብ እቅድ እንክብካቤ አስፈላጊነት ታሪክ። Am J Obstet Gynecol 2020፤222:S873–7። doi: 10.1016/j.ajog.2019.11.1271</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ሞርስ ጄኢ፣ ራሜሽ ኤስ፣ ጃክሰን ኤ. ያልታሰበ እርግዝናን እንደገና መገምገም፡ በቤተሰብ ዕቅድ ዝግጅት ላይ በታካሚ ላይ ያተኮረ አቀራረብን ወደ ማድረግ። ኦብስቴት ጂኔኮል ክሊን ኖርዝ አም 2017፤44:27–40። doi: 10. 1016/j.ogc.2016.10.003</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2"/>
          <w:tab w:val="left" w:leader="none" w:pos="284"/>
        </w:tabs>
        <w:spacing w:after="0" w:before="59" w:line="232" w:lineRule="auto"/>
        <w:ind w:left="284" w:right="1" w:hanging="27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መርፊ ኤምኬ፣ ስቶፌል ሲ፣ ኖላን ኤም፣ ሃይደር ኤስ. ለታዳጊዎች ለረጅም ጊዜ የሚቀለበስ የእርግዝና መከላከያ ለመስጠት እርስ በርስ የሚደጋገፉ እንቅፋቶች፡ ከአቅራቢዎች የተገኙ ጥራት ያላቸው ግንዛቤዎች። ጄ ፔዲያትር አዶሌስ ጂኔኮል 2016፤29:436–42። doi: 10.1016/j.jpag.2016.01.125</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በቢሮ ውስጥ ለሚደረግ የማህፀን እና የማህጸን ህክምና ሂደቶች የህመም ማስታገሻ። ACOG ክሊኒካዊ ስምምነት ቁጥር 9። የአሜሪካ የፅንስና የማህፀን ህክምና ኮሌጅ። ኦብስቴት ጂኔኮል 2025፤146:161–77። doi: 10.1097/AOG.0000000000005911</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አሚኮ ጄአር፣ ሄንትዝ ሲ፣ ቤኔት ኤኤች፣ ጎልድ ኤም። የIUD ማስወገጃ ተደራሽነት፡ ከምስጢር ጥሪ የተደረገ ጥናት የተገኘ መረጃ። የእርግዝና መከላከያ 2020፤101:122–9። doi: 10.1016/j.የእርግዝና መከላከያ.2019.10.008</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7"/>
          <w:tab w:val="left" w:leader="none" w:pos="289"/>
        </w:tabs>
        <w:spacing w:after="0" w:before="59" w:line="232" w:lineRule="auto"/>
        <w:ind w:left="289" w:right="1" w:hanging="28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ቶቢን-ታይለር ኢ፣ አዳሺ ኢ. ከዶብስ በኋላ የጾታዊ እና የመራቢያ ጤና ግላዊነትን መጠበቅ። JAMA Int Med 2024፤184:861–2። doi: 10.1001/jamainternmed.2024.1652</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60"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ፎስተር ዲጂ፣ ፓርቫታኔኒ አር፣ ደ ቦካኔግራ ኤችቲ፣ ሉዊስ ሲ፣ ብራድስ-ቤሪ ኤም፣ ዳርኒ ፒ. የተሰጡ የአፍ ውስጥ የእርግዝና መከላከያ ክኒኖች ብዛት፣ የቀጣይ ዘዴ እና ወጪዎች። ኦብስቴት ጂኔኮል 2006፤108:1107–14። doi: 10.1097/01.AOG.0000239122.98508.39</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0"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የሴቶችን ጤና ለማሻሻል ሜዲኬይድን መጠበቅ እና ማስፋፋት። የACOG ኮሚቴ አስተያየት ቁጥር 826። የአሜሪካ የፅንስና የማህፀን ሐኪሞች ኮሌጅ። ኦብስቴት ጂኔኮል 2021፤137፡ e163–8። doi: 10.1097/AOG.0000000000004383</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7"/>
          <w:tab w:val="left" w:leader="none" w:pos="279"/>
        </w:tabs>
        <w:spacing w:after="0" w:before="59" w:line="232" w:lineRule="auto"/>
        <w:ind w:left="279" w:right="1" w:hanging="27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አጠቃላይ የፆታ ትምህርት። የኮሚቴ አስተያየት ቁጥር 678። የአሜሪካ የፅንስና የማህፀን ሐኪሞች ኮሌጅ። ኦብስቴት ጂኔኮል 2016፤128:e227–30። doi: 10.1097/AOG. 0000000000001769</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ካዲ ሲ፣ ኩምብ ጄ. ለረጅም ጊዜ የሚሠራ የሚቀለበስ የእርግዝና መከላከያ ጉግልሊንግ፡ ስለ ማህጸን ውስጥ ያሉ መሳሪያዎች እና የእርግዝና መከላከያ ተከላዎች በመስመር ላይ የሚገኘውን መረጃ የሚመረምር የስኮፒንግ ግምገማ። የጤና ፕሮሞት ጄ ኦስትር 2024፤35፡588–95። doi: 10.1002/hpja.806</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የአሜሪካ የፅንስና የማህፀን ሐኪሞች ኮሌጅ። የተሳሳተ መረጃ ማጥቃት። ሰኔ 23፣ 2025 ላይ ተገኝቷል።</w:t>
      </w:r>
      <w:hyperlink r:id="rId29">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https://www.</w:t>
        </w:r>
      </w:hyperlink>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hyperlink r:id="rId30">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acog.org/contact/media-center/combating-misinformation</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60"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ለአካል ጉዳተኞች የፅንስና የማህፀን ህክምና አገልግሎት ተደራሽነት። የACOG ኮሚቴ መግለጫ ቁጥር 18። የአሜሪካ የፅንስና የማህፀን ህክምና ባለሙያዎች ኮሌጅ። ኦብስቴት ጂኔኮል 2025፤ 145:553–63። doi: 10.1097/AOG.0000000000005879</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2"/>
          <w:tab w:val="left" w:leader="none" w:pos="284"/>
        </w:tabs>
        <w:spacing w:after="0" w:before="79" w:line="232" w:lineRule="auto"/>
        <w:ind w:left="284" w:right="5" w:hanging="278"/>
        <w:jc w:val="both"/>
        <w:rPr>
          <w:smallCaps w:val="0"/>
          <w:strike w:val="0"/>
          <w:u w:val="none"/>
          <w:shd w:fill="auto" w:val="clear"/>
          <w:vertAlign w:val="baseline"/>
        </w:rPr>
      </w:pPr>
      <w:r w:rsidDel="00000000" w:rsidR="00000000" w:rsidRPr="00000000">
        <w:br w:type="column"/>
      </w: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ሆርነር-ጆንሰን ደብሊው፣ ክላይን ኬኤ፣ ካምቤል ጄ፣ ጉይዝ ጄ። “ምርጫ ቢኖረን ጥሩ ነበር”፡- ለአካል ጉዳተኞች ሴቶች የወሊድ መከላከያ ውሳኔ አሰጣጥ እንቅፋቶች። የሴቶች የጤና ጉዳዮች 2022፤32፡261–7። doi: 10.1016/j.whi.2022.01.001</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3"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ስለ እርግዝና መከላከያ በጉርምስና ዕድሜ ላይ የሚገኙ ወጣቶችን ማማከር። የኮሚቴ አስተያየት ቁጥር 710። የአሜሪካ የፅንስና የማህፀን ሐኪሞች ኮሌጅ። ኦብስቴት ጂኔኮል 2017፤130:e74–80። doi: 10.1097/AOG. 0000000000002234</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4" w:line="232" w:lineRule="auto"/>
        <w:ind w:left="295" w:right="4"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በጉርምስና ዕድሜ ላይ ባሉ ወጣቶች የጤና እንክብካቤ ውስጥ ሚስጥራዊነት። የ ACOG ኮሚቴ አስተያየት ቁጥር 803። የአሜሪካ የፅንስና የማህፀን ሐኪሞች ኮሌጅ። ኦብስቴት ጂኔኮል 2020፤135:e171–7። doi: 10. 1097/AOG.0000000000003770</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 w:val="left" w:leader="none" w:pos="297"/>
        </w:tabs>
        <w:spacing w:after="0" w:before="82" w:line="232" w:lineRule="auto"/>
        <w:ind w:left="297" w:right="3" w:hanging="29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ቦርቶሊ ኤምኤም፣ ካንቲሚር ኤስ፣ ፓቼኮ-ብሮሶ ኤል፣ ዳህል ቢ፣ ሃንሰን ኢኤች፣ ሌዊስ ኬቢ፣ ወዘተ. የእርግዝና መከላከያ አማራጮችን ለሚያስቡ ወጣት ሴቶች የውሳኔ ፍላጎቶች እና ጣልቃ ገብነቶች፡ የጃንጥላ ግምገማ። BMC Womens Health 2024፤24:336–2። doi: 10. 1186/s12905-024-03172-2</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3"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ቻ ኤስ፣ ቻፕማን ዲኤ፣ ዋን ደብሊው፣ በርተን ሲደብሊው፣ ማሾ ኤስደብሊው. የጠበቀ የአጋር ጥቃት እና ከወሊድ በኋላ የወሊድ መከላከያ አጠቃቀም፡ የዘር/ጎሳ ሚና እና የቅድመ ወሊድ የወሊድ መቆጣጠሪያ ምክር። የእርግዝና መከላከያ 2015፤92፡268–75። doi: 10.1016/j.የወሊድ መከላከያ.2015.04. 009</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3"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የመራቢያ እና የወሲብ ማስገደድ። የኮሚቴ አስተያየት ቁጥር 554። የአሜሪካ የፅንስና የማህፀን ሐኪሞች ኮሌጅ። ኦብስቴት ጂኔኮል 2013፤121:411–5። doi: 10.1097/01.AOG. 0000426427.79586.3b</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7"/>
          <w:tab w:val="left" w:leader="none" w:pos="279"/>
        </w:tabs>
        <w:spacing w:after="0" w:before="83" w:line="232" w:lineRule="auto"/>
        <w:ind w:left="279" w:right="3" w:hanging="273"/>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ኸርሊ ኢኤ፣ ዱኤሎ ኤ፣ ፊኖቻሪዮ-ኬስለር ኤስ፣ ጎጊን ኬ፣ ስታንሲል ኤስ፣ ዊኖግራድ አርፒ፣ ወዘተ. የኦፒዮይድ አጠቃቀም ችግር ላለባቸው ሴቶች የእርግዝና መከላከያ ተደራሽነትን ማስፋፋት፡ እድሎችን እና ተግዳሮቶችን የሚያጠና የጥራት ጥናት። Am J Health Promot 2020፤34:909–18። doi: 10.1177/0890117120927327</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2"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ለእስር ቤት ላሉ ነፍሰ ጡር፣ ከወሊድ በኋላ እና እርጉዝ ላልሆኑ ግለሰቦች የመራቢያ ጤና እንክብካቤ። የACOG ኮሚቴ አስተያየት ቁጥር 830። የአሜሪካ የፅንስና የማህፀን ሐኪሞች ኮሌጅ። ኦብስቴት ጂኔኮል 2021፤138:e24–34። doi: 10.1097/AOG. 000000000004429</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3"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ለትራንስጀንደር እና ለጾታ ልዩነት ላላቸው ግለሰቦች የጤና እንክብካቤ። የ ACOG ኮሚቴ አስተያየት ቁጥር 823። የአሜሪካ የፅንስና የማህፀን ሐኪሞች ኮሌጅ። ኦብስቴት ጂኔኮል 2021፤137፡e75–</w:t>
      </w:r>
      <w:r w:rsidDel="00000000" w:rsidR="00000000" w:rsidRPr="00000000">
        <w:rPr>
          <w:rtl w:val="0"/>
        </w:rPr>
      </w:r>
    </w:p>
    <w:p w:rsidR="00000000" w:rsidDel="00000000" w:rsidP="00000000" w:rsidRDefault="00000000" w:rsidRPr="00000000" w14:paraId="000000AA">
      <w:pPr>
        <w:spacing w:before="0" w:line="190" w:lineRule="auto"/>
        <w:ind w:left="295" w:right="0" w:firstLine="0"/>
        <w:jc w:val="both"/>
        <w:rPr>
          <w:sz w:val="17"/>
          <w:szCs w:val="17"/>
        </w:rPr>
      </w:pPr>
      <w:r w:rsidDel="00000000" w:rsidR="00000000" w:rsidRPr="00000000">
        <w:rPr>
          <w:rFonts w:ascii="Nyala" w:cs="Nyala" w:eastAsia="Nyala" w:hAnsi="Nyala"/>
          <w:color w:val="231f20"/>
          <w:sz w:val="17"/>
          <w:szCs w:val="17"/>
          <w:rtl w:val="0"/>
        </w:rPr>
        <w:t xml:space="preserve">88. ዶኢ፡ 10.1097/AOG.00000000000004294</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2" w:line="232" w:lineRule="auto"/>
        <w:ind w:left="295" w:right="3"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Ag nor M፣ P rez AE፣ Wilhoit A፣ Almeda F፣ Charlton BM፣ Evans ML፣ እና ሌሎችም። በጾታዊ አቅጣጫ ማንነት እና በዩኤስ ሴቶች የዘር/ጎሳ ንዑስ ቡድኖች መካከል የእርግዝና መከላከያ እንክብካቤ ልዩነቶች፡ ብሔራዊ የዕድል ናሙና ጥናት። J Womens Health (Larchmt) 2021፤30:1406–15። doi: 10.1089/jwh.2020.8992</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7"/>
          <w:tab w:val="left" w:leader="none" w:pos="279"/>
        </w:tabs>
        <w:spacing w:after="0" w:before="83" w:line="232" w:lineRule="auto"/>
        <w:ind w:left="279" w:right="7" w:hanging="27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የአሜሪካ የፅንስና የማህፀን ሐኪሞች ኮሌጅ። ለአጠቃላይ የመራቢያ ጤና እንክብካቤ የተጣሉ ገደቦች። ሰኔ 23፣ 2025 ተገናኝቷል።</w:t>
      </w:r>
      <w:hyperlink r:id="rId31">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https://www.acog.org/clinical-information/poli-icy-and-position-statements/position-statements/2018/restric-tions-to-comprehensive-reproductive-health-care</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2"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ሰሎሞን ቲ፣ ኡትሊ ኤል፣ ሃስብሩክ ፒ፣ ጁንግ ዋይ። ትልቅ እና ትልቅ፡ የካቶሊክ የጤና ስርዓቶች እድገት። ሰኔ 23፣ 2025 ተገናኝቷል።</w:t>
      </w:r>
      <w:hyperlink r:id="rId32">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https://communitycatalyst.org/resource/bigger-and-big-ger-the-growth-of-catholic-health-systems</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83" w:line="232" w:lineRule="auto"/>
        <w:ind w:left="295" w:right="5"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ሜይል ጂ፣ ሞኔት ጄኤን። የካቶሊክ ሆስፒታል ትስስር እና ከወሊድ በኋላ የእርግዝና መከላከያ እንክብካቤ እና ቀጣይ ወሊዶች። JAMA Int Med 2024፤184:493–501። doi: 10.1001/jamainternmed.2023. 8425</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7"/>
        </w:tabs>
        <w:spacing w:after="0" w:before="78" w:line="192" w:lineRule="auto"/>
        <w:ind w:left="297" w:right="0" w:hanging="29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በርዌል ከሆቢ ሎቢ መደብሮች፣ ኢንክ.፣ 573 US 682፣ 2014። አክ-</w:t>
      </w:r>
      <w:r w:rsidDel="00000000" w:rsidR="00000000" w:rsidRPr="00000000">
        <w:rPr>
          <w:rtl w:val="0"/>
        </w:rPr>
      </w:r>
    </w:p>
    <w:p w:rsidR="00000000" w:rsidDel="00000000" w:rsidP="00000000" w:rsidRDefault="00000000" w:rsidRPr="00000000" w14:paraId="000000B0">
      <w:pPr>
        <w:spacing w:before="2" w:line="232" w:lineRule="auto"/>
        <w:ind w:left="298" w:right="6" w:firstLine="0"/>
        <w:jc w:val="both"/>
        <w:rPr>
          <w:sz w:val="17"/>
          <w:szCs w:val="17"/>
        </w:rPr>
        <w:sectPr>
          <w:type w:val="nextPage"/>
          <w:pgSz w:h="15480" w:w="11160" w:orient="portrait"/>
          <w:pgMar w:bottom="1300" w:top="800" w:left="850" w:right="850" w:header="0" w:footer="1076"/>
          <w:cols w:equalWidth="0" w:num="2">
            <w:col w:space="349" w:w="4555.5"/>
            <w:col w:space="0" w:w="4555.5"/>
          </w:cols>
        </w:sectPr>
      </w:pPr>
      <w:r w:rsidDel="00000000" w:rsidR="00000000" w:rsidRPr="00000000">
        <w:rPr>
          <w:rFonts w:ascii="Nyala" w:cs="Nyala" w:eastAsia="Nyala" w:hAnsi="Nyala"/>
          <w:color w:val="231f20"/>
          <w:sz w:val="17"/>
          <w:szCs w:val="17"/>
          <w:rtl w:val="0"/>
        </w:rPr>
        <w:t xml:space="preserve">ሰኔ 23፣ 2025 ተሰርዟል።</w:t>
      </w:r>
      <w:hyperlink r:id="rId33">
        <w:r w:rsidDel="00000000" w:rsidR="00000000" w:rsidRPr="00000000">
          <w:rPr>
            <w:color w:val="231f20"/>
            <w:sz w:val="17"/>
            <w:szCs w:val="17"/>
            <w:rtl w:val="0"/>
          </w:rPr>
          <w:t xml:space="preserve">https://supreme.justia.com/cases/fed-eral/us/573/13-354/case.pdf</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9" w:line="232" w:lineRule="auto"/>
        <w:ind w:left="295" w:right="0"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ጉያሂ ኤም. በካቶሊክ አካባቢዎች ለረጅም ጊዜ የሚቀለበስ የእርግዝና መከላከያዎችን ለመቀበል ሃይማኖታዊ እምቢተኝነት፡ የማስረጃ ጥሪ። Am J Obstet Gynecol 2020፤222:S869.e1–5። doi: 10.1016/j.ajog.2019.11.1270</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9"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በመራቢያ ሕክምና ውስጥ ሕሊናዊ እምቢተኝነት ገደቦች። የ ACOG ኮሚቴ አስተያየት ቁጥር 385። የአሜሪካ የፅንስና የማህፀን ሐኪሞች ኮሌጅ። ኦብስቴት ጂኔኮል 2007፤110:1203–</w:t>
      </w:r>
      <w:r w:rsidDel="00000000" w:rsidR="00000000" w:rsidRPr="00000000">
        <w:rPr>
          <w:rtl w:val="0"/>
        </w:rPr>
      </w:r>
    </w:p>
    <w:p w:rsidR="00000000" w:rsidDel="00000000" w:rsidP="00000000" w:rsidRDefault="00000000" w:rsidRPr="00000000" w14:paraId="000000B3">
      <w:pPr>
        <w:spacing w:before="0" w:line="189" w:lineRule="auto"/>
        <w:ind w:left="295" w:right="0" w:firstLine="0"/>
        <w:jc w:val="both"/>
        <w:rPr>
          <w:sz w:val="17"/>
          <w:szCs w:val="17"/>
        </w:rPr>
      </w:pPr>
      <w:r w:rsidDel="00000000" w:rsidR="00000000" w:rsidRPr="00000000">
        <w:rPr>
          <w:rFonts w:ascii="Nyala" w:cs="Nyala" w:eastAsia="Nyala" w:hAnsi="Nyala"/>
          <w:color w:val="231f20"/>
          <w:sz w:val="17"/>
          <w:szCs w:val="17"/>
          <w:rtl w:val="0"/>
        </w:rPr>
        <w:t xml:space="preserve">8. ዶኢ፡ 10.1097/01.AOG.0000291561.48203.27</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3"/>
          <w:tab w:val="left" w:leader="none" w:pos="275"/>
        </w:tabs>
        <w:spacing w:after="0" w:before="78" w:line="232" w:lineRule="auto"/>
        <w:ind w:left="275" w:right="1" w:hanging="26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ዳንኤልስ ኬ፣ አብማ ጄሲ። ከ15-49 ዓመት ዕድሜ ክልል ውስጥ ባሉ ሴቶች መካከል ያለው የአሁኑ የእርግዝና መከላከያ ሁኔታ፡ ዩናይትድ ስቴትስ፣ 2017-2019። የNCHS የውሂብ አጭር መግለጫ 2020፡1–8።</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ቋሚ የእርግዝና መከላከያ፡ የሥነ ምግባር ጉዳዮች እና ግምት ውስጥ የሚገቡ ጉዳዮች። የ ACOG ኮሚቴ መግለጫ ቁጥር 8። የአሜሪካ የፅንስና የማህፀን ሐኪሞች ኮሌጅ። ኦብስቴት ጂኔኮል 2024፤143:e31–9። doi: 10.1097/AOG.0000000000005474</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ብሔራዊ የጤና ስታቲስቲክስ ማዕከል። ቫሴክቶሚ። ኦገስት 5፣ 2025 ላይ ተገኝቷል።</w:t>
      </w:r>
      <w:hyperlink r:id="rId34">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https://www.cdc.gov/nchs/nsfg/key_statis-tics/v.htm#vasectomy</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8"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ንጉየን ቢቲ፣ ጆቺም አል፣ ሺህ ጂኤች። ሙሉ የእርግዝና መከላከያ አማራጮችን ያቀርባል፡- በአሜሪካ የቤተሰብ ምጣኔ ማህበረሰብ ውስጥ በቫሴክቶሚ ስልጠና ላይ የፍላጎት ጥናት። የእርግዝና መከላከያ 2017፤ 95:500–4። doi: 10.1016/j.የወሊድ መከላከያ.2017.01.002</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8"/>
        </w:tabs>
        <w:spacing w:after="0" w:before="78" w:line="232" w:lineRule="auto"/>
        <w:ind w:left="278" w:right="1" w:hanging="27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ንጉየን ቢቲ። የወንድ የወሊድ መከላከያ ፍላጎት፡- የዩናይትድ ስቴትስ ብሔራዊ የቤተሰብ እድገት ጥናት መረጃን በመጠቀም አዳዲስ የወንድ የወሊድ መከላከያ ዘዴዎችን ተጠቃሚዎች ሊኖሩ የሚችሉትን ገበያ መገመት። የእርግዝና መከላከያ 2024፤135:110438። doi: 10.1016/j.የወሊድ መከላከያ። 2024.110438</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1"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ለረጅም ጊዜ የሚሠራ የሚቀለበስ የእርግዝና መከላከያ፡- የተተከሉ እና በማህፀን ውስጥ ያሉ መሳሪያዎች። የተግባር ማስታወቂያ ቁጥር 186። የአሜሪካ የፅንስና የማህፀን ሐኪሞች ኮሌጅ። ኦብስቴት ጂኔኮል 2017፤130:e251–69። doi: 10.1097/AOG.0000000000002400</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0"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ኒውተን-ሌቪንሰን ኤ፣ ሬጂና አር፣ ዲስ ጂ፣ ሂግደን ኤም፣ ሱሊቫን ኤስ፣ ብሩክስ ኤምደብሊው፣ ወዘተ. በዋና እንክብካቤ ውስጥ የማዕረግ X የቤተሰብ ዕቅድ አገልግሎቶችን መተግበር፡ በጆርጂያ ውስጥ የአንደኛ ደረጃ እንክብካቤ አውታረ መረብ ጥራት ያለው ጥናት። የሴቶች የጤና ጉዳዮች 2023፤33፡142–52። doi: 10.1016/j.whi.2022.10.003</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 w:val="left" w:leader="none" w:pos="297"/>
        </w:tabs>
        <w:spacing w:after="0" w:before="77" w:line="232" w:lineRule="auto"/>
        <w:ind w:left="297" w:right="0" w:hanging="29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ክራስ ፒ፣ ሲኬ ኢኤች፣ ጆሺ ፒ፣ አከርስ ኤአይ፣ ዉድ ኤስኤም። ለረጅም ጊዜ በሚተገበር የሚቀለበስ የእርግዝና መከላከያ ስልጠና ላይ የህፃናት ነዋሪ አመለካከቶች፡ የድህረ ምረቃ የህክምና ትምህርት ሰልጣኞች የእውቅና ማረጋገጫ ምክር ቤት የመስቀለኛ ክፍል ጥናት። ጄ አዶሌስክ ጤና 2023፤ 72:964–71። doi: 10.1016/j.jadohealth.2023.01.016</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77" w:line="232" w:lineRule="auto"/>
        <w:ind w:left="295" w:right="0"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ሪቭስ ጄኤ፣ ዛፓታ ኤልቢ፣ ከርቲስ ኬኤም፣ ዋይትማን ኤምኬ። በዩኤስ የጤና እንክብካቤ መካከል በማህፀን ውስጥ ያሉ የመሳሪያ ስልጠና፣ አመለካከቶች እና ልምዶች</w:t>
      </w:r>
      <w:r w:rsidDel="00000000" w:rsidR="00000000" w:rsidRPr="00000000">
        <w:rPr>
          <w:rtl w:val="0"/>
        </w:rPr>
      </w:r>
    </w:p>
    <w:p w:rsidR="00000000" w:rsidDel="00000000" w:rsidP="00000000" w:rsidRDefault="00000000" w:rsidRPr="00000000" w14:paraId="000000BD">
      <w:pPr>
        <w:spacing w:before="79" w:line="232" w:lineRule="auto"/>
        <w:ind w:left="295" w:right="5" w:firstLine="0"/>
        <w:jc w:val="both"/>
        <w:rPr>
          <w:sz w:val="17"/>
          <w:szCs w:val="17"/>
        </w:rPr>
      </w:pPr>
      <w:r w:rsidDel="00000000" w:rsidR="00000000" w:rsidRPr="00000000">
        <w:br w:type="column"/>
      </w:r>
      <w:r w:rsidDel="00000000" w:rsidR="00000000" w:rsidRPr="00000000">
        <w:rPr>
          <w:rFonts w:ascii="Nyala" w:cs="Nyala" w:eastAsia="Nyala" w:hAnsi="Nyala"/>
          <w:color w:val="231f20"/>
          <w:sz w:val="17"/>
          <w:szCs w:val="17"/>
          <w:rtl w:val="0"/>
        </w:rPr>
        <w:t xml:space="preserve">አቅራቢዎች፡- በመላ አገሪቱ ከተደረገ ጥናት የተገኙ ግኝቶች። የሴቶች የጤና ጉዳዮች 2023፤33፡45–53። doi: 10.1016/j.whi.2022.08.002</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95"/>
        </w:tabs>
        <w:spacing w:after="0" w:before="59" w:line="232" w:lineRule="auto"/>
        <w:ind w:left="295" w:right="4" w:hanging="288"/>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7"/>
          <w:szCs w:val="17"/>
          <w:u w:val="none"/>
          <w:shd w:fill="auto" w:val="clear"/>
          <w:vertAlign w:val="baseline"/>
          <w:rtl w:val="0"/>
        </w:rPr>
        <w:t xml:space="preserve">ኬሊ ፒጄ፣ ቼንግ ኤ፣ ካርልሰን ኬ፣ ዊት ጄ። የላቀ የተግባር ልምድ ያላቸው የተመዘገቡ ነርሶች እና ለረጅም ጊዜ የሚተገበሩ የሚቀለበስ የእርግዝና መከላከያ። ጄ ሚድዋይፈሪ የሴቶች ጤና 2017፤62:190–5። doi: 10. 1111/jmwh.12578</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ind w:firstLine="7"/>
        <w:jc w:val="both"/>
        <w:rPr/>
      </w:pPr>
      <w:r w:rsidDel="00000000" w:rsidR="00000000" w:rsidRPr="00000000">
        <w:rPr>
          <w:color w:val="231f20"/>
          <w:rtl w:val="0"/>
        </w:rPr>
        <w:t xml:space="preserve">የጥቅም ግጭት መግለጫ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3112363</wp:posOffset>
                </wp:positionH>
                <wp:positionV relativeFrom="paragraph">
                  <wp:posOffset>-122250</wp:posOffset>
                </wp:positionV>
                <wp:extent cx="2894965" cy="46990"/>
                <wp:effectExtent b="0" l="0" r="0" t="0"/>
                <wp:wrapNone/>
                <wp:docPr id="1" name=""/>
                <a:graphic>
                  <a:graphicData uri="http://schemas.microsoft.com/office/word/2010/wordprocessingShape">
                    <wps:wsp>
                      <wps:cNvSpPr/>
                      <wps:cNvPr id="2" name="Shape 2"/>
                      <wps:spPr>
                        <a:xfrm>
                          <a:off x="3903280" y="3761268"/>
                          <a:ext cx="2885440" cy="37465"/>
                        </a:xfrm>
                        <a:custGeom>
                          <a:rect b="b" l="l" r="r" t="t"/>
                          <a:pathLst>
                            <a:path extrusionOk="0" h="37465" w="2885440">
                              <a:moveTo>
                                <a:pt x="2885033" y="0"/>
                              </a:moveTo>
                              <a:lnTo>
                                <a:pt x="0" y="0"/>
                              </a:lnTo>
                              <a:lnTo>
                                <a:pt x="0" y="37440"/>
                              </a:lnTo>
                              <a:lnTo>
                                <a:pt x="2885033" y="37440"/>
                              </a:lnTo>
                              <a:lnTo>
                                <a:pt x="2885033" y="0"/>
                              </a:lnTo>
                              <a:close/>
                            </a:path>
                          </a:pathLst>
                        </a:custGeom>
                        <a:solidFill>
                          <a:srgbClr val="DCDDD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3112363</wp:posOffset>
                </wp:positionH>
                <wp:positionV relativeFrom="paragraph">
                  <wp:posOffset>-122250</wp:posOffset>
                </wp:positionV>
                <wp:extent cx="2894965" cy="4699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894965" cy="46990"/>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 w:right="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ሁሉም የACOG ኮሚቴ አባላት እና ደራሲዎች ከዚህ የታተመ ምርት ጋር የተያያዘ የጥቅም ግጭት ይፋ መግለጫ አቅርበዋል። ማንኛውም ሊሆኑ የሚችሉ ግጭቶች በACOG የጥቅም ግጭት ይፋ መግለጫ ፖሊሲ መሠረት ታዝበው ተይዘዋል። የACOG ፖሊሲዎች በሚከተለው ላይ ይገኛሉ</w:t>
      </w:r>
      <w:hyperlink r:id="rId35">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acog.org</w:t>
        </w:r>
      </w:hyperlink>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ከሌሎች ድርጅቶች ጋር በጋራ ለሚዘጋጁ ምርቶች፣ የሌሎች ድርጅቶች ተወካዮች የሚያወጧቸው የጥቅም ግጭት መግለጫዎች በእነዚያ ድርጅቶች ይስተናገዳሉ።</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1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የአሜሪካ የፅንስና የማህፀን ሐኪሞች ኮሌጅ በዚህ የታተመ ምርት ይዘት ልማት ውስጥ ምንም አይነት የንግድ ተሳትፎ አላቀረበም ወይም አልተቀበለም። የዚህ ህትመት ይዘት የደራሲዎቹ ብቸኛ ኃላፊነት ሲሆን የዩናይትድ ስቴትስ የቀድሞ ወታደሮች ጉዳይ መምሪያ አመለካከቶችን ወይም ፖሊሲዎችን አያንፀባርቅም። የንግድ ስሞችን፣ የንግድ ምርቶችን ወይም ድርጅቶችን መጥቀስ የአሜሪካ መንግስት ድጋፍን አያመለክትም።</w:t>
      </w:r>
      <w:r w:rsidDel="00000000" w:rsidR="00000000" w:rsidRPr="00000000">
        <w:rPr>
          <w:rtl w:val="0"/>
        </w:rPr>
      </w:r>
    </w:p>
    <w:p w:rsidR="00000000" w:rsidDel="00000000" w:rsidP="00000000" w:rsidRDefault="00000000" w:rsidRPr="00000000" w14:paraId="000000C4">
      <w:pPr>
        <w:spacing w:before="221" w:lineRule="auto"/>
        <w:ind w:left="7" w:right="0" w:firstLine="0"/>
        <w:jc w:val="both"/>
        <w:rPr>
          <w:sz w:val="16"/>
          <w:szCs w:val="16"/>
        </w:rPr>
      </w:pPr>
      <w:r w:rsidDel="00000000" w:rsidR="00000000" w:rsidRPr="00000000">
        <w:rPr>
          <w:rFonts w:ascii="Nyala" w:cs="Nyala" w:eastAsia="Nyala" w:hAnsi="Nyala"/>
          <w:color w:val="231f20"/>
          <w:sz w:val="16"/>
          <w:szCs w:val="16"/>
          <w:rtl w:val="0"/>
        </w:rPr>
        <w:t xml:space="preserve">በኦንላይን የታተመው በጥቅምት 16፣ 2025 ዓ.ም.</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3117125</wp:posOffset>
                </wp:positionH>
                <wp:positionV relativeFrom="paragraph">
                  <wp:posOffset>72023</wp:posOffset>
                </wp:positionV>
                <wp:extent cx="2885440" cy="12700"/>
                <wp:effectExtent b="0" l="0" r="0" t="0"/>
                <wp:wrapNone/>
                <wp:docPr id="2" name=""/>
                <a:graphic>
                  <a:graphicData uri="http://schemas.microsoft.com/office/word/2010/wordprocessingShape">
                    <wps:wsp>
                      <wps:cNvSpPr/>
                      <wps:cNvPr id="3" name="Shape 3"/>
                      <wps:spPr>
                        <a:xfrm>
                          <a:off x="3903280" y="3776508"/>
                          <a:ext cx="2885440" cy="6985"/>
                        </a:xfrm>
                        <a:custGeom>
                          <a:rect b="b" l="l" r="r" t="t"/>
                          <a:pathLst>
                            <a:path extrusionOk="0" h="6985" w="2885440">
                              <a:moveTo>
                                <a:pt x="2885033" y="0"/>
                              </a:moveTo>
                              <a:lnTo>
                                <a:pt x="0" y="0"/>
                              </a:lnTo>
                              <a:lnTo>
                                <a:pt x="0" y="6480"/>
                              </a:lnTo>
                              <a:lnTo>
                                <a:pt x="2885033" y="6480"/>
                              </a:lnTo>
                              <a:lnTo>
                                <a:pt x="2885033" y="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3117125</wp:posOffset>
                </wp:positionH>
                <wp:positionV relativeFrom="paragraph">
                  <wp:posOffset>72023</wp:posOffset>
                </wp:positionV>
                <wp:extent cx="2885440" cy="1270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885440" cy="12700"/>
                        </a:xfrm>
                        <a:prstGeom prst="rect"/>
                        <a:ln/>
                      </pic:spPr>
                    </pic:pic>
                  </a:graphicData>
                </a:graphic>
              </wp:anchor>
            </w:drawing>
          </mc:Fallback>
        </mc:AlternateContent>
      </w:r>
    </w:p>
    <w:p w:rsidR="00000000" w:rsidDel="00000000" w:rsidP="00000000" w:rsidRDefault="00000000" w:rsidRPr="00000000" w14:paraId="000000C5">
      <w:pPr>
        <w:spacing w:before="60" w:line="232" w:lineRule="auto"/>
        <w:ind w:left="7" w:right="3" w:firstLine="0"/>
        <w:jc w:val="both"/>
        <w:rPr>
          <w:sz w:val="16"/>
          <w:szCs w:val="16"/>
        </w:rPr>
      </w:pPr>
      <w:r w:rsidDel="00000000" w:rsidR="00000000" w:rsidRPr="00000000">
        <w:rPr>
          <w:rFonts w:ascii="Nyala" w:cs="Nyala" w:eastAsia="Nyala" w:hAnsi="Nyala"/>
          <w:color w:val="231f20"/>
          <w:sz w:val="16"/>
          <w:szCs w:val="16"/>
          <w:rtl w:val="0"/>
        </w:rPr>
        <w:t xml:space="preserve">የቅጂ መብት 2025 በአሜሪካ የፅንስና የማህፀን ሐኪሞች ኮሌጅ። መብቱ በህግ የተጠበቀ ነው። የዚህ ህትመት ክፍል ከአታሚው አስቀድሞ የጽሑፍ ፈቃድ ሳይኖር በማንኛውም መልኩ ወይም በማንኛውም መንገድ በኤሌክትሮኒክ፣ ሜካኒካል፣ ፎቶኮፒ፣ ቀረጻ ወይም በሌላ መንገድ ሊባዛ፣ ሊባዛ ወይም ሊተላለፍ አይችልም።</w:t>
      </w:r>
      <w:r w:rsidDel="00000000" w:rsidR="00000000" w:rsidRPr="00000000">
        <w:rPr>
          <w:rtl w:val="0"/>
        </w:rPr>
      </w:r>
    </w:p>
    <w:p w:rsidR="00000000" w:rsidDel="00000000" w:rsidP="00000000" w:rsidRDefault="00000000" w:rsidRPr="00000000" w14:paraId="000000C6">
      <w:pPr>
        <w:spacing w:before="104" w:line="228" w:lineRule="auto"/>
        <w:ind w:left="7" w:right="4" w:firstLine="0"/>
        <w:jc w:val="both"/>
        <w:rPr>
          <w:rFonts w:ascii="Lucida Sans" w:cs="Lucida Sans" w:eastAsia="Lucida Sans" w:hAnsi="Lucida Sans"/>
          <w:sz w:val="16"/>
          <w:szCs w:val="16"/>
        </w:rPr>
      </w:pPr>
      <w:r w:rsidDel="00000000" w:rsidR="00000000" w:rsidRPr="00000000">
        <w:rPr>
          <w:rFonts w:ascii="Lucida Sans" w:cs="Lucida Sans" w:eastAsia="Lucida Sans" w:hAnsi="Lucida Sans"/>
          <w:color w:val="231f20"/>
          <w:sz w:val="16"/>
          <w:szCs w:val="16"/>
          <w:rtl w:val="0"/>
        </w:rPr>
        <w:t xml:space="preserve">የአሜሪካ የፅንስና የማህፀን ሐኪሞች ኮሌጅ 409 12ኛ ጎዳና ደቡብ ምዕራብ፣ ዋሽንግተን፣ ዲሲ 20024-2188</w:t>
      </w:r>
      <w:r w:rsidDel="00000000" w:rsidR="00000000" w:rsidRPr="00000000">
        <w:rPr>
          <w:rtl w:val="0"/>
        </w:rPr>
      </w:r>
    </w:p>
    <w:p w:rsidR="00000000" w:rsidDel="00000000" w:rsidP="00000000" w:rsidRDefault="00000000" w:rsidRPr="00000000" w14:paraId="000000C7">
      <w:pPr>
        <w:spacing w:before="100" w:line="235" w:lineRule="auto"/>
        <w:ind w:left="7" w:right="4" w:firstLine="0"/>
        <w:jc w:val="both"/>
        <w:rPr>
          <w:sz w:val="16"/>
          <w:szCs w:val="16"/>
        </w:rPr>
      </w:pPr>
      <w:r w:rsidDel="00000000" w:rsidR="00000000" w:rsidRPr="00000000">
        <w:rPr>
          <w:rFonts w:ascii="Nyala" w:cs="Nyala" w:eastAsia="Nyala" w:hAnsi="Nyala"/>
          <w:color w:val="231f20"/>
          <w:sz w:val="16"/>
          <w:szCs w:val="16"/>
          <w:rtl w:val="0"/>
        </w:rPr>
        <w:t xml:space="preserve">የእርግዝና መከላከያ ተደራሽነት። የኮሚቴ መግለጫ ቁጥር 21። የአሜሪካ የፅንስና የማህፀን ሐኪሞች ኮሌጅ። ኦብስቴት ጂኔኮል 2025፤146:e88–e97።</w:t>
      </w:r>
      <w:r w:rsidDel="00000000" w:rsidR="00000000" w:rsidRPr="00000000">
        <w:rPr>
          <w:rtl w:val="0"/>
        </w:rPr>
      </w:r>
    </w:p>
    <w:sectPr>
      <w:type w:val="nextPage"/>
      <w:pgSz w:h="15480" w:w="11160" w:orient="portrait"/>
      <w:pgMar w:bottom="1300" w:top="800" w:left="850" w:right="850" w:header="0" w:footer="1076"/>
      <w:cols w:equalWidth="0" w:num="2">
        <w:col w:space="349" w:w="4555.5"/>
        <w:col w:space="0" w:w="455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ucida Sans"/>
  <w:font w:name="Play">
    <w:embedRegular w:fontKey="{00000000-0000-0000-0000-000000000000}" r:id="rId1" w:subsetted="0"/>
    <w:embedBold w:fontKey="{00000000-0000-0000-0000-000000000000}" r:id="rId2" w:subsetted="0"/>
  </w:font>
  <w:font w:name="Nya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2146300" cy="152400"/>
              <wp:effectExtent b="0" l="0" r="0" t="0"/>
              <wp:wrapNone/>
              <wp:docPr id="20" name=""/>
              <a:graphic>
                <a:graphicData uri="http://schemas.microsoft.com/office/word/2010/wordprocessingShape">
                  <wps:wsp>
                    <wps:cNvSpPr/>
                    <wps:cNvPr id="27" name="Shape 27"/>
                    <wps:spPr>
                      <a:xfrm>
                        <a:off x="4277613" y="3708563"/>
                        <a:ext cx="2136775" cy="142875"/>
                      </a:xfrm>
                      <a:prstGeom prst="rect">
                        <a:avLst/>
                      </a:prstGeom>
                      <a:noFill/>
                      <a:ln>
                        <a:noFill/>
                      </a:ln>
                    </wps:spPr>
                    <wps:txbx>
                      <w:txbxContent>
                        <w:p w:rsidR="00000000" w:rsidDel="00000000" w:rsidP="00000000" w:rsidRDefault="00000000" w:rsidRPr="00000000">
                          <w:pPr>
                            <w:spacing w:after="0" w:before="0" w:line="197.99999713897705"/>
                            <w:ind w:left="20" w:right="0" w:firstLine="20"/>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e88	</w:t>
                          </w:r>
                          <w:r w:rsidDel="00000000" w:rsidR="00000000" w:rsidRPr="00000000">
                            <w:rPr>
                              <w:rFonts w:ascii="Century Gothic" w:cs="Century Gothic" w:eastAsia="Century Gothic" w:hAnsi="Century Gothic"/>
                              <w:b w:val="0"/>
                              <w:i w:val="0"/>
                              <w:smallCaps w:val="0"/>
                              <w:strike w:val="0"/>
                              <w:color w:val="231f20"/>
                              <w:sz w:val="18"/>
                              <w:vertAlign w:val="baseline"/>
                            </w:rPr>
                            <w:t xml:space="preserve">VOL. 146, NO. 5, NOVEMBER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2146300" cy="152400"/>
              <wp:effectExtent b="0" l="0" r="0" t="0"/>
              <wp:wrapNone/>
              <wp:docPr id="20"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146300"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4354645</wp:posOffset>
              </wp:positionH>
              <wp:positionV relativeFrom="paragraph">
                <wp:posOffset>-42244</wp:posOffset>
              </wp:positionV>
              <wp:extent cx="1664970" cy="152400"/>
              <wp:effectExtent b="0" l="0" r="0" t="0"/>
              <wp:wrapNone/>
              <wp:docPr id="3" name=""/>
              <a:graphic>
                <a:graphicData uri="http://schemas.microsoft.com/office/word/2010/wordprocessingShape">
                  <wps:wsp>
                    <wps:cNvSpPr/>
                    <wps:cNvPr id="4" name="Shape 4"/>
                    <wps:spPr>
                      <a:xfrm>
                        <a:off x="4518278" y="3708563"/>
                        <a:ext cx="1655445" cy="142875"/>
                      </a:xfrm>
                      <a:prstGeom prst="rect">
                        <a:avLst/>
                      </a:prstGeom>
                      <a:noFill/>
                      <a:ln>
                        <a:noFill/>
                      </a:ln>
                    </wps:spPr>
                    <wps:txbx>
                      <w:txbxContent>
                        <w:p w:rsidR="00000000" w:rsidDel="00000000" w:rsidP="00000000" w:rsidRDefault="00000000" w:rsidRPr="00000000">
                          <w:pPr>
                            <w:spacing w:after="0" w:before="0" w:line="195.99999904632568"/>
                            <w:ind w:left="20" w:right="0" w:firstLine="20"/>
                            <w:jc w:val="left"/>
                            <w:textDirection w:val="btLr"/>
                          </w:pPr>
                          <w:r w:rsidDel="00000000" w:rsidR="00000000" w:rsidRPr="00000000">
                            <w:rPr>
                              <w:rFonts w:ascii="Century Gothic" w:cs="Century Gothic" w:eastAsia="Century Gothic" w:hAnsi="Century Gothic"/>
                              <w:b w:val="0"/>
                              <w:i w:val="0"/>
                              <w:smallCaps w:val="0"/>
                              <w:strike w:val="0"/>
                              <w:color w:val="231f20"/>
                              <w:sz w:val="18"/>
                              <w:vertAlign w:val="baseline"/>
                            </w:rPr>
                            <w:t xml:space="preserve">OBSTETRICS &amp; GYNECOLOGY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4354645</wp:posOffset>
              </wp:positionH>
              <wp:positionV relativeFrom="paragraph">
                <wp:posOffset>-42244</wp:posOffset>
              </wp:positionV>
              <wp:extent cx="1664970" cy="15240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64970" cy="1524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1843405" cy="152400"/>
              <wp:effectExtent b="0" l="0" r="0" t="0"/>
              <wp:wrapNone/>
              <wp:docPr id="21" name=""/>
              <a:graphic>
                <a:graphicData uri="http://schemas.microsoft.com/office/word/2010/wordprocessingShape">
                  <wps:wsp>
                    <wps:cNvSpPr/>
                    <wps:cNvPr id="28" name="Shape 28"/>
                    <wps:spPr>
                      <a:xfrm>
                        <a:off x="4429060" y="3708563"/>
                        <a:ext cx="1833880" cy="142875"/>
                      </a:xfrm>
                      <a:prstGeom prst="rect">
                        <a:avLst/>
                      </a:prstGeom>
                      <a:noFill/>
                      <a:ln>
                        <a:noFill/>
                      </a:ln>
                    </wps:spPr>
                    <wps:txbx>
                      <w:txbxContent>
                        <w:p w:rsidR="00000000" w:rsidDel="00000000" w:rsidP="00000000" w:rsidRDefault="00000000" w:rsidRPr="00000000">
                          <w:pPr>
                            <w:spacing w:after="0" w:before="0" w:line="195.99999904632568"/>
                            <w:ind w:left="20" w:right="0" w:firstLine="20"/>
                            <w:jc w:val="left"/>
                            <w:textDirection w:val="btLr"/>
                          </w:pPr>
                          <w:r w:rsidDel="00000000" w:rsidR="00000000" w:rsidRPr="00000000">
                            <w:rPr>
                              <w:rFonts w:ascii="Century Gothic" w:cs="Century Gothic" w:eastAsia="Century Gothic" w:hAnsi="Century Gothic"/>
                              <w:b w:val="0"/>
                              <w:i w:val="0"/>
                              <w:smallCaps w:val="0"/>
                              <w:strike w:val="0"/>
                              <w:color w:val="231f20"/>
                              <w:sz w:val="18"/>
                              <w:vertAlign w:val="baseline"/>
                            </w:rPr>
                            <w:t xml:space="preserve">VOL. 146, NO. 5, NOVEMBER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1843405" cy="152400"/>
              <wp:effectExtent b="0" l="0" r="0" t="0"/>
              <wp:wrapNone/>
              <wp:docPr id="2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843405"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4402164</wp:posOffset>
              </wp:positionH>
              <wp:positionV relativeFrom="paragraph">
                <wp:posOffset>-44635</wp:posOffset>
              </wp:positionV>
              <wp:extent cx="1732280" cy="154940"/>
              <wp:effectExtent b="0" l="0" r="0" t="0"/>
              <wp:wrapNone/>
              <wp:docPr id="18" name=""/>
              <a:graphic>
                <a:graphicData uri="http://schemas.microsoft.com/office/word/2010/wordprocessingShape">
                  <wps:wsp>
                    <wps:cNvSpPr/>
                    <wps:cNvPr id="25" name="Shape 25"/>
                    <wps:spPr>
                      <a:xfrm>
                        <a:off x="4484623" y="3707293"/>
                        <a:ext cx="1722755" cy="145415"/>
                      </a:xfrm>
                      <a:prstGeom prst="rect">
                        <a:avLst/>
                      </a:prstGeom>
                      <a:noFill/>
                      <a:ln>
                        <a:noFill/>
                      </a:ln>
                    </wps:spPr>
                    <wps:txbx>
                      <w:txbxContent>
                        <w:p w:rsidR="00000000" w:rsidDel="00000000" w:rsidP="00000000" w:rsidRDefault="00000000" w:rsidRPr="00000000">
                          <w:pPr>
                            <w:spacing w:after="0" w:before="0" w:line="201.99999332427979"/>
                            <w:ind w:left="20" w:right="0" w:firstLine="20"/>
                            <w:jc w:val="left"/>
                            <w:textDirection w:val="btLr"/>
                          </w:pPr>
                          <w:r w:rsidDel="00000000" w:rsidR="00000000" w:rsidRPr="00000000">
                            <w:rPr>
                              <w:rFonts w:ascii="Arial" w:cs="Arial" w:eastAsia="Arial" w:hAnsi="Arial"/>
                              <w:b w:val="0"/>
                              <w:i w:val="1"/>
                              <w:smallCaps w:val="0"/>
                              <w:strike w:val="0"/>
                              <w:color w:val="231f20"/>
                              <w:sz w:val="18"/>
                              <w:vertAlign w:val="baseline"/>
                            </w:rPr>
                            <w:t xml:space="preserve">Access to Contraception  </w:t>
                          </w:r>
                          <w:r w:rsidDel="00000000" w:rsidR="00000000" w:rsidRPr="00000000">
                            <w:rPr>
                              <w:rFonts w:ascii="Gill Sans" w:cs="Gill Sans" w:eastAsia="Gill Sans" w:hAnsi="Gill Sans"/>
                              <w:b w:val="0"/>
                              <w:i w:val="0"/>
                              <w:smallCaps w:val="0"/>
                              <w:strike w:val="0"/>
                              <w:color w:val="231f20"/>
                              <w:sz w:val="18"/>
                              <w:vertAlign w:val="baseline"/>
                            </w:rPr>
                            <w:t xml:space="preserve">e89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4402164</wp:posOffset>
              </wp:positionH>
              <wp:positionV relativeFrom="paragraph">
                <wp:posOffset>-44635</wp:posOffset>
              </wp:positionV>
              <wp:extent cx="1732280" cy="154940"/>
              <wp:effectExtent b="0" l="0" r="0" t="0"/>
              <wp:wrapNone/>
              <wp:docPr id="18"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732280" cy="1549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326390" cy="152400"/>
              <wp:effectExtent b="0" l="0" r="0" t="0"/>
              <wp:wrapNone/>
              <wp:docPr id="6" name=""/>
              <a:graphic>
                <a:graphicData uri="http://schemas.microsoft.com/office/word/2010/wordprocessingShape">
                  <wps:wsp>
                    <wps:cNvSpPr/>
                    <wps:cNvPr id="7" name="Shape 7"/>
                    <wps:spPr>
                      <a:xfrm>
                        <a:off x="5187568" y="3708563"/>
                        <a:ext cx="316865" cy="142875"/>
                      </a:xfrm>
                      <a:prstGeom prst="rect">
                        <a:avLst/>
                      </a:prstGeom>
                      <a:noFill/>
                      <a:ln>
                        <a:noFill/>
                      </a:ln>
                    </wps:spPr>
                    <wps:txbx>
                      <w:txbxContent>
                        <w:p w:rsidR="00000000" w:rsidDel="00000000" w:rsidP="00000000" w:rsidRDefault="00000000" w:rsidRPr="00000000">
                          <w:pPr>
                            <w:spacing w:after="0" w:before="0" w:line="197.99999713897705"/>
                            <w:ind w:left="20" w:right="0" w:firstLine="20"/>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e90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326390" cy="15240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26390"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353592</wp:posOffset>
              </wp:positionH>
              <wp:positionV relativeFrom="paragraph">
                <wp:posOffset>-44635</wp:posOffset>
              </wp:positionV>
              <wp:extent cx="1327150" cy="153670"/>
              <wp:effectExtent b="0" l="0" r="0" t="0"/>
              <wp:wrapNone/>
              <wp:docPr id="16" name=""/>
              <a:graphic>
                <a:graphicData uri="http://schemas.microsoft.com/office/word/2010/wordprocessingShape">
                  <wps:wsp>
                    <wps:cNvSpPr/>
                    <wps:cNvPr id="21" name="Shape 21"/>
                    <wps:spPr>
                      <a:xfrm>
                        <a:off x="4687188" y="3707928"/>
                        <a:ext cx="1317625" cy="144145"/>
                      </a:xfrm>
                      <a:prstGeom prst="rect">
                        <a:avLst/>
                      </a:prstGeom>
                      <a:noFill/>
                      <a:ln>
                        <a:noFill/>
                      </a:ln>
                    </wps:spPr>
                    <wps:txbx>
                      <w:txbxContent>
                        <w:p w:rsidR="00000000" w:rsidDel="00000000" w:rsidP="00000000" w:rsidRDefault="00000000" w:rsidRPr="00000000">
                          <w:pPr>
                            <w:spacing w:after="0" w:before="0" w:line="197.99999713897705"/>
                            <w:ind w:left="20" w:right="0" w:firstLine="20"/>
                            <w:jc w:val="left"/>
                            <w:textDirection w:val="btLr"/>
                          </w:pPr>
                          <w:r w:rsidDel="00000000" w:rsidR="00000000" w:rsidRPr="00000000">
                            <w:rPr>
                              <w:rFonts w:ascii="Arial" w:cs="Arial" w:eastAsia="Arial" w:hAnsi="Arial"/>
                              <w:b w:val="0"/>
                              <w:i w:val="1"/>
                              <w:smallCaps w:val="0"/>
                              <w:strike w:val="0"/>
                              <w:color w:val="231f20"/>
                              <w:sz w:val="18"/>
                              <w:vertAlign w:val="baseline"/>
                            </w:rPr>
                            <w:t xml:space="preserve">Access to Contraception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353592</wp:posOffset>
              </wp:positionH>
              <wp:positionV relativeFrom="paragraph">
                <wp:posOffset>-44635</wp:posOffset>
              </wp:positionV>
              <wp:extent cx="1327150" cy="153670"/>
              <wp:effectExtent b="0" l="0" r="0" t="0"/>
              <wp:wrapNone/>
              <wp:docPr id="1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327150" cy="1536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4354645</wp:posOffset>
              </wp:positionH>
              <wp:positionV relativeFrom="paragraph">
                <wp:posOffset>-42244</wp:posOffset>
              </wp:positionV>
              <wp:extent cx="1664970" cy="152400"/>
              <wp:effectExtent b="0" l="0" r="0" t="0"/>
              <wp:wrapNone/>
              <wp:docPr id="5" name=""/>
              <a:graphic>
                <a:graphicData uri="http://schemas.microsoft.com/office/word/2010/wordprocessingShape">
                  <wps:wsp>
                    <wps:cNvSpPr/>
                    <wps:cNvPr id="6" name="Shape 6"/>
                    <wps:spPr>
                      <a:xfrm>
                        <a:off x="4518278" y="3708563"/>
                        <a:ext cx="1655445" cy="142875"/>
                      </a:xfrm>
                      <a:prstGeom prst="rect">
                        <a:avLst/>
                      </a:prstGeom>
                      <a:noFill/>
                      <a:ln>
                        <a:noFill/>
                      </a:ln>
                    </wps:spPr>
                    <wps:txbx>
                      <w:txbxContent>
                        <w:p w:rsidR="00000000" w:rsidDel="00000000" w:rsidP="00000000" w:rsidRDefault="00000000" w:rsidRPr="00000000">
                          <w:pPr>
                            <w:spacing w:after="0" w:before="0" w:line="195.99999904632568"/>
                            <w:ind w:left="20" w:right="0" w:firstLine="20"/>
                            <w:jc w:val="left"/>
                            <w:textDirection w:val="btLr"/>
                          </w:pPr>
                          <w:r w:rsidDel="00000000" w:rsidR="00000000" w:rsidRPr="00000000">
                            <w:rPr>
                              <w:rFonts w:ascii="Century Gothic" w:cs="Century Gothic" w:eastAsia="Century Gothic" w:hAnsi="Century Gothic"/>
                              <w:b w:val="0"/>
                              <w:i w:val="0"/>
                              <w:smallCaps w:val="0"/>
                              <w:strike w:val="0"/>
                              <w:color w:val="231f20"/>
                              <w:sz w:val="18"/>
                              <w:vertAlign w:val="baseline"/>
                            </w:rPr>
                            <w:t xml:space="preserve">OBSTETRICS &amp; GYNECOLOGY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4354645</wp:posOffset>
              </wp:positionH>
              <wp:positionV relativeFrom="paragraph">
                <wp:posOffset>-42244</wp:posOffset>
              </wp:positionV>
              <wp:extent cx="1664970" cy="152400"/>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664970" cy="1524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1843405" cy="152400"/>
              <wp:effectExtent b="0" l="0" r="0" t="0"/>
              <wp:wrapNone/>
              <wp:docPr id="14" name=""/>
              <a:graphic>
                <a:graphicData uri="http://schemas.microsoft.com/office/word/2010/wordprocessingShape">
                  <wps:wsp>
                    <wps:cNvSpPr/>
                    <wps:cNvPr id="19" name="Shape 19"/>
                    <wps:spPr>
                      <a:xfrm>
                        <a:off x="4429060" y="3708563"/>
                        <a:ext cx="1833880" cy="142875"/>
                      </a:xfrm>
                      <a:prstGeom prst="rect">
                        <a:avLst/>
                      </a:prstGeom>
                      <a:noFill/>
                      <a:ln>
                        <a:noFill/>
                      </a:ln>
                    </wps:spPr>
                    <wps:txbx>
                      <w:txbxContent>
                        <w:p w:rsidR="00000000" w:rsidDel="00000000" w:rsidP="00000000" w:rsidRDefault="00000000" w:rsidRPr="00000000">
                          <w:pPr>
                            <w:spacing w:after="0" w:before="0" w:line="195.99999904632568"/>
                            <w:ind w:left="20" w:right="0" w:firstLine="20"/>
                            <w:jc w:val="left"/>
                            <w:textDirection w:val="btLr"/>
                          </w:pPr>
                          <w:r w:rsidDel="00000000" w:rsidR="00000000" w:rsidRPr="00000000">
                            <w:rPr>
                              <w:rFonts w:ascii="Century Gothic" w:cs="Century Gothic" w:eastAsia="Century Gothic" w:hAnsi="Century Gothic"/>
                              <w:b w:val="0"/>
                              <w:i w:val="0"/>
                              <w:smallCaps w:val="0"/>
                              <w:strike w:val="0"/>
                              <w:color w:val="231f20"/>
                              <w:sz w:val="18"/>
                              <w:vertAlign w:val="baseline"/>
                            </w:rPr>
                            <w:t xml:space="preserve">VOL. 146, NO. 5, NOVEMBER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-12891</wp:posOffset>
              </wp:positionH>
              <wp:positionV relativeFrom="paragraph">
                <wp:posOffset>-42244</wp:posOffset>
              </wp:positionV>
              <wp:extent cx="1843405" cy="152400"/>
              <wp:effectExtent b="0" l="0" r="0" t="0"/>
              <wp:wrapNone/>
              <wp:docPr id="1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843405"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4402164</wp:posOffset>
              </wp:positionH>
              <wp:positionV relativeFrom="paragraph">
                <wp:posOffset>-44635</wp:posOffset>
              </wp:positionV>
              <wp:extent cx="1732280" cy="154940"/>
              <wp:effectExtent b="0" l="0" r="0" t="0"/>
              <wp:wrapNone/>
              <wp:docPr id="7" name=""/>
              <a:graphic>
                <a:graphicData uri="http://schemas.microsoft.com/office/word/2010/wordprocessingShape">
                  <wps:wsp>
                    <wps:cNvSpPr/>
                    <wps:cNvPr id="8" name="Shape 8"/>
                    <wps:spPr>
                      <a:xfrm>
                        <a:off x="4484623" y="3707293"/>
                        <a:ext cx="1722755" cy="145415"/>
                      </a:xfrm>
                      <a:prstGeom prst="rect">
                        <a:avLst/>
                      </a:prstGeom>
                      <a:noFill/>
                      <a:ln>
                        <a:noFill/>
                      </a:ln>
                    </wps:spPr>
                    <wps:txbx>
                      <w:txbxContent>
                        <w:p w:rsidR="00000000" w:rsidDel="00000000" w:rsidP="00000000" w:rsidRDefault="00000000" w:rsidRPr="00000000">
                          <w:pPr>
                            <w:spacing w:after="0" w:before="0" w:line="201.99999332427979"/>
                            <w:ind w:left="20" w:right="0" w:firstLine="20"/>
                            <w:jc w:val="left"/>
                            <w:textDirection w:val="btLr"/>
                          </w:pPr>
                          <w:r w:rsidDel="00000000" w:rsidR="00000000" w:rsidRPr="00000000">
                            <w:rPr>
                              <w:rFonts w:ascii="Arial" w:cs="Arial" w:eastAsia="Arial" w:hAnsi="Arial"/>
                              <w:b w:val="0"/>
                              <w:i w:val="1"/>
                              <w:smallCaps w:val="0"/>
                              <w:strike w:val="0"/>
                              <w:color w:val="231f20"/>
                              <w:sz w:val="18"/>
                              <w:vertAlign w:val="baseline"/>
                            </w:rPr>
                            <w:t xml:space="preserve">Access to Contraception  </w:t>
                          </w:r>
                          <w:r w:rsidDel="00000000" w:rsidR="00000000" w:rsidRPr="00000000">
                            <w:rPr>
                              <w:rFonts w:ascii="Gill Sans" w:cs="Gill Sans" w:eastAsia="Gill Sans" w:hAnsi="Gill Sans"/>
                              <w:b w:val="0"/>
                              <w:i w:val="0"/>
                              <w:smallCaps w:val="0"/>
                              <w:strike w:val="0"/>
                              <w:color w:val="231f20"/>
                              <w:sz w:val="18"/>
                              <w:vertAlign w:val="baseline"/>
                            </w:rPr>
                            <w:t xml:space="preserve">e91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4402164</wp:posOffset>
              </wp:positionH>
              <wp:positionV relativeFrom="paragraph">
                <wp:posOffset>-44635</wp:posOffset>
              </wp:positionV>
              <wp:extent cx="1732280" cy="15494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32280" cy="15494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197"/>
      </w:pPr>
      <w:rPr>
        <w:rFonts w:ascii="Arial" w:cs="Arial" w:eastAsia="Arial" w:hAnsi="Arial"/>
        <w:b w:val="0"/>
        <w:bCs w:val="0"/>
        <w:i w:val="0"/>
        <w:iCs w:val="0"/>
        <w:color w:val="231f20"/>
        <w:sz w:val="17"/>
        <w:szCs w:val="17"/>
      </w:rPr>
    </w:lvl>
    <w:lvl w:ilvl="1">
      <w:start w:val="0"/>
      <w:numFmt w:val="bullet"/>
      <w:lvlText w:val="•"/>
      <w:lvlJc w:val="left"/>
      <w:pPr>
        <w:ind w:left="707" w:hanging="197"/>
      </w:pPr>
      <w:rPr/>
    </w:lvl>
    <w:lvl w:ilvl="2">
      <w:start w:val="0"/>
      <w:numFmt w:val="bullet"/>
      <w:lvlText w:val="•"/>
      <w:lvlJc w:val="left"/>
      <w:pPr>
        <w:ind w:left="1135" w:hanging="197"/>
      </w:pPr>
      <w:rPr/>
    </w:lvl>
    <w:lvl w:ilvl="3">
      <w:start w:val="0"/>
      <w:numFmt w:val="bullet"/>
      <w:lvlText w:val="•"/>
      <w:lvlJc w:val="left"/>
      <w:pPr>
        <w:ind w:left="1563" w:hanging="196.99999999999977"/>
      </w:pPr>
      <w:rPr/>
    </w:lvl>
    <w:lvl w:ilvl="4">
      <w:start w:val="0"/>
      <w:numFmt w:val="bullet"/>
      <w:lvlText w:val="•"/>
      <w:lvlJc w:val="left"/>
      <w:pPr>
        <w:ind w:left="1991" w:hanging="197"/>
      </w:pPr>
      <w:rPr/>
    </w:lvl>
    <w:lvl w:ilvl="5">
      <w:start w:val="0"/>
      <w:numFmt w:val="bullet"/>
      <w:lvlText w:val="•"/>
      <w:lvlJc w:val="left"/>
      <w:pPr>
        <w:ind w:left="2418" w:hanging="197"/>
      </w:pPr>
      <w:rPr/>
    </w:lvl>
    <w:lvl w:ilvl="6">
      <w:start w:val="0"/>
      <w:numFmt w:val="bullet"/>
      <w:lvlText w:val="•"/>
      <w:lvlJc w:val="left"/>
      <w:pPr>
        <w:ind w:left="2846" w:hanging="196.99999999999955"/>
      </w:pPr>
      <w:rPr/>
    </w:lvl>
    <w:lvl w:ilvl="7">
      <w:start w:val="0"/>
      <w:numFmt w:val="bullet"/>
      <w:lvlText w:val="•"/>
      <w:lvlJc w:val="left"/>
      <w:pPr>
        <w:ind w:left="3274" w:hanging="197"/>
      </w:pPr>
      <w:rPr/>
    </w:lvl>
    <w:lvl w:ilvl="8">
      <w:start w:val="0"/>
      <w:numFmt w:val="bullet"/>
      <w:lvlText w:val="•"/>
      <w:lvlJc w:val="left"/>
      <w:pPr>
        <w:ind w:left="3702" w:hanging="197"/>
      </w:pPr>
      <w:rPr/>
    </w:lvl>
  </w:abstractNum>
  <w:abstractNum w:abstractNumId="2">
    <w:lvl w:ilvl="0">
      <w:start w:val="0"/>
      <w:numFmt w:val="bullet"/>
      <w:lvlText w:val="•"/>
      <w:lvlJc w:val="left"/>
      <w:pPr>
        <w:ind w:left="302" w:hanging="175"/>
      </w:pPr>
      <w:rPr>
        <w:rFonts w:ascii="Arial" w:cs="Arial" w:eastAsia="Arial" w:hAnsi="Arial"/>
        <w:b w:val="0"/>
        <w:bCs w:val="0"/>
        <w:i w:val="0"/>
        <w:iCs w:val="0"/>
        <w:color w:val="231f20"/>
        <w:sz w:val="10"/>
        <w:szCs w:val="10"/>
      </w:rPr>
    </w:lvl>
    <w:lvl w:ilvl="1">
      <w:start w:val="0"/>
      <w:numFmt w:val="bullet"/>
      <w:lvlText w:val="•"/>
      <w:lvlJc w:val="left"/>
      <w:pPr>
        <w:ind w:left="302" w:hanging="175"/>
      </w:pPr>
      <w:rPr>
        <w:rFonts w:ascii="Arial" w:cs="Arial" w:eastAsia="Arial" w:hAnsi="Arial"/>
        <w:b w:val="0"/>
        <w:bCs w:val="0"/>
        <w:i w:val="0"/>
        <w:iCs w:val="0"/>
        <w:color w:val="231f20"/>
        <w:sz w:val="10"/>
        <w:szCs w:val="10"/>
      </w:rPr>
    </w:lvl>
    <w:lvl w:ilvl="2">
      <w:start w:val="0"/>
      <w:numFmt w:val="bullet"/>
      <w:lvlText w:val="•"/>
      <w:lvlJc w:val="left"/>
      <w:pPr>
        <w:ind w:left="1150" w:hanging="175"/>
      </w:pPr>
      <w:rPr/>
    </w:lvl>
    <w:lvl w:ilvl="3">
      <w:start w:val="0"/>
      <w:numFmt w:val="bullet"/>
      <w:lvlText w:val="•"/>
      <w:lvlJc w:val="left"/>
      <w:pPr>
        <w:ind w:left="1575" w:hanging="175"/>
      </w:pPr>
      <w:rPr/>
    </w:lvl>
    <w:lvl w:ilvl="4">
      <w:start w:val="0"/>
      <w:numFmt w:val="bullet"/>
      <w:lvlText w:val="•"/>
      <w:lvlJc w:val="left"/>
      <w:pPr>
        <w:ind w:left="2000" w:hanging="175"/>
      </w:pPr>
      <w:rPr/>
    </w:lvl>
    <w:lvl w:ilvl="5">
      <w:start w:val="0"/>
      <w:numFmt w:val="bullet"/>
      <w:lvlText w:val="•"/>
      <w:lvlJc w:val="left"/>
      <w:pPr>
        <w:ind w:left="2426" w:hanging="175"/>
      </w:pPr>
      <w:rPr/>
    </w:lvl>
    <w:lvl w:ilvl="6">
      <w:start w:val="0"/>
      <w:numFmt w:val="bullet"/>
      <w:lvlText w:val="•"/>
      <w:lvlJc w:val="left"/>
      <w:pPr>
        <w:ind w:left="2851" w:hanging="175"/>
      </w:pPr>
      <w:rPr/>
    </w:lvl>
    <w:lvl w:ilvl="7">
      <w:start w:val="0"/>
      <w:numFmt w:val="bullet"/>
      <w:lvlText w:val="•"/>
      <w:lvlJc w:val="left"/>
      <w:pPr>
        <w:ind w:left="3276" w:hanging="175"/>
      </w:pPr>
      <w:rPr/>
    </w:lvl>
    <w:lvl w:ilvl="8">
      <w:start w:val="0"/>
      <w:numFmt w:val="bullet"/>
      <w:lvlText w:val="•"/>
      <w:lvlJc w:val="left"/>
      <w:pPr>
        <w:ind w:left="3701" w:hanging="17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
    </w:pPr>
    <w:rPr>
      <w:rFonts w:ascii="Lucida Sans" w:cs="Lucida Sans" w:eastAsia="Lucida Sans" w:hAnsi="Lucida Sans"/>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
    </w:pPr>
    <w:rPr>
      <w:rFonts w:ascii="Lucida Sans" w:cs="Lucida Sans" w:eastAsia="Lucida Sans" w:hAnsi="Lucida Sans"/>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cog.org/womens-health/healthy-living/birth-control" TargetMode="External"/><Relationship Id="rId22" Type="http://schemas.openxmlformats.org/officeDocument/2006/relationships/hyperlink" Target="https://www.acog.org/clinical-information/policy-and-position-statements/statements-of-policy/2022/inclusive-language" TargetMode="External"/><Relationship Id="rId21" Type="http://schemas.openxmlformats.org/officeDocument/2006/relationships/hyperlink" Target="https://www.acog.org/clinical-information/policy-and-position-statements/statements-of-policy/2022/inclusive-language" TargetMode="External"/><Relationship Id="rId24" Type="http://schemas.openxmlformats.org/officeDocument/2006/relationships/hyperlink" Target="https://www.cdc.gov/nchs/data/series/sr_02/sr02-201.pdf" TargetMode="External"/><Relationship Id="rId23" Type="http://schemas.openxmlformats.org/officeDocument/2006/relationships/hyperlink" Target="https://www.cdc.gov/nchs/data/series/sr_02/sr02-2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tile.loc.gov/storage-services/service/ll/usrep/usrep405/usrep405438/usrep405438.pdf" TargetMode="External"/><Relationship Id="rId25" Type="http://schemas.openxmlformats.org/officeDocument/2006/relationships/hyperlink" Target="https://tile.loc.gov/storage-services/service/ll/usrep/usrep381/usrep381479/usrep381479.pdf" TargetMode="External"/><Relationship Id="rId28" Type="http://schemas.openxmlformats.org/officeDocument/2006/relationships/hyperlink" Target="https://www.supremecourt.gov/opinions/21pdf/19-1392_6j37.pdf" TargetMode="External"/><Relationship Id="rId27" Type="http://schemas.openxmlformats.org/officeDocument/2006/relationships/hyperlink" Target="https://www.supremecourt.gov/opinions/21pdf/19-1392_6j37.pdf" TargetMode="External"/><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hyperlink" Target="https://www.acog.org/contact/media-center/combating-misinformation" TargetMode="External"/><Relationship Id="rId7" Type="http://schemas.openxmlformats.org/officeDocument/2006/relationships/image" Target="media/image1.png"/><Relationship Id="rId8" Type="http://schemas.openxmlformats.org/officeDocument/2006/relationships/footer" Target="footer2.xml"/><Relationship Id="rId31" Type="http://schemas.openxmlformats.org/officeDocument/2006/relationships/hyperlink" Target="https://www.acog.org/clinical-information/policy-and-position-statements/position-statements/2018/restrictions-to-comprehensive-reproductive-health-care" TargetMode="External"/><Relationship Id="rId30" Type="http://schemas.openxmlformats.org/officeDocument/2006/relationships/hyperlink" Target="https://www.acog.org/contact/media-center/combating-misinformation" TargetMode="External"/><Relationship Id="rId11" Type="http://schemas.openxmlformats.org/officeDocument/2006/relationships/image" Target="media/image2.png"/><Relationship Id="rId33" Type="http://schemas.openxmlformats.org/officeDocument/2006/relationships/hyperlink" Target="https://supreme.justia.com/cases/federal/us/573/13-354/case.pdf" TargetMode="External"/><Relationship Id="rId10" Type="http://schemas.openxmlformats.org/officeDocument/2006/relationships/hyperlink" Target="http://acog.org/lot" TargetMode="External"/><Relationship Id="rId32" Type="http://schemas.openxmlformats.org/officeDocument/2006/relationships/hyperlink" Target="https://communitycatalyst.org/resource/bigger-and-bigger-the-growth-of-catholic-health-systems" TargetMode="External"/><Relationship Id="rId13" Type="http://schemas.openxmlformats.org/officeDocument/2006/relationships/hyperlink" Target="https://projectsouth.org/wp-content/uploads/2020/09/OIG-ICDC-Complaint-1.pdf" TargetMode="External"/><Relationship Id="rId35" Type="http://schemas.openxmlformats.org/officeDocument/2006/relationships/hyperlink" Target="http://acog.org/" TargetMode="External"/><Relationship Id="rId12" Type="http://schemas.openxmlformats.org/officeDocument/2006/relationships/hyperlink" Target="https://www.acog.org/news/news-articles/2020/08/joint-statement-obstetrics-and-gynecology-collective-action-addressing-racism" TargetMode="External"/><Relationship Id="rId34" Type="http://schemas.openxmlformats.org/officeDocument/2006/relationships/hyperlink" Target="https://www.cdc.gov/nchs/nsfg/key_statistics/v.htm#vasectomy" TargetMode="External"/><Relationship Id="rId15" Type="http://schemas.openxmlformats.org/officeDocument/2006/relationships/hyperlink" Target="https://www.acog.org/clinical-information/policy-and-position-statements/statements-of-policy/2022/racism-in-obstetrics-gynecology" TargetMode="External"/><Relationship Id="rId14" Type="http://schemas.openxmlformats.org/officeDocument/2006/relationships/hyperlink" Target="https://projectsouth.org/wp-content/uploads/2020/09/OIG-ICDC-Complaint-1.pdf" TargetMode="External"/><Relationship Id="rId17" Type="http://schemas.openxmlformats.org/officeDocument/2006/relationships/footer" Target="footer4.xml"/><Relationship Id="rId16" Type="http://schemas.openxmlformats.org/officeDocument/2006/relationships/hyperlink" Target="https://www.acog.org/clinical-information/policy-and-position-statements/statements-of-policy/2022/racism-in-obstetrics-gynecology" TargetMode="External"/><Relationship Id="rId19" Type="http://schemas.openxmlformats.org/officeDocument/2006/relationships/hyperlink" Target="https://www.acog.org/womens-health/healthy-living/birth-control" TargetMode="External"/><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s>
</file>

<file path=word/_rels/footer3.xml.rels><?xml version="1.0" encoding="UTF-8" standalone="yes"?><Relationships xmlns="http://schemas.openxmlformats.org/package/2006/relationships"><Relationship Id="rId1" Type="http://schemas.openxmlformats.org/officeDocument/2006/relationships/image" Target="media/image22.png"/></Relationships>
</file>

<file path=word/_rels/footer4.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2026-10-27T00:00:00Z</vt:lpwstr>
  </property>
  <property fmtid="{D5CDD505-2E9C-101B-9397-08002B2CF9AE}" pid="4" name="LastSaved">
    <vt:lpwstr>2026-10-27T00:00:00Z</vt:lpwstr>
  </property>
  <property fmtid="{D5CDD505-2E9C-101B-9397-08002B2CF9AE}" pid="5" name="Producer">
    <vt:lpwstr>3-Heights™ PDF Merge Split Shell 6.12.1.11 (http://www.pdf-tools.com)</vt:lpwstr>
  </property>
</Properties>
</file>