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Agentforce Spec Template</w:t>
      </w:r>
    </w:p>
    <w:p>
      <w:r>
        <w:t>1. Agent basics:</w:t>
      </w:r>
    </w:p>
    <w:p>
      <w:r>
        <w:t>2. Workflow diagram:</w:t>
      </w:r>
    </w:p>
    <w:p>
      <w:r>
        <w:t>3. User intents:</w:t>
      </w:r>
    </w:p>
    <w:p>
      <w:r>
        <w:t>4. Required data and systems:</w:t>
      </w:r>
    </w:p>
    <w:p>
      <w:r>
        <w:t>5. Edge cases and escalation paths:</w:t>
      </w:r>
    </w:p>
    <w:p>
      <w:r>
        <w:t>6. Tone and response style:</w:t>
      </w:r>
    </w:p>
    <w:p>
      <w:r>
        <w:t>7. Security and permissions:</w:t>
      </w:r>
    </w:p>
    <w:p>
      <w:r>
        <w:t>Build prompt: Attach the completed PDF and ask Claude Code to derive actions, variables, and topics from the workflow.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6"/>
    </w:rPr>
  </w:style>
</w:styles>
</file>

<file path=word/_rels/document.xml.rels><?xml version="1.0" encoding="UTF-8" standalone="yes"?>
<Relationships xmlns="http://schemas.openxmlformats.org/package/2006/relationships"/>
</file>