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 / Δt</w:t>
            </w:r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17AFBBB4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inr</m:t>
                  </m:r>
                </m:sub>
              </m:sSub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6FF24B31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inr</m:t>
                  </m:r>
                </m:sub>
              </m:sSub>
            </m:e>
          </m:d>
        </m:oMath>
      </m:oMathPara>
    </w:p>
    <w:p w14:paraId="5FD62215" w14:textId="16C18896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77777777" w:rsidR="001732BC" w:rsidRDefault="001732BC" w:rsidP="006B1CF1">
      <w:pPr>
        <w:rPr>
          <w:rFonts w:ascii="Cambria" w:hAnsi="Cambria"/>
          <w:sz w:val="24"/>
          <w:szCs w:val="24"/>
        </w:rPr>
      </w:pP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79285F24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7866A8D5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FC78F26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4BB1C46A" w:rsidR="003331EC" w:rsidRDefault="00963D9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7C49503B" w14:textId="695771BD" w:rsidR="00963D90" w:rsidRDefault="00EA3F1D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</w:t>
      </w:r>
      <w:r w:rsidR="003144B3">
        <w:rPr>
          <w:rFonts w:ascii="Cambria" w:hAnsi="Cambria"/>
          <w:sz w:val="24"/>
          <w:szCs w:val="24"/>
        </w:rPr>
        <w:t xml:space="preserve"> the global constraint force vector is given by</w:t>
      </w:r>
      <w:r>
        <w:rPr>
          <w:rFonts w:ascii="Cambria" w:hAnsi="Cambria"/>
          <w:sz w:val="24"/>
          <w:szCs w:val="24"/>
        </w:rPr>
        <w:t>,</w:t>
      </w:r>
    </w:p>
    <w:p w14:paraId="38A89C9E" w14:textId="70056B1C" w:rsidR="00EA3F1D" w:rsidRDefault="00EA3F1D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3C78396A" w14:textId="77777777" w:rsidR="00EA3F1D" w:rsidRDefault="00EA3F1D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71BD7ADF" w:rsidR="00B53418" w:rsidRDefault="00B53418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5B272AE" w:rsidR="00361ED4" w:rsidRDefault="00F000DE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4BF77367" w:rsidR="007E77CE" w:rsidRDefault="007E77CE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000000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000000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000000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000000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000000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A91F802" wp14:editId="55AC879D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F41A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D228" w14:textId="77777777" w:rsidR="00F41A67" w:rsidRDefault="00F41A67" w:rsidP="00612E79">
      <w:pPr>
        <w:spacing w:after="0" w:line="240" w:lineRule="auto"/>
      </w:pPr>
      <w:r>
        <w:separator/>
      </w:r>
    </w:p>
  </w:endnote>
  <w:endnote w:type="continuationSeparator" w:id="0">
    <w:p w14:paraId="5D8CDD81" w14:textId="77777777" w:rsidR="00F41A67" w:rsidRDefault="00F41A67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C873" w14:textId="77777777" w:rsidR="00F41A67" w:rsidRDefault="00F41A67" w:rsidP="00612E79">
      <w:pPr>
        <w:spacing w:after="0" w:line="240" w:lineRule="auto"/>
      </w:pPr>
      <w:r>
        <w:separator/>
      </w:r>
    </w:p>
  </w:footnote>
  <w:footnote w:type="continuationSeparator" w:id="0">
    <w:p w14:paraId="7BEB03B0" w14:textId="77777777" w:rsidR="00F41A67" w:rsidRDefault="00F41A67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31DF"/>
    <w:rsid w:val="001731EE"/>
    <w:rsid w:val="001732BC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71DDB"/>
    <w:rsid w:val="00274B71"/>
    <w:rsid w:val="002753F5"/>
    <w:rsid w:val="00275AC7"/>
    <w:rsid w:val="00280141"/>
    <w:rsid w:val="00281490"/>
    <w:rsid w:val="002847C1"/>
    <w:rsid w:val="0028547D"/>
    <w:rsid w:val="00287D35"/>
    <w:rsid w:val="002900C5"/>
    <w:rsid w:val="00292BE3"/>
    <w:rsid w:val="0029376E"/>
    <w:rsid w:val="00293913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A0C5B"/>
    <w:rsid w:val="006A287C"/>
    <w:rsid w:val="006A39BD"/>
    <w:rsid w:val="006A4070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3E97"/>
    <w:rsid w:val="006E4E6A"/>
    <w:rsid w:val="006E5024"/>
    <w:rsid w:val="006E74B8"/>
    <w:rsid w:val="006E7AAB"/>
    <w:rsid w:val="006F0A41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BC8"/>
    <w:rsid w:val="00A82F32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ADD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296A"/>
    <w:rsid w:val="00C13FA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FDC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12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1277</cp:revision>
  <dcterms:created xsi:type="dcterms:W3CDTF">2023-10-01T02:21:00Z</dcterms:created>
  <dcterms:modified xsi:type="dcterms:W3CDTF">2024-04-19T04:37:00Z</dcterms:modified>
  <cp:category>Structural Engineer</cp:category>
</cp:coreProperties>
</file>