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8F6D8" w14:textId="1519E7BC" w:rsidR="000F2C3E" w:rsidRPr="00CB7E90" w:rsidRDefault="00CB7E90" w:rsidP="00CB7E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BUSINESS INSIGHTS</w:t>
      </w:r>
      <w:r w:rsidRPr="00CB7E90">
        <w:rPr>
          <w:b/>
          <w:bCs/>
          <w:sz w:val="32"/>
          <w:szCs w:val="32"/>
        </w:rPr>
        <w:t xml:space="preserve"> &amp; R</w:t>
      </w:r>
      <w:r>
        <w:rPr>
          <w:b/>
          <w:bCs/>
          <w:sz w:val="32"/>
          <w:szCs w:val="32"/>
        </w:rPr>
        <w:t>ECCOMENDATION REPORTS</w:t>
      </w:r>
    </w:p>
    <w:p w14:paraId="7B2BB68E" w14:textId="77777777" w:rsidR="000F2C3E" w:rsidRPr="00CB7E90" w:rsidRDefault="000F2C3E" w:rsidP="00CB7E90">
      <w:pPr>
        <w:rPr>
          <w:b/>
          <w:bCs/>
          <w:sz w:val="24"/>
          <w:szCs w:val="24"/>
        </w:rPr>
      </w:pPr>
    </w:p>
    <w:p w14:paraId="57E608A8" w14:textId="4D8E7DD4" w:rsidR="00503596" w:rsidRPr="00CB7E90" w:rsidRDefault="008F5DE2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>Project title</w:t>
      </w:r>
      <w:r w:rsidR="00F44695" w:rsidRPr="00CB7E90">
        <w:rPr>
          <w:b/>
          <w:bCs/>
          <w:sz w:val="28"/>
          <w:szCs w:val="28"/>
        </w:rPr>
        <w:t xml:space="preserve">: </w:t>
      </w:r>
      <w:r w:rsidR="00A77FEA" w:rsidRPr="00CB7E90">
        <w:rPr>
          <w:b/>
          <w:bCs/>
          <w:sz w:val="28"/>
          <w:szCs w:val="28"/>
        </w:rPr>
        <w:t>Global Superstore Sales</w:t>
      </w:r>
      <w:r w:rsidR="00D00DC7" w:rsidRPr="00CB7E90">
        <w:rPr>
          <w:b/>
          <w:bCs/>
          <w:sz w:val="28"/>
          <w:szCs w:val="28"/>
        </w:rPr>
        <w:t xml:space="preserve"> Performance Analysis</w:t>
      </w:r>
      <w:r w:rsidR="00A77FEA" w:rsidRPr="00CB7E90">
        <w:rPr>
          <w:b/>
          <w:bCs/>
          <w:sz w:val="28"/>
          <w:szCs w:val="28"/>
        </w:rPr>
        <w:t xml:space="preserve"> (2011-2014)</w:t>
      </w:r>
    </w:p>
    <w:p w14:paraId="2EE6ED99" w14:textId="376FF1B7" w:rsidR="00503596" w:rsidRPr="00CB7E90" w:rsidRDefault="00F44695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 xml:space="preserve">Project no.: Project </w:t>
      </w:r>
      <w:r w:rsidR="006A51FF" w:rsidRPr="00CB7E90">
        <w:rPr>
          <w:b/>
          <w:bCs/>
          <w:sz w:val="28"/>
          <w:szCs w:val="28"/>
        </w:rPr>
        <w:t>3</w:t>
      </w:r>
    </w:p>
    <w:p w14:paraId="35D7C172" w14:textId="4BF2DFB9" w:rsidR="00252880" w:rsidRPr="00CB7E90" w:rsidRDefault="00252880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 xml:space="preserve">Role: Junior Data Analyst (AnalystLab Africa) </w:t>
      </w:r>
    </w:p>
    <w:p w14:paraId="6C35D4E1" w14:textId="5F0766F4" w:rsidR="00503596" w:rsidRPr="00CB7E90" w:rsidRDefault="00F44695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 xml:space="preserve">Prepared for: </w:t>
      </w:r>
      <w:r w:rsidR="00D00DC7" w:rsidRPr="00CB7E90">
        <w:rPr>
          <w:b/>
          <w:bCs/>
          <w:sz w:val="28"/>
          <w:szCs w:val="28"/>
        </w:rPr>
        <w:t xml:space="preserve">Management </w:t>
      </w:r>
    </w:p>
    <w:p w14:paraId="6834B4D2" w14:textId="613D6329" w:rsidR="00503596" w:rsidRPr="00CB7E90" w:rsidRDefault="00F44695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>Prepared by: Samson</w:t>
      </w:r>
      <w:r w:rsidR="00D00DC7" w:rsidRPr="00CB7E90">
        <w:rPr>
          <w:b/>
          <w:bCs/>
          <w:sz w:val="28"/>
          <w:szCs w:val="28"/>
        </w:rPr>
        <w:t xml:space="preserve"> Oluwatimilehin Arawande</w:t>
      </w:r>
    </w:p>
    <w:p w14:paraId="4909CA82" w14:textId="77777777" w:rsidR="00503596" w:rsidRPr="00CB7E90" w:rsidRDefault="00503596" w:rsidP="00CB7E90">
      <w:pPr>
        <w:rPr>
          <w:sz w:val="24"/>
          <w:szCs w:val="24"/>
        </w:rPr>
      </w:pPr>
    </w:p>
    <w:p w14:paraId="53B61205" w14:textId="77777777" w:rsidR="00CB7E90" w:rsidRPr="00CB7E90" w:rsidRDefault="00CB7E90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>1. Executive Summary</w:t>
      </w:r>
    </w:p>
    <w:p w14:paraId="0ADE3903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Week 3 analysis of the Global Superstore dataset examined sales performance, profitability, products and categories, customer segments, geographic performance, time-based trends, and discounting.</w:t>
      </w:r>
    </w:p>
    <w:p w14:paraId="0A3DF0D9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business demonstrates strong overall growth between 2011 and 2014. However, the analysis also identifies important profitability concerns, particularly within Furniture, high-discount transactions, and selected geographic markets.</w:t>
      </w:r>
    </w:p>
    <w:p w14:paraId="054D769F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findings provide opportunities to improve profitability while maintaining the strong sales growth demonstrated by the business.</w:t>
      </w:r>
    </w:p>
    <w:p w14:paraId="07CC77AC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70DA1483">
          <v:rect id="_x0000_i1025" style="width:0;height:1.5pt" o:hralign="center" o:hrstd="t" o:hr="t" fillcolor="#a0a0a0" stroked="f"/>
        </w:pict>
      </w:r>
    </w:p>
    <w:p w14:paraId="4A17C704" w14:textId="77777777" w:rsidR="00CB7E90" w:rsidRPr="00CB7E90" w:rsidRDefault="00CB7E90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>2. Key Business Insights</w:t>
      </w:r>
    </w:p>
    <w:p w14:paraId="0D3AD3E0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Insight 1 — Strong and Sustained Sales Growth</w:t>
      </w:r>
    </w:p>
    <w:p w14:paraId="24DEEFAD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Global Superstore experienced consistent annual sales growth:</w:t>
      </w:r>
    </w:p>
    <w:p w14:paraId="179D7546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2011: </w:t>
      </w:r>
      <w:r w:rsidRPr="00CB7E90">
        <w:rPr>
          <w:rStyle w:val="Strong"/>
          <w:sz w:val="24"/>
          <w:szCs w:val="24"/>
        </w:rPr>
        <w:t>$2.26M</w:t>
      </w:r>
    </w:p>
    <w:p w14:paraId="0EA8C577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2012: </w:t>
      </w:r>
      <w:r w:rsidRPr="00CB7E90">
        <w:rPr>
          <w:rStyle w:val="Strong"/>
          <w:sz w:val="24"/>
          <w:szCs w:val="24"/>
        </w:rPr>
        <w:t>$2.68M</w:t>
      </w:r>
    </w:p>
    <w:p w14:paraId="7BAC2132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2013: </w:t>
      </w:r>
      <w:r w:rsidRPr="00CB7E90">
        <w:rPr>
          <w:rStyle w:val="Strong"/>
          <w:sz w:val="24"/>
          <w:szCs w:val="24"/>
        </w:rPr>
        <w:t>$3.41M</w:t>
      </w:r>
    </w:p>
    <w:p w14:paraId="1582797F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2014: </w:t>
      </w:r>
      <w:r w:rsidRPr="00CB7E90">
        <w:rPr>
          <w:rStyle w:val="Strong"/>
          <w:sz w:val="24"/>
          <w:szCs w:val="24"/>
        </w:rPr>
        <w:t>$4.30M</w:t>
      </w:r>
    </w:p>
    <w:p w14:paraId="497BBA34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Sales increased every year, with 2014 recording the strongest performance.</w:t>
      </w:r>
    </w:p>
    <w:p w14:paraId="2AA33828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Business implication:</w:t>
      </w:r>
      <w:r w:rsidRPr="00CB7E90">
        <w:rPr>
          <w:sz w:val="24"/>
          <w:szCs w:val="24"/>
        </w:rPr>
        <w:t xml:space="preserve"> The business has a strong growth trajectory and should focus on maintaining growth while protecting profitability.</w:t>
      </w:r>
    </w:p>
    <w:p w14:paraId="52AE1326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7951DCDF">
          <v:rect id="_x0000_i1026" style="width:0;height:1.5pt" o:hralign="center" o:hrstd="t" o:hr="t" fillcolor="#a0a0a0" stroked="f"/>
        </w:pict>
      </w:r>
    </w:p>
    <w:p w14:paraId="7B21709E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Insight 2 — Profit Also Increased Consistently</w:t>
      </w:r>
    </w:p>
    <w:p w14:paraId="4CEA591B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Annual profit increased from:</w:t>
      </w:r>
    </w:p>
    <w:p w14:paraId="55693673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2011: </w:t>
      </w:r>
      <w:r w:rsidRPr="00CB7E90">
        <w:rPr>
          <w:rStyle w:val="Strong"/>
          <w:sz w:val="24"/>
          <w:szCs w:val="24"/>
        </w:rPr>
        <w:t>$248.94K</w:t>
      </w:r>
    </w:p>
    <w:p w14:paraId="405ACB38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2012: </w:t>
      </w:r>
      <w:r w:rsidRPr="00CB7E90">
        <w:rPr>
          <w:rStyle w:val="Strong"/>
          <w:sz w:val="24"/>
          <w:szCs w:val="24"/>
        </w:rPr>
        <w:t>$307.42K</w:t>
      </w:r>
    </w:p>
    <w:p w14:paraId="7632FD54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2013: </w:t>
      </w:r>
      <w:r w:rsidRPr="00CB7E90">
        <w:rPr>
          <w:rStyle w:val="Strong"/>
          <w:sz w:val="24"/>
          <w:szCs w:val="24"/>
        </w:rPr>
        <w:t>$406.94K</w:t>
      </w:r>
    </w:p>
    <w:p w14:paraId="1D2D857D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2014: </w:t>
      </w:r>
      <w:r w:rsidRPr="00CB7E90">
        <w:rPr>
          <w:rStyle w:val="Strong"/>
          <w:sz w:val="24"/>
          <w:szCs w:val="24"/>
        </w:rPr>
        <w:t>$504.17K</w:t>
      </w:r>
    </w:p>
    <w:p w14:paraId="7666DD8E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Profit therefore followed the overall upward direction of sales.</w:t>
      </w:r>
    </w:p>
    <w:p w14:paraId="634E85EC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Business implication:</w:t>
      </w:r>
      <w:r w:rsidRPr="00CB7E90">
        <w:rPr>
          <w:sz w:val="24"/>
          <w:szCs w:val="24"/>
        </w:rPr>
        <w:t xml:space="preserve"> Growth has translated into increasing absolute profit, although profitability varies significantly across categories and markets.</w:t>
      </w:r>
    </w:p>
    <w:p w14:paraId="567499F5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54935DCF">
          <v:rect id="_x0000_i1027" style="width:0;height:1.5pt" o:hralign="center" o:hrstd="t" o:hr="t" fillcolor="#a0a0a0" stroked="f"/>
        </w:pict>
      </w:r>
    </w:p>
    <w:p w14:paraId="52432312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Insight 3 — Furniture Is the Weakest Profit Category</w:t>
      </w:r>
    </w:p>
    <w:p w14:paraId="74A545EC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Category-level analysis showed:</w:t>
      </w:r>
    </w:p>
    <w:p w14:paraId="03786D84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Technology: </w:t>
      </w:r>
      <w:r w:rsidRPr="00CB7E90">
        <w:rPr>
          <w:rStyle w:val="Strong"/>
          <w:sz w:val="24"/>
          <w:szCs w:val="24"/>
        </w:rPr>
        <w:t>$663.78K profit</w:t>
      </w:r>
    </w:p>
    <w:p w14:paraId="3E0E2151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Office Supplies: </w:t>
      </w:r>
      <w:r w:rsidRPr="00CB7E90">
        <w:rPr>
          <w:rStyle w:val="Strong"/>
          <w:sz w:val="24"/>
          <w:szCs w:val="24"/>
        </w:rPr>
        <w:t>$518.47K profit</w:t>
      </w:r>
    </w:p>
    <w:p w14:paraId="3F20FB64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Furniture: </w:t>
      </w:r>
      <w:r w:rsidRPr="00CB7E90">
        <w:rPr>
          <w:rStyle w:val="Strong"/>
          <w:sz w:val="24"/>
          <w:szCs w:val="24"/>
        </w:rPr>
        <w:t>$285.20K profit</w:t>
      </w:r>
    </w:p>
    <w:p w14:paraId="6F58F26F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lastRenderedPageBreak/>
        <w:t xml:space="preserve">Furniture generated approximately </w:t>
      </w:r>
      <w:r w:rsidRPr="00CB7E90">
        <w:rPr>
          <w:rStyle w:val="Strong"/>
          <w:sz w:val="24"/>
          <w:szCs w:val="24"/>
        </w:rPr>
        <w:t>$4.11M in sales</w:t>
      </w:r>
      <w:r w:rsidRPr="00CB7E90">
        <w:rPr>
          <w:sz w:val="24"/>
          <w:szCs w:val="24"/>
        </w:rPr>
        <w:t xml:space="preserve">, but only </w:t>
      </w:r>
      <w:r w:rsidRPr="00CB7E90">
        <w:rPr>
          <w:rStyle w:val="Strong"/>
          <w:sz w:val="24"/>
          <w:szCs w:val="24"/>
        </w:rPr>
        <w:t>$285.20K in profit</w:t>
      </w:r>
      <w:r w:rsidRPr="00CB7E90">
        <w:rPr>
          <w:sz w:val="24"/>
          <w:szCs w:val="24"/>
        </w:rPr>
        <w:t xml:space="preserve">, giving it an approximate </w:t>
      </w:r>
      <w:r w:rsidRPr="00CB7E90">
        <w:rPr>
          <w:rStyle w:val="Strong"/>
          <w:sz w:val="24"/>
          <w:szCs w:val="24"/>
        </w:rPr>
        <w:t>6.94% profit margin</w:t>
      </w:r>
      <w:r w:rsidRPr="00CB7E90">
        <w:rPr>
          <w:sz w:val="24"/>
          <w:szCs w:val="24"/>
        </w:rPr>
        <w:t>.</w:t>
      </w:r>
    </w:p>
    <w:p w14:paraId="425974A0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Business implication:</w:t>
      </w:r>
      <w:r w:rsidRPr="00CB7E90">
        <w:rPr>
          <w:sz w:val="24"/>
          <w:szCs w:val="24"/>
        </w:rPr>
        <w:t xml:space="preserve"> Furniture requires greater profitability attention than the other major categories.</w:t>
      </w:r>
    </w:p>
    <w:p w14:paraId="7CDBF1F7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34829F59">
          <v:rect id="_x0000_i1028" style="width:0;height:1.5pt" o:hralign="center" o:hrstd="t" o:hr="t" fillcolor="#a0a0a0" stroked="f"/>
        </w:pict>
      </w:r>
    </w:p>
    <w:p w14:paraId="1CDE9AC0" w14:textId="66EEC76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 xml:space="preserve">Insight 4 — Higher Discount Bands Are Associated </w:t>
      </w:r>
      <w:r w:rsidRPr="00CB7E90">
        <w:rPr>
          <w:b/>
          <w:bCs/>
          <w:sz w:val="24"/>
          <w:szCs w:val="24"/>
        </w:rPr>
        <w:t>with</w:t>
      </w:r>
      <w:r w:rsidRPr="00CB7E90">
        <w:rPr>
          <w:b/>
          <w:bCs/>
          <w:sz w:val="24"/>
          <w:szCs w:val="24"/>
        </w:rPr>
        <w:t xml:space="preserve"> Furniture Losses</w:t>
      </w:r>
    </w:p>
    <w:p w14:paraId="22E381B5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Discount analysis revealed a substantial deterioration in Furniture profitability as discount levels increased.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508"/>
      </w:tblGrid>
      <w:tr w:rsidR="00CB7E90" w:rsidRPr="00CB7E90" w14:paraId="269FA091" w14:textId="77777777" w:rsidTr="00CB7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3BAF3" w14:textId="77777777" w:rsidR="00CB7E90" w:rsidRPr="00CB7E90" w:rsidRDefault="00CB7E90" w:rsidP="00CB7E90">
            <w:pPr>
              <w:rPr>
                <w:b/>
                <w:bCs/>
                <w:sz w:val="24"/>
                <w:szCs w:val="24"/>
              </w:rPr>
            </w:pPr>
            <w:r w:rsidRPr="00CB7E90">
              <w:rPr>
                <w:b/>
                <w:bCs/>
                <w:sz w:val="24"/>
                <w:szCs w:val="24"/>
              </w:rPr>
              <w:t>Discount Band</w:t>
            </w:r>
          </w:p>
        </w:tc>
        <w:tc>
          <w:tcPr>
            <w:tcW w:w="0" w:type="auto"/>
            <w:vAlign w:val="center"/>
            <w:hideMark/>
          </w:tcPr>
          <w:p w14:paraId="7D57A69C" w14:textId="77777777" w:rsidR="00CB7E90" w:rsidRPr="00CB7E90" w:rsidRDefault="00CB7E90" w:rsidP="00CB7E90">
            <w:pPr>
              <w:rPr>
                <w:b/>
                <w:bCs/>
                <w:sz w:val="24"/>
                <w:szCs w:val="24"/>
              </w:rPr>
            </w:pPr>
            <w:r w:rsidRPr="00CB7E90">
              <w:rPr>
                <w:b/>
                <w:bCs/>
                <w:sz w:val="24"/>
                <w:szCs w:val="24"/>
              </w:rPr>
              <w:t>Profit Margin</w:t>
            </w:r>
          </w:p>
        </w:tc>
      </w:tr>
      <w:tr w:rsidR="00CB7E90" w:rsidRPr="00CB7E90" w14:paraId="049ACF40" w14:textId="77777777" w:rsidTr="00CB7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91BF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FE739A2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rStyle w:val="Strong"/>
                <w:sz w:val="24"/>
                <w:szCs w:val="24"/>
              </w:rPr>
              <w:t>24.19%</w:t>
            </w:r>
          </w:p>
        </w:tc>
      </w:tr>
      <w:tr w:rsidR="00CB7E90" w:rsidRPr="00CB7E90" w14:paraId="3565BE9F" w14:textId="77777777" w:rsidTr="00CB7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8418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sz w:val="24"/>
                <w:szCs w:val="24"/>
              </w:rPr>
              <w:t>1–10%</w:t>
            </w:r>
          </w:p>
        </w:tc>
        <w:tc>
          <w:tcPr>
            <w:tcW w:w="0" w:type="auto"/>
            <w:vAlign w:val="center"/>
            <w:hideMark/>
          </w:tcPr>
          <w:p w14:paraId="1B916F41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rStyle w:val="Strong"/>
                <w:sz w:val="24"/>
                <w:szCs w:val="24"/>
              </w:rPr>
              <w:t>16.49%</w:t>
            </w:r>
          </w:p>
        </w:tc>
      </w:tr>
      <w:tr w:rsidR="00CB7E90" w:rsidRPr="00CB7E90" w14:paraId="248E2940" w14:textId="77777777" w:rsidTr="00CB7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A178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sz w:val="24"/>
                <w:szCs w:val="24"/>
              </w:rPr>
              <w:t>11–20%</w:t>
            </w:r>
          </w:p>
        </w:tc>
        <w:tc>
          <w:tcPr>
            <w:tcW w:w="0" w:type="auto"/>
            <w:vAlign w:val="center"/>
            <w:hideMark/>
          </w:tcPr>
          <w:p w14:paraId="32954BEA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rStyle w:val="Strong"/>
                <w:sz w:val="24"/>
                <w:szCs w:val="24"/>
              </w:rPr>
              <w:t>4.62%</w:t>
            </w:r>
          </w:p>
        </w:tc>
      </w:tr>
      <w:tr w:rsidR="00CB7E90" w:rsidRPr="00CB7E90" w14:paraId="2D1E134B" w14:textId="77777777" w:rsidTr="00CB7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3C89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sz w:val="24"/>
                <w:szCs w:val="24"/>
              </w:rPr>
              <w:t>21–30%</w:t>
            </w:r>
          </w:p>
        </w:tc>
        <w:tc>
          <w:tcPr>
            <w:tcW w:w="0" w:type="auto"/>
            <w:vAlign w:val="center"/>
            <w:hideMark/>
          </w:tcPr>
          <w:p w14:paraId="020C4E22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rStyle w:val="Strong"/>
                <w:sz w:val="24"/>
                <w:szCs w:val="24"/>
              </w:rPr>
              <w:t>6.18%</w:t>
            </w:r>
          </w:p>
        </w:tc>
      </w:tr>
      <w:tr w:rsidR="00CB7E90" w:rsidRPr="00CB7E90" w14:paraId="178B35DB" w14:textId="77777777" w:rsidTr="00CB7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ECC7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sz w:val="24"/>
                <w:szCs w:val="24"/>
              </w:rPr>
              <w:t>31–40%</w:t>
            </w:r>
          </w:p>
        </w:tc>
        <w:tc>
          <w:tcPr>
            <w:tcW w:w="0" w:type="auto"/>
            <w:vAlign w:val="center"/>
            <w:hideMark/>
          </w:tcPr>
          <w:p w14:paraId="5146788A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rStyle w:val="Strong"/>
                <w:sz w:val="24"/>
                <w:szCs w:val="24"/>
              </w:rPr>
              <w:t>-25.40%</w:t>
            </w:r>
          </w:p>
        </w:tc>
      </w:tr>
      <w:tr w:rsidR="00CB7E90" w:rsidRPr="00CB7E90" w14:paraId="4625DEAC" w14:textId="77777777" w:rsidTr="00CB7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BF5D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sz w:val="24"/>
                <w:szCs w:val="24"/>
              </w:rPr>
              <w:t>41–50%</w:t>
            </w:r>
          </w:p>
        </w:tc>
        <w:tc>
          <w:tcPr>
            <w:tcW w:w="0" w:type="auto"/>
            <w:vAlign w:val="center"/>
            <w:hideMark/>
          </w:tcPr>
          <w:p w14:paraId="08C34474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rStyle w:val="Strong"/>
                <w:sz w:val="24"/>
                <w:szCs w:val="24"/>
              </w:rPr>
              <w:t>-48.22%</w:t>
            </w:r>
          </w:p>
        </w:tc>
      </w:tr>
      <w:tr w:rsidR="00CB7E90" w:rsidRPr="00CB7E90" w14:paraId="6E6BA4A9" w14:textId="77777777" w:rsidTr="00CB7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3FBB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sz w:val="24"/>
                <w:szCs w:val="24"/>
              </w:rPr>
              <w:t>51–85%</w:t>
            </w:r>
          </w:p>
        </w:tc>
        <w:tc>
          <w:tcPr>
            <w:tcW w:w="0" w:type="auto"/>
            <w:vAlign w:val="center"/>
            <w:hideMark/>
          </w:tcPr>
          <w:p w14:paraId="5D85BB34" w14:textId="77777777" w:rsidR="00CB7E90" w:rsidRPr="00CB7E90" w:rsidRDefault="00CB7E90" w:rsidP="00CB7E90">
            <w:pPr>
              <w:rPr>
                <w:sz w:val="24"/>
                <w:szCs w:val="24"/>
              </w:rPr>
            </w:pPr>
            <w:r w:rsidRPr="00CB7E90">
              <w:rPr>
                <w:rStyle w:val="Strong"/>
                <w:sz w:val="24"/>
                <w:szCs w:val="24"/>
              </w:rPr>
              <w:t>-106.34%</w:t>
            </w:r>
          </w:p>
        </w:tc>
      </w:tr>
    </w:tbl>
    <w:p w14:paraId="3298E161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The highest discount band generated </w:t>
      </w:r>
      <w:r w:rsidRPr="00CB7E90">
        <w:rPr>
          <w:rStyle w:val="Strong"/>
          <w:sz w:val="24"/>
          <w:szCs w:val="24"/>
        </w:rPr>
        <w:t>-$159.55K profit</w:t>
      </w:r>
      <w:r w:rsidRPr="00CB7E90">
        <w:rPr>
          <w:sz w:val="24"/>
          <w:szCs w:val="24"/>
        </w:rPr>
        <w:t xml:space="preserve"> on approximately </w:t>
      </w:r>
      <w:r w:rsidRPr="00CB7E90">
        <w:rPr>
          <w:rStyle w:val="Strong"/>
          <w:sz w:val="24"/>
          <w:szCs w:val="24"/>
        </w:rPr>
        <w:t>$150.05K sales</w:t>
      </w:r>
      <w:r w:rsidRPr="00CB7E90">
        <w:rPr>
          <w:sz w:val="24"/>
          <w:szCs w:val="24"/>
        </w:rPr>
        <w:t>.</w:t>
      </w:r>
    </w:p>
    <w:p w14:paraId="2E0B14FD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Business implication:</w:t>
      </w:r>
      <w:r w:rsidRPr="00CB7E90">
        <w:rPr>
          <w:sz w:val="24"/>
          <w:szCs w:val="24"/>
        </w:rPr>
        <w:t xml:space="preserve"> High-discount transactions represent a major profitability risk and should be reviewed carefully.</w:t>
      </w:r>
    </w:p>
    <w:p w14:paraId="7A310413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Emphasis"/>
          <w:sz w:val="24"/>
          <w:szCs w:val="24"/>
        </w:rPr>
        <w:t>Note: The analysis identifies an association between discount levels and profitability; it does not by itself establish that discounts are the sole cause of the losses.</w:t>
      </w:r>
    </w:p>
    <w:p w14:paraId="457648C2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1227E84F">
          <v:rect id="_x0000_i1029" style="width:0;height:1.5pt" o:hralign="center" o:hrstd="t" o:hr="t" fillcolor="#a0a0a0" stroked="f"/>
        </w:pict>
      </w:r>
    </w:p>
    <w:p w14:paraId="65D21E0E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Insight 5 — Regional Profitability Is Uneven</w:t>
      </w:r>
    </w:p>
    <w:p w14:paraId="48D7E849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geographic analysis showed significant differences between regions.</w:t>
      </w:r>
    </w:p>
    <w:p w14:paraId="1DF71343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Central generated the highest absolute profit at approximately </w:t>
      </w:r>
      <w:r w:rsidRPr="00CB7E90">
        <w:rPr>
          <w:rStyle w:val="Strong"/>
          <w:sz w:val="24"/>
          <w:szCs w:val="24"/>
        </w:rPr>
        <w:t>$311.40K</w:t>
      </w:r>
      <w:r w:rsidRPr="00CB7E90">
        <w:rPr>
          <w:sz w:val="24"/>
          <w:szCs w:val="24"/>
        </w:rPr>
        <w:t>.</w:t>
      </w:r>
    </w:p>
    <w:p w14:paraId="2AAAA38B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However, some markets demonstrated weak profitability relative to their sales contribution.</w:t>
      </w:r>
    </w:p>
    <w:p w14:paraId="6F50D9CB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EMEA</w:t>
      </w:r>
    </w:p>
    <w:p w14:paraId="0BC039D5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Sales: </w:t>
      </w:r>
      <w:r w:rsidRPr="00CB7E90">
        <w:rPr>
          <w:rStyle w:val="Strong"/>
          <w:sz w:val="24"/>
          <w:szCs w:val="24"/>
        </w:rPr>
        <w:t>$806.16K</w:t>
      </w:r>
    </w:p>
    <w:p w14:paraId="6877683C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Profit Margin: </w:t>
      </w:r>
      <w:r w:rsidRPr="00CB7E90">
        <w:rPr>
          <w:rStyle w:val="Strong"/>
          <w:sz w:val="24"/>
          <w:szCs w:val="24"/>
        </w:rPr>
        <w:t>2.02%</w:t>
      </w:r>
    </w:p>
    <w:p w14:paraId="47E6A70E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Southeast Asia</w:t>
      </w:r>
    </w:p>
    <w:p w14:paraId="76A39515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Sales: </w:t>
      </w:r>
      <w:r w:rsidRPr="00CB7E90">
        <w:rPr>
          <w:rStyle w:val="Strong"/>
          <w:sz w:val="24"/>
          <w:szCs w:val="24"/>
        </w:rPr>
        <w:t>$884.42K</w:t>
      </w:r>
    </w:p>
    <w:p w14:paraId="7C9B2E07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Profit Margin: </w:t>
      </w:r>
      <w:r w:rsidRPr="00CB7E90">
        <w:rPr>
          <w:rStyle w:val="Strong"/>
          <w:sz w:val="24"/>
          <w:szCs w:val="24"/>
        </w:rPr>
        <w:t>5.45%</w:t>
      </w:r>
    </w:p>
    <w:p w14:paraId="6841B5DB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Business implication:</w:t>
      </w:r>
      <w:r w:rsidRPr="00CB7E90">
        <w:rPr>
          <w:sz w:val="24"/>
          <w:szCs w:val="24"/>
        </w:rPr>
        <w:t xml:space="preserve"> These markets require deeper investigation because meaningful sales are not translating into equally strong profitability.</w:t>
      </w:r>
    </w:p>
    <w:p w14:paraId="3BEA8161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2007E369">
          <v:rect id="_x0000_i1030" style="width:0;height:1.5pt" o:hralign="center" o:hrstd="t" o:hr="t" fillcolor="#a0a0a0" stroked="f"/>
        </w:pict>
      </w:r>
    </w:p>
    <w:p w14:paraId="2E723284" w14:textId="77777777" w:rsidR="00CB7E90" w:rsidRPr="00CB7E90" w:rsidRDefault="00CB7E90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>3. Additional Business Findings</w:t>
      </w:r>
    </w:p>
    <w:p w14:paraId="6E08C858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Customer Segment Performance</w:t>
      </w:r>
    </w:p>
    <w:p w14:paraId="61FAC25D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Customer contribution was:</w:t>
      </w:r>
    </w:p>
    <w:p w14:paraId="6BFF674A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Consumer: </w:t>
      </w:r>
      <w:r w:rsidRPr="00CB7E90">
        <w:rPr>
          <w:rStyle w:val="Strong"/>
          <w:sz w:val="24"/>
          <w:szCs w:val="24"/>
        </w:rPr>
        <w:t>$6.51M sales / $749.24K profit</w:t>
      </w:r>
    </w:p>
    <w:p w14:paraId="402A653D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Corporate: </w:t>
      </w:r>
      <w:r w:rsidRPr="00CB7E90">
        <w:rPr>
          <w:rStyle w:val="Strong"/>
          <w:sz w:val="24"/>
          <w:szCs w:val="24"/>
        </w:rPr>
        <w:t>$3.82M sales / $441.21K profit</w:t>
      </w:r>
    </w:p>
    <w:p w14:paraId="357AA99B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Home Office: </w:t>
      </w:r>
      <w:r w:rsidRPr="00CB7E90">
        <w:rPr>
          <w:rStyle w:val="Strong"/>
          <w:sz w:val="24"/>
          <w:szCs w:val="24"/>
        </w:rPr>
        <w:t>$2.31M sales / $277.01K profit</w:t>
      </w:r>
    </w:p>
    <w:p w14:paraId="3DC96DFC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Consumer is the largest contributor to both sales and profit.</w:t>
      </w:r>
    </w:p>
    <w:p w14:paraId="738D2BBE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three segments have relatively similar profitability margins, meaning their differences in total profit are largely driven by sales volume.</w:t>
      </w:r>
    </w:p>
    <w:p w14:paraId="09D41801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lastRenderedPageBreak/>
        <w:pict w14:anchorId="69ABFC46">
          <v:rect id="_x0000_i1031" style="width:0;height:1.5pt" o:hralign="center" o:hrstd="t" o:hr="t" fillcolor="#a0a0a0" stroked="f"/>
        </w:pict>
      </w:r>
    </w:p>
    <w:p w14:paraId="28A99B22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Product and Sub-category Performance</w:t>
      </w:r>
    </w:p>
    <w:p w14:paraId="0DB126BF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strongest profit-generating sub-categories included:</w:t>
      </w:r>
    </w:p>
    <w:p w14:paraId="6028141F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Copiers — $258.57K</w:t>
      </w:r>
    </w:p>
    <w:p w14:paraId="7C98E5F0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Phones — $216.72K</w:t>
      </w:r>
    </w:p>
    <w:p w14:paraId="10BA31FC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Bookcases — $161.92K</w:t>
      </w:r>
    </w:p>
    <w:p w14:paraId="521C4585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Lower-profit sub-categories included:</w:t>
      </w:r>
    </w:p>
    <w:p w14:paraId="21A3E944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Supplies — $22.58K</w:t>
      </w:r>
    </w:p>
    <w:p w14:paraId="2838A966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Labels — $15.01K</w:t>
      </w:r>
    </w:p>
    <w:p w14:paraId="20C783C6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Fasteners — $11.53K</w:t>
      </w:r>
    </w:p>
    <w:p w14:paraId="211714FA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dashboard also identifies individual loss-making products through the Bottom 10 Products by Profit analysis.</w:t>
      </w:r>
    </w:p>
    <w:p w14:paraId="0D8C90B1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05F9EE10">
          <v:rect id="_x0000_i1032" style="width:0;height:1.5pt" o:hralign="center" o:hrstd="t" o:hr="t" fillcolor="#a0a0a0" stroked="f"/>
        </w:pict>
      </w:r>
    </w:p>
    <w:p w14:paraId="64978FEB" w14:textId="77777777" w:rsidR="00CB7E90" w:rsidRPr="00CB7E90" w:rsidRDefault="00CB7E90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>4. Business Problems and Opportunities</w:t>
      </w:r>
    </w:p>
    <w:p w14:paraId="25791E5D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Problem 1 — Furniture Profitability</w:t>
      </w:r>
    </w:p>
    <w:p w14:paraId="328E9028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Furniture generates significant sales but produces the lowest profit among the three main categories.</w:t>
      </w:r>
    </w:p>
    <w:p w14:paraId="223D151E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Opportunity:</w:t>
      </w:r>
      <w:r w:rsidRPr="00CB7E90">
        <w:rPr>
          <w:sz w:val="24"/>
          <w:szCs w:val="24"/>
        </w:rPr>
        <w:t xml:space="preserve"> Improve Furniture margins through better pricing, product mix management and discount controls.</w:t>
      </w:r>
    </w:p>
    <w:p w14:paraId="1C5FD76C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602E8D1D">
          <v:rect id="_x0000_i1033" style="width:0;height:1.5pt" o:hralign="center" o:hrstd="t" o:hr="t" fillcolor="#a0a0a0" stroked="f"/>
        </w:pict>
      </w:r>
    </w:p>
    <w:p w14:paraId="23D81491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Problem 2 — High-Discount Transactions</w:t>
      </w:r>
    </w:p>
    <w:p w14:paraId="3399B959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Discount bands above 30% are associated with negative Furniture profitability.</w:t>
      </w:r>
    </w:p>
    <w:p w14:paraId="2B68476D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Opportunity:</w:t>
      </w:r>
      <w:r w:rsidRPr="00CB7E90">
        <w:rPr>
          <w:sz w:val="24"/>
          <w:szCs w:val="24"/>
        </w:rPr>
        <w:t xml:space="preserve"> Introduce stronger discount controls and evaluate whether high discounts generate sufficient commercial value to justify the reduction in margin.</w:t>
      </w:r>
    </w:p>
    <w:p w14:paraId="5A88EDFF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74E87F4D">
          <v:rect id="_x0000_i1034" style="width:0;height:1.5pt" o:hralign="center" o:hrstd="t" o:hr="t" fillcolor="#a0a0a0" stroked="f"/>
        </w:pict>
      </w:r>
    </w:p>
    <w:p w14:paraId="521F41D4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Problem 3 — Regional Profitability</w:t>
      </w:r>
    </w:p>
    <w:p w14:paraId="142D34F7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EMEA and Southeast Asia show relatively weak profit margins despite generating meaningful sales.</w:t>
      </w:r>
    </w:p>
    <w:p w14:paraId="25559E21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rStyle w:val="Strong"/>
          <w:sz w:val="24"/>
          <w:szCs w:val="24"/>
        </w:rPr>
        <w:t>Opportunity:</w:t>
      </w:r>
      <w:r w:rsidRPr="00CB7E90">
        <w:rPr>
          <w:sz w:val="24"/>
          <w:szCs w:val="24"/>
        </w:rPr>
        <w:t xml:space="preserve"> Investigate market-specific product mix, pricing, discounting and operating costs to identify opportunities for margin improvement.</w:t>
      </w:r>
    </w:p>
    <w:p w14:paraId="60A02CE1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1668B126">
          <v:rect id="_x0000_i1035" style="width:0;height:1.5pt" o:hralign="center" o:hrstd="t" o:hr="t" fillcolor="#a0a0a0" stroked="f"/>
        </w:pict>
      </w:r>
    </w:p>
    <w:p w14:paraId="7BE6AC38" w14:textId="77777777" w:rsidR="00CB7E90" w:rsidRPr="00CB7E90" w:rsidRDefault="00CB7E90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>5. Business Recommendations</w:t>
      </w:r>
    </w:p>
    <w:p w14:paraId="5B69E38B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Recommendation 1 — Strengthen Furniture Discount Controls</w:t>
      </w:r>
    </w:p>
    <w:p w14:paraId="084B2770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Management should review Furniture discounts, particularly transactions above </w:t>
      </w:r>
      <w:r w:rsidRPr="00CB7E90">
        <w:rPr>
          <w:rStyle w:val="Strong"/>
          <w:sz w:val="24"/>
          <w:szCs w:val="24"/>
        </w:rPr>
        <w:t>30%</w:t>
      </w:r>
      <w:r w:rsidRPr="00CB7E90">
        <w:rPr>
          <w:sz w:val="24"/>
          <w:szCs w:val="24"/>
        </w:rPr>
        <w:t>, and establish appropriate discount thresholds to prevent sales growth from generating losses.</w:t>
      </w:r>
    </w:p>
    <w:p w14:paraId="4634A24B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4960C22A">
          <v:rect id="_x0000_i1036" style="width:0;height:1.5pt" o:hralign="center" o:hrstd="t" o:hr="t" fillcolor="#a0a0a0" stroked="f"/>
        </w:pict>
      </w:r>
    </w:p>
    <w:p w14:paraId="6C42F055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Recommendation 2 — Review Loss-Making Products</w:t>
      </w:r>
    </w:p>
    <w:p w14:paraId="5F0AEBF5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business should investigate the Bottom 10 Products by Profit to determine whether losses are associated with pricing, costs, discounting or product characteristics.</w:t>
      </w:r>
    </w:p>
    <w:p w14:paraId="410AF23E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Products that consistently generate losses should be considered for repricing, renegotiation, replacement or removal.</w:t>
      </w:r>
    </w:p>
    <w:p w14:paraId="5BFBFF00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2005AA6A">
          <v:rect id="_x0000_i1037" style="width:0;height:1.5pt" o:hralign="center" o:hrstd="t" o:hr="t" fillcolor="#a0a0a0" stroked="f"/>
        </w:pict>
      </w:r>
    </w:p>
    <w:p w14:paraId="6D7291F7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Recommendation 3 — Conduct a Regional Profitability Review</w:t>
      </w:r>
    </w:p>
    <w:p w14:paraId="5F56B14E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EMEA and Southeast Asia should receive targeted profitability reviews.</w:t>
      </w:r>
    </w:p>
    <w:p w14:paraId="1BDCF1DA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Management should examine:</w:t>
      </w:r>
    </w:p>
    <w:p w14:paraId="0636FCFC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Product mix</w:t>
      </w:r>
    </w:p>
    <w:p w14:paraId="0693F949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lastRenderedPageBreak/>
        <w:t>Discount levels</w:t>
      </w:r>
    </w:p>
    <w:p w14:paraId="75CF1FA9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Pricing</w:t>
      </w:r>
    </w:p>
    <w:p w14:paraId="25FE94CD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Customer mix</w:t>
      </w:r>
    </w:p>
    <w:p w14:paraId="329F406F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Market-specific costs</w:t>
      </w:r>
    </w:p>
    <w:p w14:paraId="2277B280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objective should be to improve margins without unnecessarily reducing sales volume.</w:t>
      </w:r>
    </w:p>
    <w:p w14:paraId="6507999C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1467603B">
          <v:rect id="_x0000_i1038" style="width:0;height:1.5pt" o:hralign="center" o:hrstd="t" o:hr="t" fillcolor="#a0a0a0" stroked="f"/>
        </w:pict>
      </w:r>
    </w:p>
    <w:p w14:paraId="6F9CEFF4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Recommendation 4 — Protect High-Performing Categories</w:t>
      </w:r>
    </w:p>
    <w:p w14:paraId="72AE4E43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 xml:space="preserve">Technology generated the highest category profit at </w:t>
      </w:r>
      <w:r w:rsidRPr="00CB7E90">
        <w:rPr>
          <w:rStyle w:val="Strong"/>
          <w:sz w:val="24"/>
          <w:szCs w:val="24"/>
        </w:rPr>
        <w:t>$663.78K</w:t>
      </w:r>
      <w:r w:rsidRPr="00CB7E90">
        <w:rPr>
          <w:sz w:val="24"/>
          <w:szCs w:val="24"/>
        </w:rPr>
        <w:t>.</w:t>
      </w:r>
    </w:p>
    <w:p w14:paraId="23FD4C77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Management should continue supporting strong-performing Technology products and identify opportunities to scale their contribution while maintaining healthy margins.</w:t>
      </w:r>
    </w:p>
    <w:p w14:paraId="476B28E7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5CE361FE">
          <v:rect id="_x0000_i1039" style="width:0;height:1.5pt" o:hralign="center" o:hrstd="t" o:hr="t" fillcolor="#a0a0a0" stroked="f"/>
        </w:pict>
      </w:r>
    </w:p>
    <w:p w14:paraId="750CFE2E" w14:textId="77777777" w:rsidR="00CB7E90" w:rsidRPr="00CB7E90" w:rsidRDefault="00CB7E90" w:rsidP="00CB7E90">
      <w:pPr>
        <w:rPr>
          <w:b/>
          <w:bCs/>
          <w:sz w:val="24"/>
          <w:szCs w:val="24"/>
        </w:rPr>
      </w:pPr>
      <w:r w:rsidRPr="00CB7E90">
        <w:rPr>
          <w:b/>
          <w:bCs/>
          <w:sz w:val="24"/>
          <w:szCs w:val="24"/>
        </w:rPr>
        <w:t>Recommendation 5 — Plan Around Seasonal Performance</w:t>
      </w:r>
    </w:p>
    <w:p w14:paraId="0E8029DE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analysis identified a recurring pattern in which Q4 was the strongest quarter while Q1 was comparatively weaker.</w:t>
      </w:r>
    </w:p>
    <w:p w14:paraId="65D2E690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Management should align:</w:t>
      </w:r>
    </w:p>
    <w:p w14:paraId="66E41600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Inventory planning</w:t>
      </w:r>
    </w:p>
    <w:p w14:paraId="572CE939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Marketing campaigns</w:t>
      </w:r>
    </w:p>
    <w:p w14:paraId="70FC06C5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Sales targets</w:t>
      </w:r>
    </w:p>
    <w:p w14:paraId="0F9CB652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Promotional activities</w:t>
      </w:r>
    </w:p>
    <w:p w14:paraId="0A0B19EB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with the observed seasonal pattern.</w:t>
      </w:r>
    </w:p>
    <w:p w14:paraId="66EE13B3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pict w14:anchorId="1A332DB5">
          <v:rect id="_x0000_i1040" style="width:0;height:1.5pt" o:hralign="center" o:hrstd="t" o:hr="t" fillcolor="#a0a0a0" stroked="f"/>
        </w:pict>
      </w:r>
    </w:p>
    <w:p w14:paraId="5676B73B" w14:textId="77777777" w:rsidR="00CB7E90" w:rsidRPr="00CB7E90" w:rsidRDefault="00CB7E90" w:rsidP="00CB7E90">
      <w:pPr>
        <w:rPr>
          <w:b/>
          <w:bCs/>
          <w:sz w:val="28"/>
          <w:szCs w:val="28"/>
        </w:rPr>
      </w:pPr>
      <w:r w:rsidRPr="00CB7E90">
        <w:rPr>
          <w:b/>
          <w:bCs/>
          <w:sz w:val="28"/>
          <w:szCs w:val="28"/>
        </w:rPr>
        <w:t>6. Conclusion</w:t>
      </w:r>
    </w:p>
    <w:p w14:paraId="23604048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Global Superstore analysis demonstrates a business with strong sales and profit growth but significant differences in profitability across categories, discount levels and geographic markets.</w:t>
      </w:r>
    </w:p>
    <w:p w14:paraId="3E8EC892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most important management priorities are to protect Furniture profitability, control high-discount transactions, investigate weak regional margins, manage loss-making products and continue leveraging high-performing categories.</w:t>
      </w:r>
    </w:p>
    <w:p w14:paraId="06B16EA5" w14:textId="77777777" w:rsidR="00CB7E90" w:rsidRPr="00CB7E90" w:rsidRDefault="00CB7E90" w:rsidP="00CB7E90">
      <w:pPr>
        <w:rPr>
          <w:sz w:val="24"/>
          <w:szCs w:val="24"/>
        </w:rPr>
      </w:pPr>
      <w:r w:rsidRPr="00CB7E90">
        <w:rPr>
          <w:sz w:val="24"/>
          <w:szCs w:val="24"/>
        </w:rPr>
        <w:t>The Week 3 Business Intelligence Dashboard provides decision-makers with an interactive view of these performance areas and enables further investigation through filters for year, region/country, market, category, sub-category and customer segment.</w:t>
      </w:r>
    </w:p>
    <w:p w14:paraId="735E01A9" w14:textId="2FB0E224" w:rsidR="00E040F9" w:rsidRPr="00CB7E90" w:rsidRDefault="00E040F9" w:rsidP="00CB7E90">
      <w:pPr>
        <w:rPr>
          <w:sz w:val="24"/>
          <w:szCs w:val="24"/>
        </w:rPr>
      </w:pPr>
    </w:p>
    <w:sectPr w:rsidR="00E040F9" w:rsidRPr="00CB7E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751"/>
    <w:multiLevelType w:val="multilevel"/>
    <w:tmpl w:val="004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0BDE"/>
    <w:multiLevelType w:val="multilevel"/>
    <w:tmpl w:val="E13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4606"/>
    <w:multiLevelType w:val="multilevel"/>
    <w:tmpl w:val="49D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674E7"/>
    <w:multiLevelType w:val="multilevel"/>
    <w:tmpl w:val="1DA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C1DAA"/>
    <w:multiLevelType w:val="multilevel"/>
    <w:tmpl w:val="5FB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E316E"/>
    <w:multiLevelType w:val="multilevel"/>
    <w:tmpl w:val="011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23C09"/>
    <w:multiLevelType w:val="multilevel"/>
    <w:tmpl w:val="BA8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217FE"/>
    <w:multiLevelType w:val="multilevel"/>
    <w:tmpl w:val="332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11A29"/>
    <w:multiLevelType w:val="hybridMultilevel"/>
    <w:tmpl w:val="A8B84F9C"/>
    <w:lvl w:ilvl="0" w:tplc="8C7E313C">
      <w:start w:val="1"/>
      <w:numFmt w:val="bullet"/>
      <w:lvlText w:val="●"/>
      <w:lvlJc w:val="left"/>
      <w:pPr>
        <w:ind w:left="720" w:hanging="360"/>
      </w:pPr>
    </w:lvl>
    <w:lvl w:ilvl="1" w:tplc="55DC475C">
      <w:start w:val="1"/>
      <w:numFmt w:val="bullet"/>
      <w:lvlText w:val="○"/>
      <w:lvlJc w:val="left"/>
      <w:pPr>
        <w:ind w:left="1440" w:hanging="360"/>
      </w:pPr>
    </w:lvl>
    <w:lvl w:ilvl="2" w:tplc="05B443F2">
      <w:start w:val="1"/>
      <w:numFmt w:val="bullet"/>
      <w:lvlText w:val="■"/>
      <w:lvlJc w:val="left"/>
      <w:pPr>
        <w:ind w:left="2160" w:hanging="360"/>
      </w:pPr>
    </w:lvl>
    <w:lvl w:ilvl="3" w:tplc="220479E2">
      <w:start w:val="1"/>
      <w:numFmt w:val="bullet"/>
      <w:lvlText w:val="●"/>
      <w:lvlJc w:val="left"/>
      <w:pPr>
        <w:ind w:left="2880" w:hanging="360"/>
      </w:pPr>
    </w:lvl>
    <w:lvl w:ilvl="4" w:tplc="4E56CF24">
      <w:start w:val="1"/>
      <w:numFmt w:val="bullet"/>
      <w:lvlText w:val="○"/>
      <w:lvlJc w:val="left"/>
      <w:pPr>
        <w:ind w:left="3600" w:hanging="360"/>
      </w:pPr>
    </w:lvl>
    <w:lvl w:ilvl="5" w:tplc="2480D02A">
      <w:start w:val="1"/>
      <w:numFmt w:val="bullet"/>
      <w:lvlText w:val="■"/>
      <w:lvlJc w:val="left"/>
      <w:pPr>
        <w:ind w:left="4320" w:hanging="360"/>
      </w:pPr>
    </w:lvl>
    <w:lvl w:ilvl="6" w:tplc="542A2DFC">
      <w:start w:val="1"/>
      <w:numFmt w:val="bullet"/>
      <w:lvlText w:val="●"/>
      <w:lvlJc w:val="left"/>
      <w:pPr>
        <w:ind w:left="5040" w:hanging="360"/>
      </w:pPr>
    </w:lvl>
    <w:lvl w:ilvl="7" w:tplc="62FCEF4A">
      <w:start w:val="1"/>
      <w:numFmt w:val="bullet"/>
      <w:lvlText w:val="●"/>
      <w:lvlJc w:val="left"/>
      <w:pPr>
        <w:ind w:left="5760" w:hanging="360"/>
      </w:pPr>
    </w:lvl>
    <w:lvl w:ilvl="8" w:tplc="A5DA494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91D41CD"/>
    <w:multiLevelType w:val="multilevel"/>
    <w:tmpl w:val="1C1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24D44"/>
    <w:multiLevelType w:val="hybridMultilevel"/>
    <w:tmpl w:val="E122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B7773"/>
    <w:multiLevelType w:val="multilevel"/>
    <w:tmpl w:val="785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11446"/>
    <w:multiLevelType w:val="multilevel"/>
    <w:tmpl w:val="E188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ED5C41"/>
    <w:multiLevelType w:val="multilevel"/>
    <w:tmpl w:val="CBF0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4A44E8"/>
    <w:multiLevelType w:val="multilevel"/>
    <w:tmpl w:val="8170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C3A11"/>
    <w:multiLevelType w:val="multilevel"/>
    <w:tmpl w:val="BC60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A1E82"/>
    <w:multiLevelType w:val="multilevel"/>
    <w:tmpl w:val="29C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26702"/>
    <w:multiLevelType w:val="multilevel"/>
    <w:tmpl w:val="12E2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11"/>
  </w:num>
  <w:num w:numId="3">
    <w:abstractNumId w:val="9"/>
  </w:num>
  <w:num w:numId="4">
    <w:abstractNumId w:val="7"/>
  </w:num>
  <w:num w:numId="5">
    <w:abstractNumId w:val="1"/>
  </w:num>
  <w:num w:numId="6">
    <w:abstractNumId w:val="12"/>
  </w:num>
  <w:num w:numId="7">
    <w:abstractNumId w:val="10"/>
  </w:num>
  <w:num w:numId="8">
    <w:abstractNumId w:val="14"/>
  </w:num>
  <w:num w:numId="9">
    <w:abstractNumId w:val="5"/>
  </w:num>
  <w:num w:numId="10">
    <w:abstractNumId w:val="4"/>
  </w:num>
  <w:num w:numId="11">
    <w:abstractNumId w:val="3"/>
  </w:num>
  <w:num w:numId="12">
    <w:abstractNumId w:val="16"/>
  </w:num>
  <w:num w:numId="13">
    <w:abstractNumId w:val="15"/>
  </w:num>
  <w:num w:numId="14">
    <w:abstractNumId w:val="0"/>
  </w:num>
  <w:num w:numId="15">
    <w:abstractNumId w:val="13"/>
  </w:num>
  <w:num w:numId="16">
    <w:abstractNumId w:val="17"/>
  </w:num>
  <w:num w:numId="17">
    <w:abstractNumId w:val="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96"/>
    <w:rsid w:val="000B5AE5"/>
    <w:rsid w:val="000F2C3E"/>
    <w:rsid w:val="001E0322"/>
    <w:rsid w:val="00252880"/>
    <w:rsid w:val="002E0782"/>
    <w:rsid w:val="003A0D54"/>
    <w:rsid w:val="003D17D7"/>
    <w:rsid w:val="00437A6A"/>
    <w:rsid w:val="00503596"/>
    <w:rsid w:val="0066548F"/>
    <w:rsid w:val="006A51FF"/>
    <w:rsid w:val="008F5DE2"/>
    <w:rsid w:val="00A77FEA"/>
    <w:rsid w:val="00B568E6"/>
    <w:rsid w:val="00C65F12"/>
    <w:rsid w:val="00CB7E90"/>
    <w:rsid w:val="00D00DC7"/>
    <w:rsid w:val="00D10BDC"/>
    <w:rsid w:val="00D34002"/>
    <w:rsid w:val="00E040F9"/>
    <w:rsid w:val="00E0538B"/>
    <w:rsid w:val="00F4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E589"/>
  <w15:docId w15:val="{FA6CE13A-DFCE-4437-8425-D84CF019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00DC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00DC7"/>
    <w:rPr>
      <w:b/>
      <w:bCs/>
    </w:rPr>
  </w:style>
  <w:style w:type="paragraph" w:styleId="NormalWeb">
    <w:name w:val="Normal (Web)"/>
    <w:basedOn w:val="Normal"/>
    <w:uiPriority w:val="99"/>
    <w:unhideWhenUsed/>
    <w:rsid w:val="00D00DC7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7E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Samson Arawande</cp:lastModifiedBy>
  <cp:revision>2</cp:revision>
  <dcterms:created xsi:type="dcterms:W3CDTF">2026-08-25T17:14:00Z</dcterms:created>
  <dcterms:modified xsi:type="dcterms:W3CDTF">2026-08-25T17:14:00Z</dcterms:modified>
</cp:coreProperties>
</file>