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54FDB" w14:textId="77777777" w:rsidR="003D4D08" w:rsidRDefault="00CA1F24">
      <w:pPr>
        <w:spacing w:after="40"/>
        <w:jc w:val="center"/>
      </w:pPr>
      <w:r>
        <w:rPr>
          <w:b/>
          <w:bCs/>
          <w:color w:val="2E74B5"/>
        </w:rPr>
        <w:t>ANALYSTLAB AFRICA</w:t>
      </w:r>
    </w:p>
    <w:p w14:paraId="25B53EC8" w14:textId="77777777" w:rsidR="003D4D08" w:rsidRDefault="00CA1F24">
      <w:pPr>
        <w:spacing w:after="200"/>
        <w:jc w:val="center"/>
      </w:pPr>
      <w:r>
        <w:rPr>
          <w:color w:val="595959"/>
          <w:sz w:val="18"/>
          <w:szCs w:val="18"/>
        </w:rPr>
        <w:t>Experience Lab Internship Programme</w:t>
      </w:r>
    </w:p>
    <w:p w14:paraId="3536374E" w14:textId="77777777" w:rsidR="003D4D08" w:rsidRDefault="00CA1F24">
      <w:pPr>
        <w:spacing w:after="60"/>
        <w:jc w:val="center"/>
      </w:pPr>
      <w:r>
        <w:rPr>
          <w:b/>
          <w:bCs/>
          <w:color w:val="1F3864"/>
          <w:sz w:val="32"/>
          <w:szCs w:val="32"/>
        </w:rPr>
        <w:t>HealthConnect Analytics Testing &amp; Refinement Report</w:t>
      </w:r>
    </w:p>
    <w:p w14:paraId="7BF46B19" w14:textId="77777777" w:rsidR="003D4D08" w:rsidRDefault="00CA1F24">
      <w:pPr>
        <w:spacing w:after="300"/>
        <w:jc w:val="center"/>
      </w:pPr>
      <w:r>
        <w:rPr>
          <w:b/>
          <w:bCs/>
          <w:color w:val="2E74B5"/>
          <w:sz w:val="22"/>
          <w:szCs w:val="22"/>
        </w:rPr>
        <w:t>Week 7: Data Analytics Track — Testing, Refinement &amp; End-to-End Validation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3D4D08" w14:paraId="2E5EB6A9" w14:textId="77777777">
        <w:tblPrEx>
          <w:tblCellMar>
            <w:top w:w="0" w:type="dxa"/>
            <w:bottom w:w="0" w:type="dxa"/>
          </w:tblCellMar>
        </w:tblPrEx>
        <w:trPr>
          <w:cantSplit/>
          <w:tblHeader/>
        </w:trPr>
        <w:tc>
          <w:tcPr>
            <w:tcW w:w="3200" w:type="dxa"/>
            <w:shd w:val="clear" w:color="auto" w:fill="1F3864"/>
            <w:tcMar>
              <w:top w:w="60" w:type="dxa"/>
              <w:left w:w="90" w:type="dxa"/>
              <w:bottom w:w="60" w:type="dxa"/>
              <w:right w:w="90" w:type="dxa"/>
            </w:tcMar>
            <w:vAlign w:val="center"/>
          </w:tcPr>
          <w:p w14:paraId="6ABD8E06" w14:textId="77777777" w:rsidR="003D4D08" w:rsidRDefault="00CA1F24">
            <w:pPr>
              <w:spacing w:line="250" w:lineRule="auto"/>
            </w:pPr>
            <w:r>
              <w:rPr>
                <w:b/>
                <w:bCs/>
                <w:color w:val="FFFFFF"/>
                <w:sz w:val="19"/>
                <w:szCs w:val="19"/>
              </w:rPr>
              <w:t>Field</w:t>
            </w:r>
          </w:p>
        </w:tc>
        <w:tc>
          <w:tcPr>
            <w:tcW w:w="6300" w:type="dxa"/>
            <w:shd w:val="clear" w:color="auto" w:fill="1F3864"/>
            <w:tcMar>
              <w:top w:w="60" w:type="dxa"/>
              <w:left w:w="90" w:type="dxa"/>
              <w:bottom w:w="60" w:type="dxa"/>
              <w:right w:w="90" w:type="dxa"/>
            </w:tcMar>
            <w:vAlign w:val="center"/>
          </w:tcPr>
          <w:p w14:paraId="04FE6469" w14:textId="77777777" w:rsidR="003D4D08" w:rsidRDefault="00CA1F24">
            <w:pPr>
              <w:spacing w:line="250" w:lineRule="auto"/>
            </w:pPr>
            <w:r>
              <w:rPr>
                <w:b/>
                <w:bCs/>
                <w:color w:val="FFFFFF"/>
                <w:sz w:val="19"/>
                <w:szCs w:val="19"/>
              </w:rPr>
              <w:t>Detail</w:t>
            </w:r>
          </w:p>
        </w:tc>
      </w:tr>
      <w:tr w:rsidR="003D4D08" w14:paraId="3C5612A1" w14:textId="77777777">
        <w:tblPrEx>
          <w:tblCellMar>
            <w:top w:w="0" w:type="dxa"/>
            <w:bottom w:w="0" w:type="dxa"/>
          </w:tblCellMar>
        </w:tblPrEx>
        <w:trPr>
          <w:cantSplit/>
        </w:trPr>
        <w:tc>
          <w:tcPr>
            <w:tcW w:w="3200" w:type="dxa"/>
            <w:tcMar>
              <w:top w:w="60" w:type="dxa"/>
              <w:left w:w="90" w:type="dxa"/>
              <w:bottom w:w="60" w:type="dxa"/>
              <w:right w:w="90" w:type="dxa"/>
            </w:tcMar>
            <w:vAlign w:val="center"/>
          </w:tcPr>
          <w:p w14:paraId="029232D0" w14:textId="77777777" w:rsidR="003D4D08" w:rsidRDefault="00CA1F24">
            <w:pPr>
              <w:spacing w:line="250" w:lineRule="auto"/>
            </w:pPr>
            <w:r>
              <w:rPr>
                <w:sz w:val="19"/>
                <w:szCs w:val="19"/>
              </w:rPr>
              <w:t>Project</w:t>
            </w:r>
          </w:p>
        </w:tc>
        <w:tc>
          <w:tcPr>
            <w:tcW w:w="6300" w:type="dxa"/>
            <w:tcMar>
              <w:top w:w="60" w:type="dxa"/>
              <w:left w:w="90" w:type="dxa"/>
              <w:bottom w:w="60" w:type="dxa"/>
              <w:right w:w="90" w:type="dxa"/>
            </w:tcMar>
            <w:vAlign w:val="center"/>
          </w:tcPr>
          <w:p w14:paraId="3DB3F8A1" w14:textId="77777777" w:rsidR="003D4D08" w:rsidRDefault="00CA1F24">
            <w:pPr>
              <w:spacing w:line="250" w:lineRule="auto"/>
            </w:pPr>
            <w:r>
              <w:rPr>
                <w:sz w:val="19"/>
                <w:szCs w:val="19"/>
              </w:rPr>
              <w:t>HealthConnect Clinic Experience Lab</w:t>
            </w:r>
          </w:p>
        </w:tc>
      </w:tr>
      <w:tr w:rsidR="003D4D08" w14:paraId="190B747D" w14:textId="77777777">
        <w:tblPrEx>
          <w:tblCellMar>
            <w:top w:w="0" w:type="dxa"/>
            <w:bottom w:w="0" w:type="dxa"/>
          </w:tblCellMar>
        </w:tblPrEx>
        <w:trPr>
          <w:cantSplit/>
        </w:trPr>
        <w:tc>
          <w:tcPr>
            <w:tcW w:w="3200" w:type="dxa"/>
            <w:shd w:val="clear" w:color="auto" w:fill="F2F6FB"/>
            <w:tcMar>
              <w:top w:w="60" w:type="dxa"/>
              <w:left w:w="90" w:type="dxa"/>
              <w:bottom w:w="60" w:type="dxa"/>
              <w:right w:w="90" w:type="dxa"/>
            </w:tcMar>
            <w:vAlign w:val="center"/>
          </w:tcPr>
          <w:p w14:paraId="4D1588AC" w14:textId="77777777" w:rsidR="003D4D08" w:rsidRDefault="00CA1F24">
            <w:pPr>
              <w:spacing w:line="250" w:lineRule="auto"/>
            </w:pPr>
            <w:r>
              <w:rPr>
                <w:sz w:val="19"/>
                <w:szCs w:val="19"/>
              </w:rPr>
              <w:t>Track</w:t>
            </w:r>
          </w:p>
        </w:tc>
        <w:tc>
          <w:tcPr>
            <w:tcW w:w="6300" w:type="dxa"/>
            <w:shd w:val="clear" w:color="auto" w:fill="F2F6FB"/>
            <w:tcMar>
              <w:top w:w="60" w:type="dxa"/>
              <w:left w:w="90" w:type="dxa"/>
              <w:bottom w:w="60" w:type="dxa"/>
              <w:right w:w="90" w:type="dxa"/>
            </w:tcMar>
            <w:vAlign w:val="center"/>
          </w:tcPr>
          <w:p w14:paraId="4E2914B0" w14:textId="77777777" w:rsidR="003D4D08" w:rsidRDefault="00CA1F24">
            <w:pPr>
              <w:spacing w:line="250" w:lineRule="auto"/>
            </w:pPr>
            <w:r>
              <w:rPr>
                <w:sz w:val="19"/>
                <w:szCs w:val="19"/>
              </w:rPr>
              <w:t>Data Analytics</w:t>
            </w:r>
          </w:p>
        </w:tc>
      </w:tr>
      <w:tr w:rsidR="003D4D08" w14:paraId="33B84F58" w14:textId="77777777">
        <w:tblPrEx>
          <w:tblCellMar>
            <w:top w:w="0" w:type="dxa"/>
            <w:bottom w:w="0" w:type="dxa"/>
          </w:tblCellMar>
        </w:tblPrEx>
        <w:trPr>
          <w:cantSplit/>
        </w:trPr>
        <w:tc>
          <w:tcPr>
            <w:tcW w:w="3200" w:type="dxa"/>
            <w:tcMar>
              <w:top w:w="60" w:type="dxa"/>
              <w:left w:w="90" w:type="dxa"/>
              <w:bottom w:w="60" w:type="dxa"/>
              <w:right w:w="90" w:type="dxa"/>
            </w:tcMar>
            <w:vAlign w:val="center"/>
          </w:tcPr>
          <w:p w14:paraId="67809D00" w14:textId="77777777" w:rsidR="003D4D08" w:rsidRDefault="00CA1F24">
            <w:pPr>
              <w:spacing w:line="250" w:lineRule="auto"/>
            </w:pPr>
            <w:r>
              <w:rPr>
                <w:sz w:val="19"/>
                <w:szCs w:val="19"/>
              </w:rPr>
              <w:t>Week</w:t>
            </w:r>
          </w:p>
        </w:tc>
        <w:tc>
          <w:tcPr>
            <w:tcW w:w="6300" w:type="dxa"/>
            <w:tcMar>
              <w:top w:w="60" w:type="dxa"/>
              <w:left w:w="90" w:type="dxa"/>
              <w:bottom w:w="60" w:type="dxa"/>
              <w:right w:w="90" w:type="dxa"/>
            </w:tcMar>
            <w:vAlign w:val="center"/>
          </w:tcPr>
          <w:p w14:paraId="4C13EEAD" w14:textId="77777777" w:rsidR="003D4D08" w:rsidRDefault="00CA1F24">
            <w:pPr>
              <w:spacing w:line="250" w:lineRule="auto"/>
            </w:pPr>
            <w:r>
              <w:rPr>
                <w:sz w:val="19"/>
                <w:szCs w:val="19"/>
              </w:rPr>
              <w:t>Week 7 – Analytical Testing, KPI Validation &amp; Dashboard Refinement</w:t>
            </w:r>
          </w:p>
        </w:tc>
      </w:tr>
      <w:tr w:rsidR="003D4D08" w14:paraId="4279ED87" w14:textId="77777777">
        <w:tblPrEx>
          <w:tblCellMar>
            <w:top w:w="0" w:type="dxa"/>
            <w:bottom w:w="0" w:type="dxa"/>
          </w:tblCellMar>
        </w:tblPrEx>
        <w:trPr>
          <w:cantSplit/>
        </w:trPr>
        <w:tc>
          <w:tcPr>
            <w:tcW w:w="3200" w:type="dxa"/>
            <w:shd w:val="clear" w:color="auto" w:fill="F2F6FB"/>
            <w:tcMar>
              <w:top w:w="60" w:type="dxa"/>
              <w:left w:w="90" w:type="dxa"/>
              <w:bottom w:w="60" w:type="dxa"/>
              <w:right w:w="90" w:type="dxa"/>
            </w:tcMar>
            <w:vAlign w:val="center"/>
          </w:tcPr>
          <w:p w14:paraId="40C8BD68" w14:textId="77777777" w:rsidR="003D4D08" w:rsidRDefault="00CA1F24">
            <w:pPr>
              <w:spacing w:line="250" w:lineRule="auto"/>
            </w:pPr>
            <w:r>
              <w:rPr>
                <w:sz w:val="19"/>
                <w:szCs w:val="19"/>
              </w:rPr>
              <w:t>Builds on</w:t>
            </w:r>
          </w:p>
        </w:tc>
        <w:tc>
          <w:tcPr>
            <w:tcW w:w="6300" w:type="dxa"/>
            <w:shd w:val="clear" w:color="auto" w:fill="F2F6FB"/>
            <w:tcMar>
              <w:top w:w="60" w:type="dxa"/>
              <w:left w:w="90" w:type="dxa"/>
              <w:bottom w:w="60" w:type="dxa"/>
              <w:right w:w="90" w:type="dxa"/>
            </w:tcMar>
            <w:vAlign w:val="center"/>
          </w:tcPr>
          <w:p w14:paraId="701721D5" w14:textId="77777777" w:rsidR="003D4D08" w:rsidRDefault="00CA1F24">
            <w:pPr>
              <w:spacing w:line="250" w:lineRule="auto"/>
            </w:pPr>
            <w:r>
              <w:rPr>
                <w:sz w:val="19"/>
                <w:szCs w:val="19"/>
              </w:rPr>
              <w:t>Week 6: Advanced Analytics &amp; Decision Support Report</w:t>
            </w:r>
          </w:p>
        </w:tc>
      </w:tr>
      <w:tr w:rsidR="003D4D08" w14:paraId="570545C8" w14:textId="77777777">
        <w:tblPrEx>
          <w:tblCellMar>
            <w:top w:w="0" w:type="dxa"/>
            <w:bottom w:w="0" w:type="dxa"/>
          </w:tblCellMar>
        </w:tblPrEx>
        <w:trPr>
          <w:cantSplit/>
        </w:trPr>
        <w:tc>
          <w:tcPr>
            <w:tcW w:w="3200" w:type="dxa"/>
            <w:tcMar>
              <w:top w:w="60" w:type="dxa"/>
              <w:left w:w="90" w:type="dxa"/>
              <w:bottom w:w="60" w:type="dxa"/>
              <w:right w:w="90" w:type="dxa"/>
            </w:tcMar>
            <w:vAlign w:val="center"/>
          </w:tcPr>
          <w:p w14:paraId="5A9A2557" w14:textId="77777777" w:rsidR="003D4D08" w:rsidRDefault="00CA1F24">
            <w:pPr>
              <w:spacing w:line="250" w:lineRule="auto"/>
            </w:pPr>
            <w:r>
              <w:rPr>
                <w:sz w:val="19"/>
                <w:szCs w:val="19"/>
              </w:rPr>
              <w:t>Tools</w:t>
            </w:r>
          </w:p>
        </w:tc>
        <w:tc>
          <w:tcPr>
            <w:tcW w:w="6300" w:type="dxa"/>
            <w:tcMar>
              <w:top w:w="60" w:type="dxa"/>
              <w:left w:w="90" w:type="dxa"/>
              <w:bottom w:w="60" w:type="dxa"/>
              <w:right w:w="90" w:type="dxa"/>
            </w:tcMar>
            <w:vAlign w:val="center"/>
          </w:tcPr>
          <w:p w14:paraId="66975784" w14:textId="77777777" w:rsidR="003D4D08" w:rsidRDefault="00CA1F24">
            <w:pPr>
              <w:spacing w:line="250" w:lineRule="auto"/>
            </w:pPr>
            <w:r>
              <w:rPr>
                <w:sz w:val="19"/>
                <w:szCs w:val="19"/>
              </w:rPr>
              <w:t>Microsoft Excel, Power BI</w:t>
            </w:r>
          </w:p>
        </w:tc>
      </w:tr>
      <w:tr w:rsidR="003D4D08" w14:paraId="4BDC9BE6" w14:textId="77777777">
        <w:tblPrEx>
          <w:tblCellMar>
            <w:top w:w="0" w:type="dxa"/>
            <w:bottom w:w="0" w:type="dxa"/>
          </w:tblCellMar>
        </w:tblPrEx>
        <w:trPr>
          <w:cantSplit/>
        </w:trPr>
        <w:tc>
          <w:tcPr>
            <w:tcW w:w="3200" w:type="dxa"/>
            <w:shd w:val="clear" w:color="auto" w:fill="F2F6FB"/>
            <w:tcMar>
              <w:top w:w="60" w:type="dxa"/>
              <w:left w:w="90" w:type="dxa"/>
              <w:bottom w:w="60" w:type="dxa"/>
              <w:right w:w="90" w:type="dxa"/>
            </w:tcMar>
            <w:vAlign w:val="center"/>
          </w:tcPr>
          <w:p w14:paraId="0052F9E7" w14:textId="17F44C92" w:rsidR="003D4D08" w:rsidRDefault="004F25D4">
            <w:pPr>
              <w:spacing w:line="250" w:lineRule="auto"/>
            </w:pPr>
            <w:r>
              <w:t>Prepared by</w:t>
            </w:r>
          </w:p>
        </w:tc>
        <w:tc>
          <w:tcPr>
            <w:tcW w:w="6300" w:type="dxa"/>
            <w:shd w:val="clear" w:color="auto" w:fill="F2F6FB"/>
            <w:tcMar>
              <w:top w:w="60" w:type="dxa"/>
              <w:left w:w="90" w:type="dxa"/>
              <w:bottom w:w="60" w:type="dxa"/>
              <w:right w:w="90" w:type="dxa"/>
            </w:tcMar>
            <w:vAlign w:val="center"/>
          </w:tcPr>
          <w:p w14:paraId="0A49CA25" w14:textId="14FACE9C" w:rsidR="003D4D08" w:rsidRDefault="004F25D4">
            <w:pPr>
              <w:spacing w:line="250" w:lineRule="auto"/>
            </w:pPr>
            <w:r>
              <w:t>Samson Oluwatimlehin Arawande</w:t>
            </w:r>
          </w:p>
        </w:tc>
      </w:tr>
    </w:tbl>
    <w:p w14:paraId="6955A015" w14:textId="77777777" w:rsidR="003D4D08" w:rsidRDefault="003D4D08">
      <w:pPr>
        <w:spacing w:before="400"/>
      </w:pPr>
    </w:p>
    <w:p w14:paraId="14EB38DF" w14:textId="77777777" w:rsidR="003D4D08" w:rsidRDefault="00CA1F24">
      <w:pPr>
        <w:pStyle w:val="Heading1"/>
        <w:pBdr>
          <w:bottom w:val="single" w:sz="6" w:space="4" w:color="2E74B5"/>
        </w:pBdr>
        <w:spacing w:before="360" w:after="160"/>
      </w:pPr>
      <w:r>
        <w:rPr>
          <w:b/>
          <w:bCs/>
          <w:color w:val="1F3864"/>
          <w:sz w:val="26"/>
          <w:szCs w:val="26"/>
        </w:rPr>
        <w:t>1. Week 6 → Week 7 Transition</w:t>
      </w:r>
    </w:p>
    <w:p w14:paraId="1EF1846D" w14:textId="77777777" w:rsidR="003D4D08" w:rsidRDefault="00CA1F24">
      <w:pPr>
        <w:pStyle w:val="Heading3"/>
        <w:spacing w:before="180" w:after="90"/>
      </w:pPr>
      <w:r>
        <w:rPr>
          <w:b/>
          <w:bCs/>
          <w:color w:val="1F3864"/>
          <w:sz w:val="21"/>
          <w:szCs w:val="21"/>
        </w:rPr>
        <w:t>Main Week 6 output</w:t>
      </w:r>
    </w:p>
    <w:p w14:paraId="32721307" w14:textId="77777777" w:rsidR="003D4D08" w:rsidRDefault="00CA1F24">
      <w:pPr>
        <w:spacing w:after="150" w:line="270" w:lineRule="auto"/>
      </w:pPr>
      <w:r>
        <w:rPr>
          <w:sz w:val="21"/>
          <w:szCs w:val="21"/>
        </w:rPr>
        <w:t>The Advanced Analytics &amp; Decision Support Report: validated the two strongest Week 5 predictors together (confirming an additive, not multiplicative, relationship), validated both KPIs for time-stability, ranked findings by business impact, delivered a ful</w:t>
      </w:r>
      <w:r>
        <w:rPr>
          <w:sz w:val="21"/>
          <w:szCs w:val="21"/>
        </w:rPr>
        <w:t>l findings package to the Data Science track, and improved the dashboard with a Combined Risk matrix.</w:t>
      </w:r>
    </w:p>
    <w:p w14:paraId="5D50CDAE" w14:textId="77777777" w:rsidR="003D4D08" w:rsidRDefault="00CA1F24">
      <w:pPr>
        <w:pStyle w:val="Heading3"/>
        <w:spacing w:before="180" w:after="90"/>
      </w:pPr>
      <w:r>
        <w:rPr>
          <w:b/>
          <w:bCs/>
          <w:color w:val="1F3864"/>
          <w:sz w:val="21"/>
          <w:szCs w:val="21"/>
        </w:rPr>
        <w:t>Most important component/result</w:t>
      </w:r>
    </w:p>
    <w:p w14:paraId="7FEF79C1" w14:textId="77777777" w:rsidR="003D4D08" w:rsidRDefault="00CA1F24">
      <w:pPr>
        <w:spacing w:after="150" w:line="270" w:lineRule="auto"/>
      </w:pPr>
      <w:r>
        <w:rPr>
          <w:sz w:val="21"/>
          <w:szCs w:val="21"/>
        </w:rPr>
        <w:t>The Combined Risk matrix and its headline finding — that booking lead time and prior no-show history combine additively (o</w:t>
      </w:r>
      <w:r>
        <w:rPr>
          <w:sz w:val="21"/>
          <w:szCs w:val="21"/>
        </w:rPr>
        <w:t>bserved values track within a few points of what simple addition predicts).</w:t>
      </w:r>
    </w:p>
    <w:p w14:paraId="211ED062" w14:textId="77777777" w:rsidR="003D4D08" w:rsidRDefault="00CA1F24">
      <w:pPr>
        <w:pStyle w:val="Heading3"/>
        <w:spacing w:before="180" w:after="90"/>
      </w:pPr>
      <w:r>
        <w:rPr>
          <w:b/>
          <w:bCs/>
          <w:color w:val="1F3864"/>
          <w:sz w:val="21"/>
          <w:szCs w:val="21"/>
        </w:rPr>
        <w:t>Main issue/limitation/dependency identified in Week 6</w:t>
      </w:r>
    </w:p>
    <w:p w14:paraId="362D0F67" w14:textId="77777777" w:rsidR="003D4D08" w:rsidRDefault="00CA1F24">
      <w:pPr>
        <w:spacing w:after="150" w:line="270" w:lineRule="auto"/>
      </w:pPr>
      <w:r>
        <w:rPr>
          <w:sz w:val="21"/>
          <w:szCs w:val="21"/>
        </w:rPr>
        <w:t>Two things carried into this week: an unresolved numerical inconsistency between the dashboard (88.24%) and the written report</w:t>
      </w:r>
      <w:r>
        <w:rPr>
          <w:sz w:val="21"/>
          <w:szCs w:val="21"/>
        </w:rPr>
        <w:t>/Data Science handoff (91.30%) for the same matrix cell; and a new, live dependency — the Data Science track's model error patterns were expected in return, which arrived this week with 7 specific validation requests.</w:t>
      </w:r>
    </w:p>
    <w:p w14:paraId="79B4A70D" w14:textId="77777777" w:rsidR="003D4D08" w:rsidRDefault="00CA1F24">
      <w:pPr>
        <w:pStyle w:val="Heading3"/>
        <w:spacing w:before="180" w:after="90"/>
      </w:pPr>
      <w:r>
        <w:rPr>
          <w:b/>
          <w:bCs/>
          <w:color w:val="1F3864"/>
          <w:sz w:val="21"/>
          <w:szCs w:val="21"/>
        </w:rPr>
        <w:t>Component requiring testing</w:t>
      </w:r>
    </w:p>
    <w:p w14:paraId="22798640" w14:textId="77777777" w:rsidR="003D4D08" w:rsidRDefault="00CA1F24">
      <w:pPr>
        <w:spacing w:after="150" w:line="270" w:lineRule="auto"/>
      </w:pPr>
      <w:r>
        <w:rPr>
          <w:sz w:val="21"/>
          <w:szCs w:val="21"/>
        </w:rPr>
        <w:t>The Page 1</w:t>
      </w:r>
      <w:r>
        <w:rPr>
          <w:sz w:val="21"/>
          <w:szCs w:val="21"/>
        </w:rPr>
        <w:t xml:space="preserve"> dashboard's KPI cards and Combined Risk matrix (for internal consistency), and the full set of Week 5/6 validated findings (against Data Science's flagged model-error segments).</w:t>
      </w:r>
    </w:p>
    <w:p w14:paraId="2B2007B7" w14:textId="77777777" w:rsidR="003D4D08" w:rsidRDefault="00CA1F24">
      <w:pPr>
        <w:pStyle w:val="Heading3"/>
        <w:spacing w:before="180" w:after="90"/>
      </w:pPr>
      <w:r>
        <w:rPr>
          <w:b/>
          <w:bCs/>
          <w:color w:val="1F3864"/>
          <w:sz w:val="21"/>
          <w:szCs w:val="21"/>
        </w:rPr>
        <w:t>Track(s) relevant to Week 7 testing</w:t>
      </w:r>
    </w:p>
    <w:p w14:paraId="06D4AF61" w14:textId="77777777" w:rsidR="003D4D08" w:rsidRDefault="00CA1F24">
      <w:pPr>
        <w:spacing w:after="150" w:line="270" w:lineRule="auto"/>
      </w:pPr>
      <w:r>
        <w:rPr>
          <w:sz w:val="21"/>
          <w:szCs w:val="21"/>
        </w:rPr>
        <w:t>Data Science — both directions this week:</w:t>
      </w:r>
      <w:r>
        <w:rPr>
          <w:sz w:val="21"/>
          <w:szCs w:val="21"/>
        </w:rPr>
        <w:t xml:space="preserve"> their error-pattern response arrived, and a new, more specific validation request followed it, both requiring tested, evidence-backed answers.</w:t>
      </w:r>
    </w:p>
    <w:p w14:paraId="2858E30C" w14:textId="77777777" w:rsidR="003D4D08" w:rsidRDefault="00CA1F24">
      <w:pPr>
        <w:pStyle w:val="Heading3"/>
        <w:spacing w:before="180" w:after="90"/>
      </w:pPr>
      <w:r>
        <w:rPr>
          <w:b/>
          <w:bCs/>
          <w:color w:val="1F3864"/>
          <w:sz w:val="21"/>
          <w:szCs w:val="21"/>
        </w:rPr>
        <w:t>What was tested and what was expected to improve</w:t>
      </w:r>
    </w:p>
    <w:p w14:paraId="750B0FC9" w14:textId="77777777" w:rsidR="003D4D08" w:rsidRDefault="00CA1F24">
      <w:pPr>
        <w:spacing w:after="150" w:line="270" w:lineRule="auto"/>
      </w:pPr>
      <w:r>
        <w:rPr>
          <w:sz w:val="21"/>
          <w:szCs w:val="21"/>
        </w:rPr>
        <w:t>Whether the dashboard's numbers are internally consistent with the rest of the project's documentation, and whether the elevated model errors Data Science observed in specific segments are explained by unstable or unreliable underlying data — or point else</w:t>
      </w:r>
      <w:r>
        <w:rPr>
          <w:sz w:val="21"/>
          <w:szCs w:val="21"/>
        </w:rPr>
        <w:t>where.</w:t>
      </w:r>
    </w:p>
    <w:p w14:paraId="44697659" w14:textId="77777777" w:rsidR="003D4D08" w:rsidRDefault="00CA1F24">
      <w:pPr>
        <w:pStyle w:val="Heading1"/>
        <w:pBdr>
          <w:bottom w:val="single" w:sz="6" w:space="4" w:color="2E74B5"/>
        </w:pBdr>
        <w:spacing w:before="360" w:after="160"/>
      </w:pPr>
      <w:r>
        <w:rPr>
          <w:b/>
          <w:bCs/>
          <w:color w:val="1F3864"/>
          <w:sz w:val="26"/>
          <w:szCs w:val="26"/>
        </w:rPr>
        <w:t>2. Week 7 Testing Readiness</w:t>
      </w:r>
    </w:p>
    <w:p w14:paraId="1CEE1691" w14:textId="77777777" w:rsidR="003D4D08" w:rsidRDefault="00CA1F24">
      <w:pPr>
        <w:pStyle w:val="Heading3"/>
        <w:spacing w:before="180" w:after="90"/>
      </w:pPr>
      <w:r>
        <w:rPr>
          <w:b/>
          <w:bCs/>
          <w:color w:val="1F3864"/>
          <w:sz w:val="21"/>
          <w:szCs w:val="21"/>
        </w:rPr>
        <w:t>A. Component to be tested</w:t>
      </w:r>
    </w:p>
    <w:p w14:paraId="74E4712B" w14:textId="77777777" w:rsidR="003D4D08" w:rsidRDefault="00CA1F24">
      <w:pPr>
        <w:pStyle w:val="ListParagraph"/>
        <w:numPr>
          <w:ilvl w:val="0"/>
          <w:numId w:val="2"/>
        </w:numPr>
        <w:spacing w:after="75" w:line="270" w:lineRule="auto"/>
      </w:pPr>
      <w:r>
        <w:rPr>
          <w:sz w:val="21"/>
          <w:szCs w:val="21"/>
        </w:rPr>
        <w:t>Week 6 component: the Page 1 dashboard (KPI cards, Combined Risk matrix) and the validated Week 5/6 findings referenced in the Data Science handoff.</w:t>
      </w:r>
    </w:p>
    <w:p w14:paraId="7AD67D2C" w14:textId="77777777" w:rsidR="003D4D08" w:rsidRDefault="00CA1F24">
      <w:pPr>
        <w:pStyle w:val="ListParagraph"/>
        <w:numPr>
          <w:ilvl w:val="0"/>
          <w:numId w:val="2"/>
        </w:numPr>
        <w:spacing w:after="75" w:line="270" w:lineRule="auto"/>
      </w:pPr>
      <w:r>
        <w:rPr>
          <w:sz w:val="21"/>
          <w:szCs w:val="21"/>
        </w:rPr>
        <w:t xml:space="preserve">Intended purpose: give a single, trustworthy source of numbers that the written report, the dashboard, and </w:t>
      </w:r>
      <w:r>
        <w:rPr>
          <w:sz w:val="21"/>
          <w:szCs w:val="21"/>
        </w:rPr>
        <w:t>cross-track documents all agree on.</w:t>
      </w:r>
    </w:p>
    <w:p w14:paraId="118CF93F" w14:textId="77777777" w:rsidR="003D4D08" w:rsidRDefault="00CA1F24">
      <w:pPr>
        <w:pStyle w:val="ListParagraph"/>
        <w:numPr>
          <w:ilvl w:val="0"/>
          <w:numId w:val="2"/>
        </w:numPr>
        <w:spacing w:after="75" w:line="270" w:lineRule="auto"/>
      </w:pPr>
      <w:r>
        <w:rPr>
          <w:sz w:val="21"/>
          <w:szCs w:val="21"/>
        </w:rPr>
        <w:t>Requirement it should satisfy: dashboard values must agree with the underlying data and with figures reported elsewhere in the project.</w:t>
      </w:r>
    </w:p>
    <w:p w14:paraId="6842ADE4" w14:textId="77777777" w:rsidR="003D4D08" w:rsidRDefault="00CA1F24">
      <w:pPr>
        <w:pStyle w:val="ListParagraph"/>
        <w:numPr>
          <w:ilvl w:val="0"/>
          <w:numId w:val="2"/>
        </w:numPr>
        <w:spacing w:after="75" w:line="270" w:lineRule="auto"/>
      </w:pPr>
      <w:r>
        <w:rPr>
          <w:sz w:val="21"/>
          <w:szCs w:val="21"/>
        </w:rPr>
        <w:t>Track(s) connected: Data Science (direct dependency on these figures for their model</w:t>
      </w:r>
      <w:r>
        <w:rPr>
          <w:sz w:val="21"/>
          <w:szCs w:val="21"/>
        </w:rPr>
        <w:t xml:space="preserve"> refinement).</w:t>
      </w:r>
    </w:p>
    <w:p w14:paraId="6115F305" w14:textId="77777777" w:rsidR="003D4D08" w:rsidRDefault="00CA1F24">
      <w:pPr>
        <w:pStyle w:val="Heading3"/>
        <w:spacing w:before="180" w:after="90"/>
      </w:pPr>
      <w:r>
        <w:rPr>
          <w:b/>
          <w:bCs/>
          <w:color w:val="1F3864"/>
          <w:sz w:val="21"/>
          <w:szCs w:val="21"/>
        </w:rPr>
        <w:t>B. Testing objective</w:t>
      </w:r>
    </w:p>
    <w:p w14:paraId="2218F5F0" w14:textId="77777777" w:rsidR="003D4D08" w:rsidRDefault="00CA1F24">
      <w:pPr>
        <w:spacing w:after="150" w:line="270" w:lineRule="auto"/>
      </w:pPr>
      <w:r>
        <w:rPr>
          <w:sz w:val="21"/>
          <w:szCs w:val="21"/>
        </w:rPr>
        <w:t>Determine (1) whether the dashboard produces figures consistent with the underlying dataset and other project documentation, and (2) whether Data Science's observed model error concentrations are explained by data instabi</w:t>
      </w:r>
      <w:r>
        <w:rPr>
          <w:sz w:val="21"/>
          <w:szCs w:val="21"/>
        </w:rPr>
        <w:t>lity or reflect something the data cannot resolve.</w:t>
      </w:r>
    </w:p>
    <w:p w14:paraId="329FB9FA" w14:textId="77777777" w:rsidR="003D4D08" w:rsidRDefault="00CA1F24">
      <w:pPr>
        <w:pStyle w:val="Heading3"/>
        <w:spacing w:before="180" w:after="90"/>
      </w:pPr>
      <w:r>
        <w:rPr>
          <w:b/>
          <w:bCs/>
          <w:color w:val="1F3864"/>
          <w:sz w:val="21"/>
          <w:szCs w:val="21"/>
        </w:rPr>
        <w:t>C/D. Expected results and evidence</w:t>
      </w:r>
    </w:p>
    <w:p w14:paraId="34AE71BB" w14:textId="77777777" w:rsidR="003D4D08" w:rsidRDefault="00CA1F24">
      <w:pPr>
        <w:spacing w:after="150" w:line="270" w:lineRule="auto"/>
      </w:pPr>
      <w:r>
        <w:rPr>
          <w:sz w:val="21"/>
          <w:szCs w:val="21"/>
        </w:rPr>
        <w:t>Detailed in the Testing &amp; Validation Record (Section 6). Evidence produced: before/after dashboard screenshots, a full validated-findings response document with statistic</w:t>
      </w:r>
      <w:r>
        <w:rPr>
          <w:sz w:val="21"/>
          <w:szCs w:val="21"/>
        </w:rPr>
        <w:t>al tests, and this report.</w:t>
      </w:r>
    </w:p>
    <w:p w14:paraId="234DD878" w14:textId="77777777" w:rsidR="003D4D08" w:rsidRDefault="00CA1F24">
      <w:pPr>
        <w:pStyle w:val="Heading1"/>
        <w:pBdr>
          <w:bottom w:val="single" w:sz="6" w:space="4" w:color="2E74B5"/>
        </w:pBdr>
        <w:spacing w:before="360" w:after="160"/>
      </w:pPr>
      <w:r>
        <w:rPr>
          <w:b/>
          <w:bCs/>
          <w:color w:val="1F3864"/>
          <w:sz w:val="26"/>
          <w:szCs w:val="26"/>
        </w:rPr>
        <w:t>3. Testing Approach</w:t>
      </w:r>
    </w:p>
    <w:p w14:paraId="7C763CA5" w14:textId="77777777" w:rsidR="003D4D08" w:rsidRDefault="00CA1F24">
      <w:pPr>
        <w:spacing w:after="150" w:line="270" w:lineRule="auto"/>
      </w:pPr>
      <w:r>
        <w:rPr>
          <w:sz w:val="21"/>
          <w:szCs w:val="21"/>
        </w:rPr>
        <w:t>Two tests were run this week, both following the Test → Finding → Action → Retest cycle: (1) an internal consistency check comparing dashboard values against the Week 6 report and the Data Science handoff docu</w:t>
      </w:r>
      <w:r>
        <w:rPr>
          <w:sz w:val="21"/>
          <w:szCs w:val="21"/>
        </w:rPr>
        <w:t>ment, and (2) a structured validation of the 7 specific concerns Data Science raised about their model's error patterns, using H1/H2 2025 time-split stability checks and chi-square significance tests on the full and modelling-scoped datasets.</w:t>
      </w:r>
    </w:p>
    <w:p w14:paraId="5F0189F7" w14:textId="77777777" w:rsidR="003D4D08" w:rsidRDefault="00CA1F24">
      <w:pPr>
        <w:pStyle w:val="Heading1"/>
        <w:pBdr>
          <w:bottom w:val="single" w:sz="6" w:space="4" w:color="2E74B5"/>
        </w:pBdr>
        <w:spacing w:before="360" w:after="160"/>
      </w:pPr>
      <w:r>
        <w:rPr>
          <w:b/>
          <w:bCs/>
          <w:color w:val="1F3864"/>
          <w:sz w:val="26"/>
          <w:szCs w:val="26"/>
        </w:rPr>
        <w:t>4. Test 1: Da</w:t>
      </w:r>
      <w:r>
        <w:rPr>
          <w:b/>
          <w:bCs/>
          <w:color w:val="1F3864"/>
          <w:sz w:val="26"/>
          <w:szCs w:val="26"/>
        </w:rPr>
        <w:t>shboard Internal Consistency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D4D08" w14:paraId="33419072" w14:textId="77777777">
        <w:tblPrEx>
          <w:tblCellMar>
            <w:top w:w="0" w:type="dxa"/>
            <w:bottom w:w="0" w:type="dxa"/>
          </w:tblCellMar>
        </w:tblPrEx>
        <w:trPr>
          <w:cantSplit/>
          <w:tblHeader/>
        </w:trPr>
        <w:tc>
          <w:tcPr>
            <w:tcW w:w="2600" w:type="dxa"/>
            <w:shd w:val="clear" w:color="auto" w:fill="1F3864"/>
            <w:tcMar>
              <w:top w:w="60" w:type="dxa"/>
              <w:left w:w="90" w:type="dxa"/>
              <w:bottom w:w="60" w:type="dxa"/>
              <w:right w:w="90" w:type="dxa"/>
            </w:tcMar>
            <w:vAlign w:val="center"/>
          </w:tcPr>
          <w:p w14:paraId="5916A4AB" w14:textId="77777777" w:rsidR="003D4D08" w:rsidRDefault="00CA1F24">
            <w:pPr>
              <w:spacing w:line="250" w:lineRule="auto"/>
            </w:pPr>
            <w:r>
              <w:rPr>
                <w:b/>
                <w:bCs/>
                <w:color w:val="FFFFFF"/>
                <w:sz w:val="19"/>
                <w:szCs w:val="19"/>
              </w:rPr>
              <w:t>Field</w:t>
            </w:r>
          </w:p>
        </w:tc>
        <w:tc>
          <w:tcPr>
            <w:tcW w:w="6900" w:type="dxa"/>
            <w:shd w:val="clear" w:color="auto" w:fill="1F3864"/>
            <w:tcMar>
              <w:top w:w="60" w:type="dxa"/>
              <w:left w:w="90" w:type="dxa"/>
              <w:bottom w:w="60" w:type="dxa"/>
              <w:right w:w="90" w:type="dxa"/>
            </w:tcMar>
            <w:vAlign w:val="center"/>
          </w:tcPr>
          <w:p w14:paraId="54B80917" w14:textId="77777777" w:rsidR="003D4D08" w:rsidRDefault="00CA1F24">
            <w:pPr>
              <w:spacing w:line="250" w:lineRule="auto"/>
            </w:pPr>
            <w:r>
              <w:rPr>
                <w:b/>
                <w:bCs/>
                <w:color w:val="FFFFFF"/>
                <w:sz w:val="19"/>
                <w:szCs w:val="19"/>
              </w:rPr>
              <w:t>Detail</w:t>
            </w:r>
          </w:p>
        </w:tc>
      </w:tr>
      <w:tr w:rsidR="003D4D08" w14:paraId="731EFF9F" w14:textId="77777777">
        <w:tblPrEx>
          <w:tblCellMar>
            <w:top w:w="0" w:type="dxa"/>
            <w:bottom w:w="0" w:type="dxa"/>
          </w:tblCellMar>
        </w:tblPrEx>
        <w:trPr>
          <w:cantSplit/>
        </w:trPr>
        <w:tc>
          <w:tcPr>
            <w:tcW w:w="2600" w:type="dxa"/>
            <w:tcMar>
              <w:top w:w="60" w:type="dxa"/>
              <w:left w:w="90" w:type="dxa"/>
              <w:bottom w:w="60" w:type="dxa"/>
              <w:right w:w="90" w:type="dxa"/>
            </w:tcMar>
            <w:vAlign w:val="center"/>
          </w:tcPr>
          <w:p w14:paraId="754F3E20" w14:textId="77777777" w:rsidR="003D4D08" w:rsidRDefault="00CA1F24">
            <w:pPr>
              <w:spacing w:line="250" w:lineRule="auto"/>
            </w:pPr>
            <w:r>
              <w:rPr>
                <w:sz w:val="19"/>
                <w:szCs w:val="19"/>
              </w:rPr>
              <w:t>Test/Scenario</w:t>
            </w:r>
          </w:p>
        </w:tc>
        <w:tc>
          <w:tcPr>
            <w:tcW w:w="6900" w:type="dxa"/>
            <w:tcMar>
              <w:top w:w="60" w:type="dxa"/>
              <w:left w:w="90" w:type="dxa"/>
              <w:bottom w:w="60" w:type="dxa"/>
              <w:right w:w="90" w:type="dxa"/>
            </w:tcMar>
            <w:vAlign w:val="center"/>
          </w:tcPr>
          <w:p w14:paraId="7C0F5439" w14:textId="77777777" w:rsidR="003D4D08" w:rsidRDefault="00CA1F24">
            <w:pPr>
              <w:spacing w:line="250" w:lineRule="auto"/>
            </w:pPr>
            <w:r>
              <w:rPr>
                <w:sz w:val="19"/>
                <w:szCs w:val="19"/>
              </w:rPr>
              <w:t>Compare the Combined Risk matrix's highest-risk cell (46-60 days × 3+ prior no-shows) across the dashboard, the Week 6 report, and the Data Science handoff</w:t>
            </w:r>
          </w:p>
        </w:tc>
      </w:tr>
      <w:tr w:rsidR="003D4D08" w14:paraId="5CF2EE8C" w14:textId="77777777">
        <w:tblPrEx>
          <w:tblCellMar>
            <w:top w:w="0" w:type="dxa"/>
            <w:bottom w:w="0" w:type="dxa"/>
          </w:tblCellMar>
        </w:tblPrEx>
        <w:trPr>
          <w:cantSplit/>
        </w:trPr>
        <w:tc>
          <w:tcPr>
            <w:tcW w:w="2600" w:type="dxa"/>
            <w:shd w:val="clear" w:color="auto" w:fill="F2F6FB"/>
            <w:tcMar>
              <w:top w:w="60" w:type="dxa"/>
              <w:left w:w="90" w:type="dxa"/>
              <w:bottom w:w="60" w:type="dxa"/>
              <w:right w:w="90" w:type="dxa"/>
            </w:tcMar>
            <w:vAlign w:val="center"/>
          </w:tcPr>
          <w:p w14:paraId="07416CC7" w14:textId="77777777" w:rsidR="003D4D08" w:rsidRDefault="00CA1F24">
            <w:pPr>
              <w:spacing w:line="250" w:lineRule="auto"/>
            </w:pPr>
            <w:r>
              <w:rPr>
                <w:sz w:val="19"/>
                <w:szCs w:val="19"/>
              </w:rPr>
              <w:t>Expected Result</w:t>
            </w:r>
          </w:p>
        </w:tc>
        <w:tc>
          <w:tcPr>
            <w:tcW w:w="6900" w:type="dxa"/>
            <w:shd w:val="clear" w:color="auto" w:fill="F2F6FB"/>
            <w:tcMar>
              <w:top w:w="60" w:type="dxa"/>
              <w:left w:w="90" w:type="dxa"/>
              <w:bottom w:w="60" w:type="dxa"/>
              <w:right w:w="90" w:type="dxa"/>
            </w:tcMar>
            <w:vAlign w:val="center"/>
          </w:tcPr>
          <w:p w14:paraId="73F6C510" w14:textId="77777777" w:rsidR="003D4D08" w:rsidRDefault="00CA1F24">
            <w:pPr>
              <w:spacing w:line="250" w:lineRule="auto"/>
            </w:pPr>
            <w:r>
              <w:rPr>
                <w:sz w:val="19"/>
                <w:szCs w:val="19"/>
              </w:rPr>
              <w:t>All three sources show the same number</w:t>
            </w:r>
          </w:p>
        </w:tc>
      </w:tr>
      <w:tr w:rsidR="003D4D08" w14:paraId="28109BB3" w14:textId="77777777">
        <w:tblPrEx>
          <w:tblCellMar>
            <w:top w:w="0" w:type="dxa"/>
            <w:bottom w:w="0" w:type="dxa"/>
          </w:tblCellMar>
        </w:tblPrEx>
        <w:trPr>
          <w:cantSplit/>
        </w:trPr>
        <w:tc>
          <w:tcPr>
            <w:tcW w:w="2600" w:type="dxa"/>
            <w:tcMar>
              <w:top w:w="60" w:type="dxa"/>
              <w:left w:w="90" w:type="dxa"/>
              <w:bottom w:w="60" w:type="dxa"/>
              <w:right w:w="90" w:type="dxa"/>
            </w:tcMar>
            <w:vAlign w:val="center"/>
          </w:tcPr>
          <w:p w14:paraId="6EB654E3" w14:textId="77777777" w:rsidR="003D4D08" w:rsidRDefault="00CA1F24">
            <w:pPr>
              <w:spacing w:line="250" w:lineRule="auto"/>
            </w:pPr>
            <w:r>
              <w:rPr>
                <w:sz w:val="19"/>
                <w:szCs w:val="19"/>
              </w:rPr>
              <w:t>Actual Result</w:t>
            </w:r>
          </w:p>
        </w:tc>
        <w:tc>
          <w:tcPr>
            <w:tcW w:w="6900" w:type="dxa"/>
            <w:tcMar>
              <w:top w:w="60" w:type="dxa"/>
              <w:left w:w="90" w:type="dxa"/>
              <w:bottom w:w="60" w:type="dxa"/>
              <w:right w:w="90" w:type="dxa"/>
            </w:tcMar>
            <w:vAlign w:val="center"/>
          </w:tcPr>
          <w:p w14:paraId="63E3751C" w14:textId="77777777" w:rsidR="003D4D08" w:rsidRDefault="00CA1F24">
            <w:pPr>
              <w:spacing w:line="250" w:lineRule="auto"/>
            </w:pPr>
            <w:r>
              <w:rPr>
                <w:sz w:val="19"/>
                <w:szCs w:val="19"/>
              </w:rPr>
              <w:t>Dashboard showed 88.24% (n=17); report and Data Science document showed 91.30% (n=23)</w:t>
            </w:r>
          </w:p>
        </w:tc>
      </w:tr>
      <w:tr w:rsidR="003D4D08" w14:paraId="7090BC66" w14:textId="77777777">
        <w:tblPrEx>
          <w:tblCellMar>
            <w:top w:w="0" w:type="dxa"/>
            <w:bottom w:w="0" w:type="dxa"/>
          </w:tblCellMar>
        </w:tblPrEx>
        <w:trPr>
          <w:cantSplit/>
        </w:trPr>
        <w:tc>
          <w:tcPr>
            <w:tcW w:w="2600" w:type="dxa"/>
            <w:shd w:val="clear" w:color="auto" w:fill="F2F6FB"/>
            <w:tcMar>
              <w:top w:w="60" w:type="dxa"/>
              <w:left w:w="90" w:type="dxa"/>
              <w:bottom w:w="60" w:type="dxa"/>
              <w:right w:w="90" w:type="dxa"/>
            </w:tcMar>
            <w:vAlign w:val="center"/>
          </w:tcPr>
          <w:p w14:paraId="2031E46B" w14:textId="77777777" w:rsidR="003D4D08" w:rsidRDefault="00CA1F24">
            <w:pPr>
              <w:spacing w:line="250" w:lineRule="auto"/>
            </w:pPr>
            <w:r>
              <w:rPr>
                <w:sz w:val="19"/>
                <w:szCs w:val="19"/>
              </w:rPr>
              <w:t>Pass/Fail</w:t>
            </w:r>
          </w:p>
        </w:tc>
        <w:tc>
          <w:tcPr>
            <w:tcW w:w="6900" w:type="dxa"/>
            <w:shd w:val="clear" w:color="auto" w:fill="F2F6FB"/>
            <w:tcMar>
              <w:top w:w="60" w:type="dxa"/>
              <w:left w:w="90" w:type="dxa"/>
              <w:bottom w:w="60" w:type="dxa"/>
              <w:right w:w="90" w:type="dxa"/>
            </w:tcMar>
            <w:vAlign w:val="center"/>
          </w:tcPr>
          <w:p w14:paraId="35148DCD" w14:textId="77777777" w:rsidR="003D4D08" w:rsidRDefault="00CA1F24">
            <w:pPr>
              <w:spacing w:line="250" w:lineRule="auto"/>
            </w:pPr>
            <w:r>
              <w:rPr>
                <w:sz w:val="19"/>
                <w:szCs w:val="19"/>
              </w:rPr>
              <w:t>Fail</w:t>
            </w:r>
          </w:p>
        </w:tc>
      </w:tr>
      <w:tr w:rsidR="003D4D08" w14:paraId="6A783BC1" w14:textId="77777777">
        <w:tblPrEx>
          <w:tblCellMar>
            <w:top w:w="0" w:type="dxa"/>
            <w:bottom w:w="0" w:type="dxa"/>
          </w:tblCellMar>
        </w:tblPrEx>
        <w:trPr>
          <w:cantSplit/>
        </w:trPr>
        <w:tc>
          <w:tcPr>
            <w:tcW w:w="2600" w:type="dxa"/>
            <w:tcMar>
              <w:top w:w="60" w:type="dxa"/>
              <w:left w:w="90" w:type="dxa"/>
              <w:bottom w:w="60" w:type="dxa"/>
              <w:right w:w="90" w:type="dxa"/>
            </w:tcMar>
            <w:vAlign w:val="center"/>
          </w:tcPr>
          <w:p w14:paraId="7B988778" w14:textId="77777777" w:rsidR="003D4D08" w:rsidRDefault="00CA1F24">
            <w:pPr>
              <w:spacing w:line="250" w:lineRule="auto"/>
            </w:pPr>
            <w:r>
              <w:rPr>
                <w:sz w:val="19"/>
                <w:szCs w:val="19"/>
              </w:rPr>
              <w:t>Issue Identified</w:t>
            </w:r>
          </w:p>
        </w:tc>
        <w:tc>
          <w:tcPr>
            <w:tcW w:w="6900" w:type="dxa"/>
            <w:tcMar>
              <w:top w:w="60" w:type="dxa"/>
              <w:left w:w="90" w:type="dxa"/>
              <w:bottom w:w="60" w:type="dxa"/>
              <w:right w:w="90" w:type="dxa"/>
            </w:tcMar>
            <w:vAlign w:val="center"/>
          </w:tcPr>
          <w:p w14:paraId="2591EE85" w14:textId="77777777" w:rsidR="003D4D08" w:rsidRDefault="00CA1F24">
            <w:pPr>
              <w:spacing w:line="250" w:lineRule="auto"/>
            </w:pPr>
            <w:r>
              <w:rPr>
                <w:sz w:val="19"/>
                <w:szCs w:val="19"/>
              </w:rPr>
              <w:t>The Year slicer was filtering every visual on Page 1, not just the trend chart that needed it — KPI cards and the matrix were silently running on a smaller (2025-only) dataset than what was documented elsewhere</w:t>
            </w:r>
          </w:p>
        </w:tc>
      </w:tr>
      <w:tr w:rsidR="003D4D08" w14:paraId="0C83ABE5" w14:textId="77777777">
        <w:tblPrEx>
          <w:tblCellMar>
            <w:top w:w="0" w:type="dxa"/>
            <w:bottom w:w="0" w:type="dxa"/>
          </w:tblCellMar>
        </w:tblPrEx>
        <w:trPr>
          <w:cantSplit/>
        </w:trPr>
        <w:tc>
          <w:tcPr>
            <w:tcW w:w="2600" w:type="dxa"/>
            <w:shd w:val="clear" w:color="auto" w:fill="F2F6FB"/>
            <w:tcMar>
              <w:top w:w="60" w:type="dxa"/>
              <w:left w:w="90" w:type="dxa"/>
              <w:bottom w:w="60" w:type="dxa"/>
              <w:right w:w="90" w:type="dxa"/>
            </w:tcMar>
            <w:vAlign w:val="center"/>
          </w:tcPr>
          <w:p w14:paraId="21995A58" w14:textId="77777777" w:rsidR="003D4D08" w:rsidRDefault="00CA1F24">
            <w:pPr>
              <w:spacing w:line="250" w:lineRule="auto"/>
            </w:pPr>
            <w:r>
              <w:rPr>
                <w:sz w:val="19"/>
                <w:szCs w:val="19"/>
              </w:rPr>
              <w:t>Action Taken</w:t>
            </w:r>
          </w:p>
        </w:tc>
        <w:tc>
          <w:tcPr>
            <w:tcW w:w="6900" w:type="dxa"/>
            <w:shd w:val="clear" w:color="auto" w:fill="F2F6FB"/>
            <w:tcMar>
              <w:top w:w="60" w:type="dxa"/>
              <w:left w:w="90" w:type="dxa"/>
              <w:bottom w:w="60" w:type="dxa"/>
              <w:right w:w="90" w:type="dxa"/>
            </w:tcMar>
            <w:vAlign w:val="center"/>
          </w:tcPr>
          <w:p w14:paraId="132BA5C8" w14:textId="77777777" w:rsidR="003D4D08" w:rsidRDefault="00CA1F24">
            <w:pPr>
              <w:spacing w:line="250" w:lineRule="auto"/>
            </w:pPr>
            <w:r>
              <w:rPr>
                <w:sz w:val="19"/>
                <w:szCs w:val="19"/>
              </w:rPr>
              <w:t>Used Edit Interactions to set t</w:t>
            </w:r>
            <w:r>
              <w:rPr>
                <w:sz w:val="19"/>
                <w:szCs w:val="19"/>
              </w:rPr>
              <w:t>he Year slicer to “None” for all visuals except the Appointment Month trend chart</w:t>
            </w:r>
          </w:p>
        </w:tc>
      </w:tr>
      <w:tr w:rsidR="003D4D08" w14:paraId="0C419536" w14:textId="77777777">
        <w:tblPrEx>
          <w:tblCellMar>
            <w:top w:w="0" w:type="dxa"/>
            <w:bottom w:w="0" w:type="dxa"/>
          </w:tblCellMar>
        </w:tblPrEx>
        <w:trPr>
          <w:cantSplit/>
        </w:trPr>
        <w:tc>
          <w:tcPr>
            <w:tcW w:w="2600" w:type="dxa"/>
            <w:tcMar>
              <w:top w:w="60" w:type="dxa"/>
              <w:left w:w="90" w:type="dxa"/>
              <w:bottom w:w="60" w:type="dxa"/>
              <w:right w:w="90" w:type="dxa"/>
            </w:tcMar>
            <w:vAlign w:val="center"/>
          </w:tcPr>
          <w:p w14:paraId="3266398C" w14:textId="77777777" w:rsidR="003D4D08" w:rsidRDefault="00CA1F24">
            <w:pPr>
              <w:spacing w:line="250" w:lineRule="auto"/>
            </w:pPr>
            <w:r>
              <w:rPr>
                <w:sz w:val="19"/>
                <w:szCs w:val="19"/>
              </w:rPr>
              <w:t>Retest Result</w:t>
            </w:r>
          </w:p>
        </w:tc>
        <w:tc>
          <w:tcPr>
            <w:tcW w:w="6900" w:type="dxa"/>
            <w:tcMar>
              <w:top w:w="60" w:type="dxa"/>
              <w:left w:w="90" w:type="dxa"/>
              <w:bottom w:w="60" w:type="dxa"/>
              <w:right w:w="90" w:type="dxa"/>
            </w:tcMar>
            <w:vAlign w:val="center"/>
          </w:tcPr>
          <w:p w14:paraId="16BA8308" w14:textId="77777777" w:rsidR="003D4D08" w:rsidRDefault="00CA1F24">
            <w:pPr>
              <w:spacing w:line="250" w:lineRule="auto"/>
            </w:pPr>
            <w:r>
              <w:rPr>
                <w:sz w:val="19"/>
                <w:szCs w:val="19"/>
              </w:rPr>
              <w:t>Confirmed — Overall (48.46%), KPI cards, and the matrix (91.30%) now hold steady regardless of the Year slicer; only the trend chart still responds to it, as intended</w:t>
            </w:r>
          </w:p>
        </w:tc>
      </w:tr>
      <w:tr w:rsidR="003D4D08" w14:paraId="45FADEFE" w14:textId="77777777">
        <w:tblPrEx>
          <w:tblCellMar>
            <w:top w:w="0" w:type="dxa"/>
            <w:bottom w:w="0" w:type="dxa"/>
          </w:tblCellMar>
        </w:tblPrEx>
        <w:trPr>
          <w:cantSplit/>
        </w:trPr>
        <w:tc>
          <w:tcPr>
            <w:tcW w:w="2600" w:type="dxa"/>
            <w:shd w:val="clear" w:color="auto" w:fill="F2F6FB"/>
            <w:tcMar>
              <w:top w:w="60" w:type="dxa"/>
              <w:left w:w="90" w:type="dxa"/>
              <w:bottom w:w="60" w:type="dxa"/>
              <w:right w:w="90" w:type="dxa"/>
            </w:tcMar>
            <w:vAlign w:val="center"/>
          </w:tcPr>
          <w:p w14:paraId="4B060126" w14:textId="77777777" w:rsidR="003D4D08" w:rsidRDefault="00CA1F24">
            <w:pPr>
              <w:spacing w:line="250" w:lineRule="auto"/>
            </w:pPr>
            <w:r>
              <w:rPr>
                <w:sz w:val="19"/>
                <w:szCs w:val="19"/>
              </w:rPr>
              <w:t>Evidence</w:t>
            </w:r>
          </w:p>
        </w:tc>
        <w:tc>
          <w:tcPr>
            <w:tcW w:w="6900" w:type="dxa"/>
            <w:shd w:val="clear" w:color="auto" w:fill="F2F6FB"/>
            <w:tcMar>
              <w:top w:w="60" w:type="dxa"/>
              <w:left w:w="90" w:type="dxa"/>
              <w:bottom w:w="60" w:type="dxa"/>
              <w:right w:w="90" w:type="dxa"/>
            </w:tcMar>
            <w:vAlign w:val="center"/>
          </w:tcPr>
          <w:p w14:paraId="4066E20D" w14:textId="77777777" w:rsidR="003D4D08" w:rsidRDefault="00CA1F24">
            <w:pPr>
              <w:spacing w:line="250" w:lineRule="auto"/>
            </w:pPr>
            <w:r>
              <w:rPr>
                <w:sz w:val="19"/>
                <w:szCs w:val="19"/>
              </w:rPr>
              <w:t>Before/after dashboard screenshots</w:t>
            </w:r>
          </w:p>
        </w:tc>
      </w:tr>
    </w:tbl>
    <w:p w14:paraId="4449A10C" w14:textId="77777777" w:rsidR="003D4D08" w:rsidRDefault="00CA1F24">
      <w:pPr>
        <w:pStyle w:val="Heading1"/>
        <w:pBdr>
          <w:bottom w:val="single" w:sz="6" w:space="4" w:color="2E74B5"/>
        </w:pBdr>
        <w:spacing w:before="360" w:after="160"/>
      </w:pPr>
      <w:r>
        <w:rPr>
          <w:b/>
          <w:bCs/>
          <w:color w:val="1F3864"/>
          <w:sz w:val="26"/>
          <w:szCs w:val="26"/>
        </w:rPr>
        <w:t>5. Test 2: Mandatory Cross-Track Testing (Data Science)</w:t>
      </w:r>
    </w:p>
    <w:p w14:paraId="57B41CFA" w14:textId="77777777" w:rsidR="003D4D08" w:rsidRDefault="00CA1F24">
      <w:pPr>
        <w:spacing w:after="150" w:line="270" w:lineRule="auto"/>
      </w:pPr>
      <w:r>
        <w:rPr>
          <w:sz w:val="21"/>
          <w:szCs w:val="21"/>
        </w:rPr>
        <w:t>Data Science's Week 6 error analysis flagged 7 specific concerns about their baseline model, requesting validation from the Data Analytics side. This is a genuine, two-way Test → Finding → Action → Re</w:t>
      </w:r>
      <w:r>
        <w:rPr>
          <w:sz w:val="21"/>
          <w:szCs w:val="21"/>
        </w:rPr>
        <w:t>test cycle, not a one-off delivery.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1900"/>
      </w:tblGrid>
      <w:tr w:rsidR="003D4D08" w14:paraId="5648BCB5" w14:textId="77777777">
        <w:tblPrEx>
          <w:tblCellMar>
            <w:top w:w="0" w:type="dxa"/>
            <w:bottom w:w="0" w:type="dxa"/>
          </w:tblCellMar>
        </w:tblPrEx>
        <w:trPr>
          <w:cantSplit/>
          <w:tblHeader/>
        </w:trPr>
        <w:tc>
          <w:tcPr>
            <w:tcW w:w="3400" w:type="dxa"/>
            <w:shd w:val="clear" w:color="auto" w:fill="1F3864"/>
            <w:tcMar>
              <w:top w:w="60" w:type="dxa"/>
              <w:left w:w="90" w:type="dxa"/>
              <w:bottom w:w="60" w:type="dxa"/>
              <w:right w:w="90" w:type="dxa"/>
            </w:tcMar>
            <w:vAlign w:val="center"/>
          </w:tcPr>
          <w:p w14:paraId="33C897EF" w14:textId="77777777" w:rsidR="003D4D08" w:rsidRDefault="00CA1F24">
            <w:pPr>
              <w:spacing w:line="250" w:lineRule="auto"/>
            </w:pPr>
            <w:r>
              <w:rPr>
                <w:b/>
                <w:bCs/>
                <w:color w:val="FFFFFF"/>
                <w:sz w:val="19"/>
                <w:szCs w:val="19"/>
              </w:rPr>
              <w:t>Concern Raised</w:t>
            </w:r>
          </w:p>
        </w:tc>
        <w:tc>
          <w:tcPr>
            <w:tcW w:w="4200" w:type="dxa"/>
            <w:shd w:val="clear" w:color="auto" w:fill="1F3864"/>
            <w:tcMar>
              <w:top w:w="60" w:type="dxa"/>
              <w:left w:w="90" w:type="dxa"/>
              <w:bottom w:w="60" w:type="dxa"/>
              <w:right w:w="90" w:type="dxa"/>
            </w:tcMar>
            <w:vAlign w:val="center"/>
          </w:tcPr>
          <w:p w14:paraId="317981FE" w14:textId="77777777" w:rsidR="003D4D08" w:rsidRDefault="00CA1F24">
            <w:pPr>
              <w:spacing w:line="250" w:lineRule="auto"/>
            </w:pPr>
            <w:r>
              <w:rPr>
                <w:b/>
                <w:bCs/>
                <w:color w:val="FFFFFF"/>
                <w:sz w:val="19"/>
                <w:szCs w:val="19"/>
              </w:rPr>
              <w:t>Finding</w:t>
            </w:r>
          </w:p>
        </w:tc>
        <w:tc>
          <w:tcPr>
            <w:tcW w:w="1900" w:type="dxa"/>
            <w:shd w:val="clear" w:color="auto" w:fill="1F3864"/>
            <w:tcMar>
              <w:top w:w="60" w:type="dxa"/>
              <w:left w:w="90" w:type="dxa"/>
              <w:bottom w:w="60" w:type="dxa"/>
              <w:right w:w="90" w:type="dxa"/>
            </w:tcMar>
            <w:vAlign w:val="center"/>
          </w:tcPr>
          <w:p w14:paraId="1D7CC2C5" w14:textId="77777777" w:rsidR="003D4D08" w:rsidRDefault="00CA1F24">
            <w:pPr>
              <w:spacing w:line="250" w:lineRule="auto"/>
            </w:pPr>
            <w:r>
              <w:rPr>
                <w:b/>
                <w:bCs/>
                <w:color w:val="FFFFFF"/>
                <w:sz w:val="19"/>
                <w:szCs w:val="19"/>
              </w:rPr>
              <w:t>Pass/Fail</w:t>
            </w:r>
          </w:p>
        </w:tc>
      </w:tr>
      <w:tr w:rsidR="003D4D08" w14:paraId="17A46E48" w14:textId="77777777">
        <w:tblPrEx>
          <w:tblCellMar>
            <w:top w:w="0" w:type="dxa"/>
            <w:bottom w:w="0" w:type="dxa"/>
          </w:tblCellMar>
        </w:tblPrEx>
        <w:trPr>
          <w:cantSplit/>
        </w:trPr>
        <w:tc>
          <w:tcPr>
            <w:tcW w:w="3400" w:type="dxa"/>
            <w:tcMar>
              <w:top w:w="60" w:type="dxa"/>
              <w:left w:w="90" w:type="dxa"/>
              <w:bottom w:w="60" w:type="dxa"/>
              <w:right w:w="90" w:type="dxa"/>
            </w:tcMar>
            <w:vAlign w:val="center"/>
          </w:tcPr>
          <w:p w14:paraId="3F7C4DFC" w14:textId="77777777" w:rsidR="003D4D08" w:rsidRDefault="00CA1F24">
            <w:pPr>
              <w:spacing w:line="250" w:lineRule="auto"/>
            </w:pPr>
            <w:proofErr w:type="gramStart"/>
            <w:r>
              <w:rPr>
                <w:sz w:val="19"/>
                <w:szCs w:val="19"/>
              </w:rPr>
              <w:t>15-30 &amp; 31-45 day</w:t>
            </w:r>
            <w:proofErr w:type="gramEnd"/>
            <w:r>
              <w:rPr>
                <w:sz w:val="19"/>
                <w:szCs w:val="19"/>
              </w:rPr>
              <w:t xml:space="preserve"> bands: are elevated FN/FP errors caused by unstable data?</w:t>
            </w:r>
          </w:p>
        </w:tc>
        <w:tc>
          <w:tcPr>
            <w:tcW w:w="4200" w:type="dxa"/>
            <w:tcMar>
              <w:top w:w="60" w:type="dxa"/>
              <w:left w:w="90" w:type="dxa"/>
              <w:bottom w:w="60" w:type="dxa"/>
              <w:right w:w="90" w:type="dxa"/>
            </w:tcMar>
            <w:vAlign w:val="center"/>
          </w:tcPr>
          <w:p w14:paraId="1EC89B69" w14:textId="77777777" w:rsidR="003D4D08" w:rsidRDefault="00CA1F24">
            <w:pPr>
              <w:spacing w:line="250" w:lineRule="auto"/>
            </w:pPr>
            <w:r>
              <w:rPr>
                <w:sz w:val="19"/>
                <w:szCs w:val="19"/>
              </w:rPr>
              <w:t>Both bands stable over H1/H2 2025 (gaps of 1.7pt and 3.3pt, n=390-459 per half). Not a data problem — likely reflects inherent classification difficulty in these mid-risk bands</w:t>
            </w:r>
          </w:p>
        </w:tc>
        <w:tc>
          <w:tcPr>
            <w:tcW w:w="1900" w:type="dxa"/>
            <w:tcMar>
              <w:top w:w="60" w:type="dxa"/>
              <w:left w:w="90" w:type="dxa"/>
              <w:bottom w:w="60" w:type="dxa"/>
              <w:right w:w="90" w:type="dxa"/>
            </w:tcMar>
            <w:vAlign w:val="center"/>
          </w:tcPr>
          <w:p w14:paraId="10FEBCFA" w14:textId="77777777" w:rsidR="003D4D08" w:rsidRDefault="00CA1F24">
            <w:pPr>
              <w:spacing w:line="250" w:lineRule="auto"/>
            </w:pPr>
            <w:r>
              <w:rPr>
                <w:sz w:val="19"/>
                <w:szCs w:val="19"/>
              </w:rPr>
              <w:t>Pass (data confirmed reliable; root cause lies elsewhere)</w:t>
            </w:r>
          </w:p>
        </w:tc>
      </w:tr>
      <w:tr w:rsidR="003D4D08" w14:paraId="63777256" w14:textId="77777777">
        <w:tblPrEx>
          <w:tblCellMar>
            <w:top w:w="0" w:type="dxa"/>
            <w:bottom w:w="0" w:type="dxa"/>
          </w:tblCellMar>
        </w:tblPrEx>
        <w:trPr>
          <w:cantSplit/>
        </w:trPr>
        <w:tc>
          <w:tcPr>
            <w:tcW w:w="3400" w:type="dxa"/>
            <w:shd w:val="clear" w:color="auto" w:fill="F2F6FB"/>
            <w:tcMar>
              <w:top w:w="60" w:type="dxa"/>
              <w:left w:w="90" w:type="dxa"/>
              <w:bottom w:w="60" w:type="dxa"/>
              <w:right w:w="90" w:type="dxa"/>
            </w:tcMar>
            <w:vAlign w:val="center"/>
          </w:tcPr>
          <w:p w14:paraId="1A27811F" w14:textId="77777777" w:rsidR="003D4D08" w:rsidRDefault="00CA1F24">
            <w:pPr>
              <w:spacing w:line="250" w:lineRule="auto"/>
            </w:pPr>
            <w:proofErr w:type="gramStart"/>
            <w:r>
              <w:rPr>
                <w:sz w:val="19"/>
                <w:szCs w:val="19"/>
              </w:rPr>
              <w:t>15-30 day</w:t>
            </w:r>
            <w:proofErr w:type="gramEnd"/>
            <w:r>
              <w:rPr>
                <w:sz w:val="19"/>
                <w:szCs w:val="19"/>
              </w:rPr>
              <w:t xml:space="preserve"> false negatives (n=69): segment pattern?</w:t>
            </w:r>
          </w:p>
        </w:tc>
        <w:tc>
          <w:tcPr>
            <w:tcW w:w="4200" w:type="dxa"/>
            <w:shd w:val="clear" w:color="auto" w:fill="F2F6FB"/>
            <w:tcMar>
              <w:top w:w="60" w:type="dxa"/>
              <w:left w:w="90" w:type="dxa"/>
              <w:bottom w:w="60" w:type="dxa"/>
              <w:right w:w="90" w:type="dxa"/>
            </w:tcMar>
            <w:vAlign w:val="center"/>
          </w:tcPr>
          <w:p w14:paraId="7891483E" w14:textId="77777777" w:rsidR="003D4D08" w:rsidRDefault="00CA1F24">
            <w:pPr>
              <w:spacing w:line="250" w:lineRule="auto"/>
            </w:pPr>
            <w:r>
              <w:rPr>
                <w:sz w:val="19"/>
                <w:szCs w:val="19"/>
              </w:rPr>
              <w:t>Largest sub-segment (0 prior no-shows, n=713) sits at 41.09% — a plausible, data-grounded explanation for under-prediction</w:t>
            </w:r>
          </w:p>
        </w:tc>
        <w:tc>
          <w:tcPr>
            <w:tcW w:w="1900" w:type="dxa"/>
            <w:shd w:val="clear" w:color="auto" w:fill="F2F6FB"/>
            <w:tcMar>
              <w:top w:w="60" w:type="dxa"/>
              <w:left w:w="90" w:type="dxa"/>
              <w:bottom w:w="60" w:type="dxa"/>
              <w:right w:w="90" w:type="dxa"/>
            </w:tcMar>
            <w:vAlign w:val="center"/>
          </w:tcPr>
          <w:p w14:paraId="788D6563" w14:textId="77777777" w:rsidR="003D4D08" w:rsidRDefault="00CA1F24">
            <w:pPr>
              <w:spacing w:line="250" w:lineRule="auto"/>
            </w:pPr>
            <w:r>
              <w:rPr>
                <w:sz w:val="19"/>
                <w:szCs w:val="19"/>
              </w:rPr>
              <w:t>Pass — explanation provided</w:t>
            </w:r>
          </w:p>
        </w:tc>
      </w:tr>
      <w:tr w:rsidR="003D4D08" w14:paraId="3FCE656D" w14:textId="77777777">
        <w:tblPrEx>
          <w:tblCellMar>
            <w:top w:w="0" w:type="dxa"/>
            <w:bottom w:w="0" w:type="dxa"/>
          </w:tblCellMar>
        </w:tblPrEx>
        <w:trPr>
          <w:cantSplit/>
        </w:trPr>
        <w:tc>
          <w:tcPr>
            <w:tcW w:w="3400" w:type="dxa"/>
            <w:tcMar>
              <w:top w:w="60" w:type="dxa"/>
              <w:left w:w="90" w:type="dxa"/>
              <w:bottom w:w="60" w:type="dxa"/>
              <w:right w:w="90" w:type="dxa"/>
            </w:tcMar>
            <w:vAlign w:val="center"/>
          </w:tcPr>
          <w:p w14:paraId="786A3251" w14:textId="77777777" w:rsidR="003D4D08" w:rsidRDefault="00CA1F24">
            <w:pPr>
              <w:spacing w:line="250" w:lineRule="auto"/>
            </w:pPr>
            <w:proofErr w:type="gramStart"/>
            <w:r>
              <w:rPr>
                <w:sz w:val="19"/>
                <w:szCs w:val="19"/>
              </w:rPr>
              <w:t>31-45 day</w:t>
            </w:r>
            <w:proofErr w:type="gramEnd"/>
            <w:r>
              <w:rPr>
                <w:sz w:val="19"/>
                <w:szCs w:val="19"/>
              </w:rPr>
              <w:t xml:space="preserve"> false positives (n=100): segment pattern?</w:t>
            </w:r>
          </w:p>
        </w:tc>
        <w:tc>
          <w:tcPr>
            <w:tcW w:w="4200" w:type="dxa"/>
            <w:tcMar>
              <w:top w:w="60" w:type="dxa"/>
              <w:left w:w="90" w:type="dxa"/>
              <w:bottom w:w="60" w:type="dxa"/>
              <w:right w:w="90" w:type="dxa"/>
            </w:tcMar>
            <w:vAlign w:val="center"/>
          </w:tcPr>
          <w:p w14:paraId="1D194EE8" w14:textId="77777777" w:rsidR="003D4D08" w:rsidRDefault="00CA1F24">
            <w:pPr>
              <w:spacing w:line="250" w:lineRule="auto"/>
            </w:pPr>
            <w:r>
              <w:rPr>
                <w:sz w:val="19"/>
                <w:szCs w:val="19"/>
              </w:rPr>
              <w:t>1-prior-no-show sub-segment (n=391) sits at 61.89% — elevated but not certain, a plausible source of over-prediction</w:t>
            </w:r>
          </w:p>
        </w:tc>
        <w:tc>
          <w:tcPr>
            <w:tcW w:w="1900" w:type="dxa"/>
            <w:tcMar>
              <w:top w:w="60" w:type="dxa"/>
              <w:left w:w="90" w:type="dxa"/>
              <w:bottom w:w="60" w:type="dxa"/>
              <w:right w:w="90" w:type="dxa"/>
            </w:tcMar>
            <w:vAlign w:val="center"/>
          </w:tcPr>
          <w:p w14:paraId="6EF4C8F6" w14:textId="77777777" w:rsidR="003D4D08" w:rsidRDefault="00CA1F24">
            <w:pPr>
              <w:spacing w:line="250" w:lineRule="auto"/>
            </w:pPr>
            <w:r>
              <w:rPr>
                <w:sz w:val="19"/>
                <w:szCs w:val="19"/>
              </w:rPr>
              <w:t>Pass — explanation provided</w:t>
            </w:r>
          </w:p>
        </w:tc>
      </w:tr>
      <w:tr w:rsidR="003D4D08" w14:paraId="66028FBD" w14:textId="77777777">
        <w:tblPrEx>
          <w:tblCellMar>
            <w:top w:w="0" w:type="dxa"/>
            <w:bottom w:w="0" w:type="dxa"/>
          </w:tblCellMar>
        </w:tblPrEx>
        <w:trPr>
          <w:cantSplit/>
        </w:trPr>
        <w:tc>
          <w:tcPr>
            <w:tcW w:w="3400" w:type="dxa"/>
            <w:shd w:val="clear" w:color="auto" w:fill="F2F6FB"/>
            <w:tcMar>
              <w:top w:w="60" w:type="dxa"/>
              <w:left w:w="90" w:type="dxa"/>
              <w:bottom w:w="60" w:type="dxa"/>
              <w:right w:w="90" w:type="dxa"/>
            </w:tcMar>
            <w:vAlign w:val="center"/>
          </w:tcPr>
          <w:p w14:paraId="6C15DB57" w14:textId="77777777" w:rsidR="003D4D08" w:rsidRDefault="00CA1F24">
            <w:pPr>
              <w:spacing w:line="250" w:lineRule="auto"/>
            </w:pPr>
            <w:r>
              <w:rPr>
                <w:sz w:val="19"/>
                <w:szCs w:val="19"/>
              </w:rPr>
              <w:t>Previous no-shows (0 vs 1+): stable over time?</w:t>
            </w:r>
          </w:p>
        </w:tc>
        <w:tc>
          <w:tcPr>
            <w:tcW w:w="4200" w:type="dxa"/>
            <w:shd w:val="clear" w:color="auto" w:fill="F2F6FB"/>
            <w:tcMar>
              <w:top w:w="60" w:type="dxa"/>
              <w:left w:w="90" w:type="dxa"/>
              <w:bottom w:w="60" w:type="dxa"/>
              <w:right w:w="90" w:type="dxa"/>
            </w:tcMar>
            <w:vAlign w:val="center"/>
          </w:tcPr>
          <w:p w14:paraId="1D8C8328" w14:textId="77777777" w:rsidR="003D4D08" w:rsidRDefault="00CA1F24">
            <w:pPr>
              <w:spacing w:line="250" w:lineRule="auto"/>
            </w:pPr>
            <w:r>
              <w:rPr>
                <w:sz w:val="19"/>
                <w:szCs w:val="19"/>
              </w:rPr>
              <w:t>Both extremely stable (0.48pt and 0.68pt H1/H2 gaps)</w:t>
            </w:r>
          </w:p>
        </w:tc>
        <w:tc>
          <w:tcPr>
            <w:tcW w:w="1900" w:type="dxa"/>
            <w:shd w:val="clear" w:color="auto" w:fill="F2F6FB"/>
            <w:tcMar>
              <w:top w:w="60" w:type="dxa"/>
              <w:left w:w="90" w:type="dxa"/>
              <w:bottom w:w="60" w:type="dxa"/>
              <w:right w:w="90" w:type="dxa"/>
            </w:tcMar>
            <w:vAlign w:val="center"/>
          </w:tcPr>
          <w:p w14:paraId="32905466" w14:textId="77777777" w:rsidR="003D4D08" w:rsidRDefault="00CA1F24">
            <w:pPr>
              <w:spacing w:line="250" w:lineRule="auto"/>
            </w:pPr>
            <w:r>
              <w:rPr>
                <w:sz w:val="19"/>
                <w:szCs w:val="19"/>
              </w:rPr>
              <w:t>Pass</w:t>
            </w:r>
          </w:p>
        </w:tc>
      </w:tr>
      <w:tr w:rsidR="003D4D08" w14:paraId="40A0BDA3" w14:textId="77777777">
        <w:tblPrEx>
          <w:tblCellMar>
            <w:top w:w="0" w:type="dxa"/>
            <w:bottom w:w="0" w:type="dxa"/>
          </w:tblCellMar>
        </w:tblPrEx>
        <w:trPr>
          <w:cantSplit/>
        </w:trPr>
        <w:tc>
          <w:tcPr>
            <w:tcW w:w="3400" w:type="dxa"/>
            <w:tcMar>
              <w:top w:w="60" w:type="dxa"/>
              <w:left w:w="90" w:type="dxa"/>
              <w:bottom w:w="60" w:type="dxa"/>
              <w:right w:w="90" w:type="dxa"/>
            </w:tcMar>
            <w:vAlign w:val="center"/>
          </w:tcPr>
          <w:p w14:paraId="0B5138D4" w14:textId="77777777" w:rsidR="003D4D08" w:rsidRDefault="00CA1F24">
            <w:pPr>
              <w:spacing w:line="250" w:lineRule="auto"/>
            </w:pPr>
            <w:proofErr w:type="gramStart"/>
            <w:r>
              <w:rPr>
                <w:sz w:val="19"/>
                <w:szCs w:val="19"/>
              </w:rPr>
              <w:t>8-14 day</w:t>
            </w:r>
            <w:proofErr w:type="gramEnd"/>
            <w:r>
              <w:rPr>
                <w:sz w:val="19"/>
                <w:szCs w:val="19"/>
              </w:rPr>
              <w:t xml:space="preserve"> band stability</w:t>
            </w:r>
          </w:p>
        </w:tc>
        <w:tc>
          <w:tcPr>
            <w:tcW w:w="4200" w:type="dxa"/>
            <w:tcMar>
              <w:top w:w="60" w:type="dxa"/>
              <w:left w:w="90" w:type="dxa"/>
              <w:bottom w:w="60" w:type="dxa"/>
              <w:right w:w="90" w:type="dxa"/>
            </w:tcMar>
            <w:vAlign w:val="center"/>
          </w:tcPr>
          <w:p w14:paraId="45FDD776" w14:textId="77777777" w:rsidR="003D4D08" w:rsidRDefault="00CA1F24">
            <w:pPr>
              <w:spacing w:line="250" w:lineRule="auto"/>
            </w:pPr>
            <w:r>
              <w:rPr>
                <w:sz w:val="19"/>
                <w:szCs w:val="19"/>
              </w:rPr>
              <w:t>Genuine month-to-month volatility confirmed (21.43% to 50.00%, n=25-42/month) — smallest band by volume</w:t>
            </w:r>
          </w:p>
        </w:tc>
        <w:tc>
          <w:tcPr>
            <w:tcW w:w="1900" w:type="dxa"/>
            <w:tcMar>
              <w:top w:w="60" w:type="dxa"/>
              <w:left w:w="90" w:type="dxa"/>
              <w:bottom w:w="60" w:type="dxa"/>
              <w:right w:w="90" w:type="dxa"/>
            </w:tcMar>
            <w:vAlign w:val="center"/>
          </w:tcPr>
          <w:p w14:paraId="363F976B" w14:textId="77777777" w:rsidR="003D4D08" w:rsidRDefault="00CA1F24">
            <w:pPr>
              <w:spacing w:line="250" w:lineRule="auto"/>
            </w:pPr>
            <w:r>
              <w:rPr>
                <w:sz w:val="19"/>
                <w:szCs w:val="19"/>
              </w:rPr>
              <w:t>Fail — real, unresolved limitation</w:t>
            </w:r>
          </w:p>
        </w:tc>
      </w:tr>
      <w:tr w:rsidR="003D4D08" w14:paraId="2B0292EB" w14:textId="77777777">
        <w:tblPrEx>
          <w:tblCellMar>
            <w:top w:w="0" w:type="dxa"/>
            <w:bottom w:w="0" w:type="dxa"/>
          </w:tblCellMar>
        </w:tblPrEx>
        <w:trPr>
          <w:cantSplit/>
        </w:trPr>
        <w:tc>
          <w:tcPr>
            <w:tcW w:w="3400" w:type="dxa"/>
            <w:shd w:val="clear" w:color="auto" w:fill="F2F6FB"/>
            <w:tcMar>
              <w:top w:w="60" w:type="dxa"/>
              <w:left w:w="90" w:type="dxa"/>
              <w:bottom w:w="60" w:type="dxa"/>
              <w:right w:w="90" w:type="dxa"/>
            </w:tcMar>
            <w:vAlign w:val="center"/>
          </w:tcPr>
          <w:p w14:paraId="7197E0EA" w14:textId="77777777" w:rsidR="003D4D08" w:rsidRDefault="00CA1F24">
            <w:pPr>
              <w:spacing w:line="250" w:lineRule="auto"/>
            </w:pPr>
            <w:r>
              <w:rPr>
                <w:sz w:val="19"/>
                <w:szCs w:val="19"/>
              </w:rPr>
              <w:t>Small-sample groups: sufficiently supported?</w:t>
            </w:r>
          </w:p>
        </w:tc>
        <w:tc>
          <w:tcPr>
            <w:tcW w:w="4200" w:type="dxa"/>
            <w:shd w:val="clear" w:color="auto" w:fill="F2F6FB"/>
            <w:tcMar>
              <w:top w:w="60" w:type="dxa"/>
              <w:left w:w="90" w:type="dxa"/>
              <w:bottom w:w="60" w:type="dxa"/>
              <w:right w:w="90" w:type="dxa"/>
            </w:tcMar>
            <w:vAlign w:val="center"/>
          </w:tcPr>
          <w:p w14:paraId="6A9C74E1" w14:textId="77777777" w:rsidR="003D4D08" w:rsidRDefault="00CA1F24">
            <w:pPr>
              <w:spacing w:line="250" w:lineRule="auto"/>
            </w:pPr>
            <w:r>
              <w:rPr>
                <w:sz w:val="19"/>
                <w:szCs w:val="19"/>
              </w:rPr>
              <w:t>previous_no_shows 4 and 5 confirmed still too small (n=12, n=3)</w:t>
            </w:r>
          </w:p>
        </w:tc>
        <w:tc>
          <w:tcPr>
            <w:tcW w:w="1900" w:type="dxa"/>
            <w:shd w:val="clear" w:color="auto" w:fill="F2F6FB"/>
            <w:tcMar>
              <w:top w:w="60" w:type="dxa"/>
              <w:left w:w="90" w:type="dxa"/>
              <w:bottom w:w="60" w:type="dxa"/>
              <w:right w:w="90" w:type="dxa"/>
            </w:tcMar>
            <w:vAlign w:val="center"/>
          </w:tcPr>
          <w:p w14:paraId="0F3CCFF5" w14:textId="77777777" w:rsidR="003D4D08" w:rsidRDefault="00CA1F24">
            <w:pPr>
              <w:spacing w:line="250" w:lineRule="auto"/>
            </w:pPr>
            <w:r>
              <w:rPr>
                <w:sz w:val="19"/>
                <w:szCs w:val="19"/>
              </w:rPr>
              <w:t>Fail (as expected) — confirms existing caution, not a new issue</w:t>
            </w:r>
          </w:p>
        </w:tc>
      </w:tr>
      <w:tr w:rsidR="003D4D08" w14:paraId="191CBE17" w14:textId="77777777">
        <w:tblPrEx>
          <w:tblCellMar>
            <w:top w:w="0" w:type="dxa"/>
            <w:bottom w:w="0" w:type="dxa"/>
          </w:tblCellMar>
        </w:tblPrEx>
        <w:trPr>
          <w:cantSplit/>
        </w:trPr>
        <w:tc>
          <w:tcPr>
            <w:tcW w:w="3400" w:type="dxa"/>
            <w:tcMar>
              <w:top w:w="60" w:type="dxa"/>
              <w:left w:w="90" w:type="dxa"/>
              <w:bottom w:w="60" w:type="dxa"/>
              <w:right w:w="90" w:type="dxa"/>
            </w:tcMar>
            <w:vAlign w:val="center"/>
          </w:tcPr>
          <w:p w14:paraId="1CCAFB98" w14:textId="77777777" w:rsidR="003D4D08" w:rsidRDefault="00CA1F24">
            <w:pPr>
              <w:spacing w:line="250" w:lineRule="auto"/>
            </w:pPr>
            <w:r>
              <w:rPr>
                <w:sz w:val="19"/>
                <w:szCs w:val="19"/>
              </w:rPr>
              <w:t>Time-split stability, applied broadly</w:t>
            </w:r>
          </w:p>
        </w:tc>
        <w:tc>
          <w:tcPr>
            <w:tcW w:w="4200" w:type="dxa"/>
            <w:tcMar>
              <w:top w:w="60" w:type="dxa"/>
              <w:left w:w="90" w:type="dxa"/>
              <w:bottom w:w="60" w:type="dxa"/>
              <w:right w:w="90" w:type="dxa"/>
            </w:tcMar>
            <w:vAlign w:val="center"/>
          </w:tcPr>
          <w:p w14:paraId="3222AEDE" w14:textId="77777777" w:rsidR="003D4D08" w:rsidRDefault="00CA1F24">
            <w:pPr>
              <w:spacing w:line="250" w:lineRule="auto"/>
            </w:pPr>
            <w:r>
              <w:rPr>
                <w:sz w:val="19"/>
                <w:szCs w:val="19"/>
              </w:rPr>
              <w:t>Applied to lead time and no-show history; results included above</w:t>
            </w:r>
          </w:p>
        </w:tc>
        <w:tc>
          <w:tcPr>
            <w:tcW w:w="1900" w:type="dxa"/>
            <w:tcMar>
              <w:top w:w="60" w:type="dxa"/>
              <w:left w:w="90" w:type="dxa"/>
              <w:bottom w:w="60" w:type="dxa"/>
              <w:right w:w="90" w:type="dxa"/>
            </w:tcMar>
            <w:vAlign w:val="center"/>
          </w:tcPr>
          <w:p w14:paraId="779B3A69" w14:textId="77777777" w:rsidR="003D4D08" w:rsidRDefault="00CA1F24">
            <w:pPr>
              <w:spacing w:line="250" w:lineRule="auto"/>
            </w:pPr>
            <w:r>
              <w:rPr>
                <w:sz w:val="19"/>
                <w:szCs w:val="19"/>
              </w:rPr>
              <w:t>Pass</w:t>
            </w:r>
          </w:p>
        </w:tc>
      </w:tr>
    </w:tbl>
    <w:p w14:paraId="7EB53A37" w14:textId="77777777" w:rsidR="003D4D08" w:rsidRDefault="00CA1F24">
      <w:pPr>
        <w:spacing w:after="150" w:line="270" w:lineRule="auto"/>
      </w:pPr>
      <w:r>
        <w:rPr>
          <w:sz w:val="21"/>
          <w:szCs w:val="21"/>
        </w:rPr>
        <w:t>Action taken: delivered HealthConnect_Week7_ValidatedFindings_for_DataScience.docx, containing full tables, chi-square significance tests (lead time: χ2=364.81, p&lt;0.001; no-show history: χ2=80.71, p&lt;0.001), and segment-level investigation for all 7 points.</w:t>
      </w:r>
    </w:p>
    <w:p w14:paraId="09874339" w14:textId="77777777" w:rsidR="003D4D08" w:rsidRDefault="00CA1F24">
      <w:pPr>
        <w:spacing w:after="150" w:line="270" w:lineRule="auto"/>
      </w:pPr>
      <w:r>
        <w:rPr>
          <w:sz w:val="21"/>
          <w:szCs w:val="21"/>
        </w:rPr>
        <w:t>Retest result: this was not a pass/fail in the traditional sense but a validation exercise — 5 of 7 concerns were resolved as data-confirmed-reliable (pointing Data Science toward a modelling explanation rather than a data one), 1 was confirmed as a genui</w:t>
      </w:r>
      <w:r>
        <w:rPr>
          <w:sz w:val="21"/>
          <w:szCs w:val="21"/>
        </w:rPr>
        <w:t>ne, unresolved limitation (</w:t>
      </w:r>
      <w:proofErr w:type="gramStart"/>
      <w:r>
        <w:rPr>
          <w:sz w:val="21"/>
          <w:szCs w:val="21"/>
        </w:rPr>
        <w:t>8-14 day</w:t>
      </w:r>
      <w:proofErr w:type="gramEnd"/>
      <w:r>
        <w:rPr>
          <w:sz w:val="21"/>
          <w:szCs w:val="21"/>
        </w:rPr>
        <w:t xml:space="preserve"> band), and 1 confirmed an existing caution rather than surfacing anything new.</w:t>
      </w:r>
    </w:p>
    <w:p w14:paraId="252AA345" w14:textId="77777777" w:rsidR="003D4D08" w:rsidRDefault="00CA1F24">
      <w:pPr>
        <w:pStyle w:val="Heading1"/>
        <w:pBdr>
          <w:bottom w:val="single" w:sz="6" w:space="4" w:color="2E74B5"/>
        </w:pBdr>
        <w:spacing w:before="360" w:after="160"/>
      </w:pPr>
      <w:r>
        <w:rPr>
          <w:b/>
          <w:bCs/>
          <w:color w:val="1F3864"/>
          <w:sz w:val="26"/>
          <w:szCs w:val="26"/>
        </w:rPr>
        <w:t>6. Testing, Refinement &amp; Validation Record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1440"/>
        <w:gridCol w:w="1400"/>
      </w:tblGrid>
      <w:tr w:rsidR="003D4D08" w14:paraId="42263714" w14:textId="77777777">
        <w:tblPrEx>
          <w:tblCellMar>
            <w:top w:w="0" w:type="dxa"/>
            <w:bottom w:w="0" w:type="dxa"/>
          </w:tblCellMar>
        </w:tblPrEx>
        <w:trPr>
          <w:cantSplit/>
          <w:tblHeader/>
        </w:trPr>
        <w:tc>
          <w:tcPr>
            <w:tcW w:w="2400" w:type="dxa"/>
            <w:shd w:val="clear" w:color="auto" w:fill="1F3864"/>
            <w:tcMar>
              <w:top w:w="60" w:type="dxa"/>
              <w:left w:w="90" w:type="dxa"/>
              <w:bottom w:w="60" w:type="dxa"/>
              <w:right w:w="90" w:type="dxa"/>
            </w:tcMar>
            <w:vAlign w:val="center"/>
          </w:tcPr>
          <w:p w14:paraId="6FC6656E" w14:textId="77777777" w:rsidR="003D4D08" w:rsidRDefault="00CA1F24">
            <w:pPr>
              <w:spacing w:line="250" w:lineRule="auto"/>
            </w:pPr>
            <w:r>
              <w:rPr>
                <w:b/>
                <w:bCs/>
                <w:color w:val="FFFFFF"/>
                <w:sz w:val="19"/>
                <w:szCs w:val="19"/>
              </w:rPr>
              <w:t>Component Tested</w:t>
            </w:r>
          </w:p>
        </w:tc>
        <w:tc>
          <w:tcPr>
            <w:tcW w:w="2400" w:type="dxa"/>
            <w:shd w:val="clear" w:color="auto" w:fill="1F3864"/>
            <w:tcMar>
              <w:top w:w="60" w:type="dxa"/>
              <w:left w:w="90" w:type="dxa"/>
              <w:bottom w:w="60" w:type="dxa"/>
              <w:right w:w="90" w:type="dxa"/>
            </w:tcMar>
            <w:vAlign w:val="center"/>
          </w:tcPr>
          <w:p w14:paraId="292E2539" w14:textId="77777777" w:rsidR="003D4D08" w:rsidRDefault="00CA1F24">
            <w:pPr>
              <w:spacing w:line="250" w:lineRule="auto"/>
            </w:pPr>
            <w:r>
              <w:rPr>
                <w:b/>
                <w:bCs/>
                <w:color w:val="FFFFFF"/>
                <w:sz w:val="19"/>
                <w:szCs w:val="19"/>
              </w:rPr>
              <w:t>Objective</w:t>
            </w:r>
          </w:p>
        </w:tc>
        <w:tc>
          <w:tcPr>
            <w:tcW w:w="2200" w:type="dxa"/>
            <w:shd w:val="clear" w:color="auto" w:fill="1F3864"/>
            <w:tcMar>
              <w:top w:w="60" w:type="dxa"/>
              <w:left w:w="90" w:type="dxa"/>
              <w:bottom w:w="60" w:type="dxa"/>
              <w:right w:w="90" w:type="dxa"/>
            </w:tcMar>
            <w:vAlign w:val="center"/>
          </w:tcPr>
          <w:p w14:paraId="6A56C3B6" w14:textId="77777777" w:rsidR="003D4D08" w:rsidRDefault="00CA1F24">
            <w:pPr>
              <w:spacing w:line="250" w:lineRule="auto"/>
            </w:pPr>
            <w:r>
              <w:rPr>
                <w:b/>
                <w:bCs/>
                <w:color w:val="FFFFFF"/>
                <w:sz w:val="19"/>
                <w:szCs w:val="19"/>
              </w:rPr>
              <w:t>Pass/Fail</w:t>
            </w:r>
          </w:p>
        </w:tc>
        <w:tc>
          <w:tcPr>
            <w:tcW w:w="1440" w:type="dxa"/>
            <w:shd w:val="clear" w:color="auto" w:fill="1F3864"/>
            <w:tcMar>
              <w:top w:w="60" w:type="dxa"/>
              <w:left w:w="90" w:type="dxa"/>
              <w:bottom w:w="60" w:type="dxa"/>
              <w:right w:w="90" w:type="dxa"/>
            </w:tcMar>
            <w:vAlign w:val="center"/>
          </w:tcPr>
          <w:p w14:paraId="1D9F0C50" w14:textId="77777777" w:rsidR="003D4D08" w:rsidRDefault="00CA1F24">
            <w:pPr>
              <w:spacing w:line="250" w:lineRule="auto"/>
            </w:pPr>
            <w:r>
              <w:rPr>
                <w:b/>
                <w:bCs/>
                <w:color w:val="FFFFFF"/>
                <w:sz w:val="19"/>
                <w:szCs w:val="19"/>
              </w:rPr>
              <w:t>Track</w:t>
            </w:r>
          </w:p>
        </w:tc>
        <w:tc>
          <w:tcPr>
            <w:tcW w:w="1400" w:type="dxa"/>
            <w:shd w:val="clear" w:color="auto" w:fill="1F3864"/>
            <w:tcMar>
              <w:top w:w="60" w:type="dxa"/>
              <w:left w:w="90" w:type="dxa"/>
              <w:bottom w:w="60" w:type="dxa"/>
              <w:right w:w="90" w:type="dxa"/>
            </w:tcMar>
            <w:vAlign w:val="center"/>
          </w:tcPr>
          <w:p w14:paraId="79A821D1" w14:textId="77777777" w:rsidR="003D4D08" w:rsidRDefault="00CA1F24">
            <w:pPr>
              <w:spacing w:line="250" w:lineRule="auto"/>
            </w:pPr>
            <w:r>
              <w:rPr>
                <w:b/>
                <w:bCs/>
                <w:color w:val="FFFFFF"/>
                <w:sz w:val="19"/>
                <w:szCs w:val="19"/>
              </w:rPr>
              <w:t>Evidence</w:t>
            </w:r>
          </w:p>
        </w:tc>
      </w:tr>
      <w:tr w:rsidR="003D4D08" w14:paraId="540E9097" w14:textId="77777777">
        <w:tblPrEx>
          <w:tblCellMar>
            <w:top w:w="0" w:type="dxa"/>
            <w:bottom w:w="0" w:type="dxa"/>
          </w:tblCellMar>
        </w:tblPrEx>
        <w:trPr>
          <w:cantSplit/>
        </w:trPr>
        <w:tc>
          <w:tcPr>
            <w:tcW w:w="2400" w:type="dxa"/>
            <w:tcMar>
              <w:top w:w="60" w:type="dxa"/>
              <w:left w:w="90" w:type="dxa"/>
              <w:bottom w:w="60" w:type="dxa"/>
              <w:right w:w="90" w:type="dxa"/>
            </w:tcMar>
            <w:vAlign w:val="center"/>
          </w:tcPr>
          <w:p w14:paraId="4F1BC053" w14:textId="77777777" w:rsidR="003D4D08" w:rsidRDefault="00CA1F24">
            <w:pPr>
              <w:spacing w:line="250" w:lineRule="auto"/>
            </w:pPr>
            <w:r>
              <w:rPr>
                <w:sz w:val="19"/>
                <w:szCs w:val="19"/>
              </w:rPr>
              <w:t>Dashboard KPI cards &amp; Combined Risk matrix</w:t>
            </w:r>
          </w:p>
        </w:tc>
        <w:tc>
          <w:tcPr>
            <w:tcW w:w="2400" w:type="dxa"/>
            <w:tcMar>
              <w:top w:w="60" w:type="dxa"/>
              <w:left w:w="90" w:type="dxa"/>
              <w:bottom w:w="60" w:type="dxa"/>
              <w:right w:w="90" w:type="dxa"/>
            </w:tcMar>
            <w:vAlign w:val="center"/>
          </w:tcPr>
          <w:p w14:paraId="76AE039F" w14:textId="77777777" w:rsidR="003D4D08" w:rsidRDefault="00CA1F24">
            <w:pPr>
              <w:spacing w:line="250" w:lineRule="auto"/>
            </w:pPr>
            <w:r>
              <w:rPr>
                <w:sz w:val="19"/>
                <w:szCs w:val="19"/>
              </w:rPr>
              <w:t>Confirm dashboard agrees with report/handoff figures</w:t>
            </w:r>
          </w:p>
        </w:tc>
        <w:tc>
          <w:tcPr>
            <w:tcW w:w="2200" w:type="dxa"/>
            <w:tcMar>
              <w:top w:w="60" w:type="dxa"/>
              <w:left w:w="90" w:type="dxa"/>
              <w:bottom w:w="60" w:type="dxa"/>
              <w:right w:w="90" w:type="dxa"/>
            </w:tcMar>
            <w:vAlign w:val="center"/>
          </w:tcPr>
          <w:p w14:paraId="0CCDD1F1" w14:textId="77777777" w:rsidR="003D4D08" w:rsidRDefault="00CA1F24">
            <w:pPr>
              <w:spacing w:line="250" w:lineRule="auto"/>
            </w:pPr>
            <w:r>
              <w:rPr>
                <w:sz w:val="19"/>
                <w:szCs w:val="19"/>
              </w:rPr>
              <w:t>Fail → Resolved on retest</w:t>
            </w:r>
          </w:p>
        </w:tc>
        <w:tc>
          <w:tcPr>
            <w:tcW w:w="1440" w:type="dxa"/>
            <w:tcMar>
              <w:top w:w="60" w:type="dxa"/>
              <w:left w:w="90" w:type="dxa"/>
              <w:bottom w:w="60" w:type="dxa"/>
              <w:right w:w="90" w:type="dxa"/>
            </w:tcMar>
            <w:vAlign w:val="center"/>
          </w:tcPr>
          <w:p w14:paraId="4EFBC2AC" w14:textId="77777777" w:rsidR="003D4D08" w:rsidRDefault="00CA1F24">
            <w:pPr>
              <w:spacing w:line="250" w:lineRule="auto"/>
            </w:pPr>
            <w:r>
              <w:rPr>
                <w:sz w:val="19"/>
                <w:szCs w:val="19"/>
              </w:rPr>
              <w:t>None (internal)</w:t>
            </w:r>
          </w:p>
        </w:tc>
        <w:tc>
          <w:tcPr>
            <w:tcW w:w="1400" w:type="dxa"/>
            <w:tcMar>
              <w:top w:w="60" w:type="dxa"/>
              <w:left w:w="90" w:type="dxa"/>
              <w:bottom w:w="60" w:type="dxa"/>
              <w:right w:w="90" w:type="dxa"/>
            </w:tcMar>
            <w:vAlign w:val="center"/>
          </w:tcPr>
          <w:p w14:paraId="2B681C33" w14:textId="77777777" w:rsidR="003D4D08" w:rsidRDefault="00CA1F24">
            <w:pPr>
              <w:spacing w:line="250" w:lineRule="auto"/>
            </w:pPr>
            <w:r>
              <w:rPr>
                <w:sz w:val="19"/>
                <w:szCs w:val="19"/>
              </w:rPr>
              <w:t>Before/after screenshots</w:t>
            </w:r>
          </w:p>
        </w:tc>
      </w:tr>
      <w:tr w:rsidR="003D4D08" w14:paraId="52A1D64B" w14:textId="77777777">
        <w:tblPrEx>
          <w:tblCellMar>
            <w:top w:w="0" w:type="dxa"/>
            <w:bottom w:w="0" w:type="dxa"/>
          </w:tblCellMar>
        </w:tblPrEx>
        <w:trPr>
          <w:cantSplit/>
        </w:trPr>
        <w:tc>
          <w:tcPr>
            <w:tcW w:w="2400" w:type="dxa"/>
            <w:shd w:val="clear" w:color="auto" w:fill="F2F6FB"/>
            <w:tcMar>
              <w:top w:w="60" w:type="dxa"/>
              <w:left w:w="90" w:type="dxa"/>
              <w:bottom w:w="60" w:type="dxa"/>
              <w:right w:w="90" w:type="dxa"/>
            </w:tcMar>
            <w:vAlign w:val="center"/>
          </w:tcPr>
          <w:p w14:paraId="4DCDD64F" w14:textId="77777777" w:rsidR="003D4D08" w:rsidRDefault="00CA1F24">
            <w:pPr>
              <w:spacing w:line="250" w:lineRule="auto"/>
            </w:pPr>
            <w:r>
              <w:rPr>
                <w:sz w:val="19"/>
                <w:szCs w:val="19"/>
              </w:rPr>
              <w:t>Week 5/6 validated findings vs. Data Science error patterns</w:t>
            </w:r>
          </w:p>
        </w:tc>
        <w:tc>
          <w:tcPr>
            <w:tcW w:w="2400" w:type="dxa"/>
            <w:shd w:val="clear" w:color="auto" w:fill="F2F6FB"/>
            <w:tcMar>
              <w:top w:w="60" w:type="dxa"/>
              <w:left w:w="90" w:type="dxa"/>
              <w:bottom w:w="60" w:type="dxa"/>
              <w:right w:w="90" w:type="dxa"/>
            </w:tcMar>
            <w:vAlign w:val="center"/>
          </w:tcPr>
          <w:p w14:paraId="6CA36C4A" w14:textId="77777777" w:rsidR="003D4D08" w:rsidRDefault="00CA1F24">
            <w:pPr>
              <w:spacing w:line="250" w:lineRule="auto"/>
            </w:pPr>
            <w:r>
              <w:rPr>
                <w:sz w:val="19"/>
                <w:szCs w:val="19"/>
              </w:rPr>
              <w:t>Determine whether flagged model errors are explained by data instability</w:t>
            </w:r>
          </w:p>
        </w:tc>
        <w:tc>
          <w:tcPr>
            <w:tcW w:w="2200" w:type="dxa"/>
            <w:shd w:val="clear" w:color="auto" w:fill="F2F6FB"/>
            <w:tcMar>
              <w:top w:w="60" w:type="dxa"/>
              <w:left w:w="90" w:type="dxa"/>
              <w:bottom w:w="60" w:type="dxa"/>
              <w:right w:w="90" w:type="dxa"/>
            </w:tcMar>
            <w:vAlign w:val="center"/>
          </w:tcPr>
          <w:p w14:paraId="547E39AF" w14:textId="77777777" w:rsidR="003D4D08" w:rsidRDefault="00CA1F24">
            <w:pPr>
              <w:spacing w:line="250" w:lineRule="auto"/>
            </w:pPr>
            <w:r>
              <w:rPr>
                <w:sz w:val="19"/>
                <w:szCs w:val="19"/>
              </w:rPr>
              <w:t>Partial — 5/7 confirmed reliable, 1 limitation, 1 existing caution</w:t>
            </w:r>
          </w:p>
        </w:tc>
        <w:tc>
          <w:tcPr>
            <w:tcW w:w="1440" w:type="dxa"/>
            <w:shd w:val="clear" w:color="auto" w:fill="F2F6FB"/>
            <w:tcMar>
              <w:top w:w="60" w:type="dxa"/>
              <w:left w:w="90" w:type="dxa"/>
              <w:bottom w:w="60" w:type="dxa"/>
              <w:right w:w="90" w:type="dxa"/>
            </w:tcMar>
            <w:vAlign w:val="center"/>
          </w:tcPr>
          <w:p w14:paraId="0977D082" w14:textId="77777777" w:rsidR="003D4D08" w:rsidRDefault="00CA1F24">
            <w:pPr>
              <w:spacing w:line="250" w:lineRule="auto"/>
            </w:pPr>
            <w:r>
              <w:rPr>
                <w:sz w:val="19"/>
                <w:szCs w:val="19"/>
              </w:rPr>
              <w:t>Data Science</w:t>
            </w:r>
          </w:p>
        </w:tc>
        <w:tc>
          <w:tcPr>
            <w:tcW w:w="1400" w:type="dxa"/>
            <w:shd w:val="clear" w:color="auto" w:fill="F2F6FB"/>
            <w:tcMar>
              <w:top w:w="60" w:type="dxa"/>
              <w:left w:w="90" w:type="dxa"/>
              <w:bottom w:w="60" w:type="dxa"/>
              <w:right w:w="90" w:type="dxa"/>
            </w:tcMar>
            <w:vAlign w:val="center"/>
          </w:tcPr>
          <w:p w14:paraId="5486CE36" w14:textId="77777777" w:rsidR="003D4D08" w:rsidRDefault="00CA1F24">
            <w:pPr>
              <w:spacing w:line="250" w:lineRule="auto"/>
            </w:pPr>
            <w:r>
              <w:rPr>
                <w:sz w:val="19"/>
                <w:szCs w:val="19"/>
              </w:rPr>
              <w:t>Validated findings response doc.</w:t>
            </w:r>
          </w:p>
        </w:tc>
      </w:tr>
    </w:tbl>
    <w:p w14:paraId="25A6CB92" w14:textId="77777777" w:rsidR="003D4D08" w:rsidRDefault="00CA1F24">
      <w:pPr>
        <w:pStyle w:val="Heading1"/>
        <w:pBdr>
          <w:bottom w:val="single" w:sz="6" w:space="4" w:color="2E74B5"/>
        </w:pBdr>
        <w:spacing w:before="360" w:after="160"/>
      </w:pPr>
      <w:r>
        <w:rPr>
          <w:b/>
          <w:bCs/>
          <w:color w:val="1F3864"/>
          <w:sz w:val="26"/>
          <w:szCs w:val="26"/>
        </w:rPr>
        <w:t>7. Refined Dashboard &amp; Updated Insights</w:t>
      </w:r>
    </w:p>
    <w:p w14:paraId="0ADC6F18" w14:textId="77777777" w:rsidR="003D4D08" w:rsidRDefault="00CA1F24">
      <w:pPr>
        <w:spacing w:after="150" w:line="270" w:lineRule="auto"/>
      </w:pPr>
      <w:r>
        <w:rPr>
          <w:sz w:val="21"/>
          <w:szCs w:val="21"/>
        </w:rPr>
        <w:t>No new charts were added this week (per the brief's instruction not to recreate the dashboard) — the refinement was corrective: fixing the Year-slicer interaction scope so every visual reports consistently. The dashb</w:t>
      </w:r>
      <w:r>
        <w:rPr>
          <w:sz w:val="21"/>
          <w:szCs w:val="21"/>
        </w:rPr>
        <w:t>oard's visual design, chart selection, and layout remain as validated in Week 6.</w:t>
      </w:r>
    </w:p>
    <w:p w14:paraId="459E9108" w14:textId="77777777" w:rsidR="003D4D08" w:rsidRDefault="00CA1F24">
      <w:pPr>
        <w:spacing w:after="150" w:line="270" w:lineRule="auto"/>
      </w:pPr>
      <w:r>
        <w:rPr>
          <w:sz w:val="21"/>
          <w:szCs w:val="21"/>
        </w:rPr>
        <w:t xml:space="preserve">One new insight from this week's testing, worth carrying into any future dashboard iteration: the </w:t>
      </w:r>
      <w:proofErr w:type="gramStart"/>
      <w:r>
        <w:rPr>
          <w:sz w:val="21"/>
          <w:szCs w:val="21"/>
        </w:rPr>
        <w:t>15-30 and 31-45 day</w:t>
      </w:r>
      <w:proofErr w:type="gramEnd"/>
      <w:r>
        <w:rPr>
          <w:sz w:val="21"/>
          <w:szCs w:val="21"/>
        </w:rPr>
        <w:t xml:space="preserve"> lead-time bands are not just statistically valid — they a</w:t>
      </w:r>
      <w:r>
        <w:rPr>
          <w:sz w:val="21"/>
          <w:szCs w:val="21"/>
        </w:rPr>
        <w:t>re the segments closest to a 50/50 risk split, meaning any prediction (human or model) in this range should be treated with more caution than the more extreme bands. This is a useful interpretive note for whoever uses the dashboard operationally.</w:t>
      </w:r>
    </w:p>
    <w:p w14:paraId="6F2ECB47" w14:textId="77777777" w:rsidR="003D4D08" w:rsidRDefault="00CA1F24">
      <w:pPr>
        <w:pStyle w:val="Heading1"/>
        <w:pBdr>
          <w:bottom w:val="single" w:sz="6" w:space="4" w:color="2E74B5"/>
        </w:pBdr>
        <w:spacing w:before="360" w:after="160"/>
      </w:pPr>
      <w:r>
        <w:rPr>
          <w:b/>
          <w:bCs/>
          <w:color w:val="1F3864"/>
          <w:sz w:val="26"/>
          <w:szCs w:val="26"/>
        </w:rPr>
        <w:t>8. Reasse</w:t>
      </w:r>
      <w:r>
        <w:rPr>
          <w:b/>
          <w:bCs/>
          <w:color w:val="1F3864"/>
          <w:sz w:val="26"/>
          <w:szCs w:val="26"/>
        </w:rPr>
        <w:t>ssed Recommendations</w:t>
      </w:r>
    </w:p>
    <w:p w14:paraId="713947CB" w14:textId="77777777" w:rsidR="003D4D08" w:rsidRDefault="00CA1F24">
      <w:pPr>
        <w:spacing w:after="150" w:line="270" w:lineRule="auto"/>
      </w:pPr>
      <w:r>
        <w:rPr>
          <w:sz w:val="21"/>
          <w:szCs w:val="21"/>
        </w:rPr>
        <w:t>Testing did not overturn any of the 5 Week 6 recommendations — all remain valid. Two refinements are added based on this week's findings:</w:t>
      </w:r>
    </w:p>
    <w:p w14:paraId="3D843141" w14:textId="77777777" w:rsidR="003D4D08" w:rsidRDefault="00CA1F24">
      <w:pPr>
        <w:pStyle w:val="ListParagraph"/>
        <w:numPr>
          <w:ilvl w:val="0"/>
          <w:numId w:val="3"/>
        </w:numPr>
        <w:spacing w:after="90" w:line="270" w:lineRule="auto"/>
      </w:pPr>
      <w:r>
        <w:rPr>
          <w:sz w:val="21"/>
          <w:szCs w:val="21"/>
        </w:rPr>
        <w:t xml:space="preserve">When communicating no-show risk for patients in the </w:t>
      </w:r>
      <w:proofErr w:type="gramStart"/>
      <w:r>
        <w:rPr>
          <w:sz w:val="21"/>
          <w:szCs w:val="21"/>
        </w:rPr>
        <w:t>15-30 or 31-45 day</w:t>
      </w:r>
      <w:proofErr w:type="gramEnd"/>
      <w:r>
        <w:rPr>
          <w:sz w:val="21"/>
          <w:szCs w:val="21"/>
        </w:rPr>
        <w:t xml:space="preserve"> lead-time bands, flag thes</w:t>
      </w:r>
      <w:r>
        <w:rPr>
          <w:sz w:val="21"/>
          <w:szCs w:val="21"/>
        </w:rPr>
        <w:t>e as “moderate confidence” rather than presenting them with the same certainty as the 0-7 or 46-60 day bands, since they are inherently harder to predict precisely.</w:t>
      </w:r>
    </w:p>
    <w:p w14:paraId="136263DB" w14:textId="77777777" w:rsidR="003D4D08" w:rsidRDefault="00CA1F24">
      <w:pPr>
        <w:pStyle w:val="ListParagraph"/>
        <w:numPr>
          <w:ilvl w:val="0"/>
          <w:numId w:val="3"/>
        </w:numPr>
        <w:spacing w:after="90" w:line="270" w:lineRule="auto"/>
      </w:pPr>
      <w:r>
        <w:rPr>
          <w:sz w:val="21"/>
          <w:szCs w:val="21"/>
        </w:rPr>
        <w:t xml:space="preserve">Any staff-facing guidance built on the </w:t>
      </w:r>
      <w:proofErr w:type="gramStart"/>
      <w:r>
        <w:rPr>
          <w:sz w:val="21"/>
          <w:szCs w:val="21"/>
        </w:rPr>
        <w:t>8-14 day</w:t>
      </w:r>
      <w:proofErr w:type="gramEnd"/>
      <w:r>
        <w:rPr>
          <w:sz w:val="21"/>
          <w:szCs w:val="21"/>
        </w:rPr>
        <w:t xml:space="preserve"> lead-time band should note its known month-</w:t>
      </w:r>
      <w:r>
        <w:rPr>
          <w:sz w:val="21"/>
          <w:szCs w:val="21"/>
        </w:rPr>
        <w:t>to-month volatility and avoid treating a single month's figure as representative.</w:t>
      </w:r>
    </w:p>
    <w:p w14:paraId="409D88D9" w14:textId="77777777" w:rsidR="003D4D08" w:rsidRDefault="00CA1F24">
      <w:pPr>
        <w:pStyle w:val="Heading1"/>
        <w:pBdr>
          <w:bottom w:val="single" w:sz="6" w:space="4" w:color="2E74B5"/>
        </w:pBdr>
        <w:spacing w:before="360" w:after="160"/>
      </w:pPr>
      <w:r>
        <w:rPr>
          <w:b/>
          <w:bCs/>
          <w:color w:val="1F3864"/>
          <w:sz w:val="26"/>
          <w:szCs w:val="26"/>
        </w:rPr>
        <w:t>9. End-to-End Validation</w:t>
      </w:r>
    </w:p>
    <w:p w14:paraId="7697C0D3" w14:textId="77777777" w:rsidR="003D4D08" w:rsidRDefault="00CA1F24">
      <w:pPr>
        <w:pStyle w:val="Heading3"/>
        <w:spacing w:before="180" w:after="90"/>
      </w:pPr>
      <w:r>
        <w:rPr>
          <w:b/>
          <w:bCs/>
          <w:color w:val="1F3864"/>
          <w:sz w:val="21"/>
          <w:szCs w:val="21"/>
        </w:rPr>
        <w:t>1. What component did I test?</w:t>
      </w:r>
    </w:p>
    <w:p w14:paraId="36CD503F" w14:textId="77777777" w:rsidR="003D4D08" w:rsidRDefault="00CA1F24">
      <w:pPr>
        <w:spacing w:after="150" w:line="270" w:lineRule="auto"/>
      </w:pPr>
      <w:r>
        <w:rPr>
          <w:sz w:val="21"/>
          <w:szCs w:val="21"/>
        </w:rPr>
        <w:t>The Page 1 dashboard's KPI cards and Combined Risk matrix, and the Week 5/6 validated no-show findings referenced in Data Science's Week 6 error analysis.</w:t>
      </w:r>
    </w:p>
    <w:p w14:paraId="7D8C4272" w14:textId="77777777" w:rsidR="003D4D08" w:rsidRDefault="00CA1F24">
      <w:pPr>
        <w:pStyle w:val="Heading3"/>
        <w:spacing w:before="180" w:after="90"/>
      </w:pPr>
      <w:r>
        <w:rPr>
          <w:b/>
          <w:bCs/>
          <w:color w:val="1F3864"/>
          <w:sz w:val="21"/>
          <w:szCs w:val="21"/>
        </w:rPr>
        <w:t>2. What did I expect to happen?</w:t>
      </w:r>
    </w:p>
    <w:p w14:paraId="08DE0D26" w14:textId="77777777" w:rsidR="003D4D08" w:rsidRDefault="00CA1F24">
      <w:pPr>
        <w:spacing w:after="150" w:line="270" w:lineRule="auto"/>
      </w:pPr>
      <w:r>
        <w:rPr>
          <w:sz w:val="21"/>
          <w:szCs w:val="21"/>
        </w:rPr>
        <w:t>Dashboard values should exactly match the figures reported in the Wee</w:t>
      </w:r>
      <w:r>
        <w:rPr>
          <w:sz w:val="21"/>
          <w:szCs w:val="21"/>
        </w:rPr>
        <w:t>k 6 report and the Data Science handoff; and the underlying data should either explain or rule out Data Science's flagged model error concentrations.</w:t>
      </w:r>
    </w:p>
    <w:p w14:paraId="49AB167D" w14:textId="77777777" w:rsidR="003D4D08" w:rsidRDefault="00CA1F24">
      <w:pPr>
        <w:pStyle w:val="Heading3"/>
        <w:spacing w:before="180" w:after="90"/>
      </w:pPr>
      <w:r>
        <w:rPr>
          <w:b/>
          <w:bCs/>
          <w:color w:val="1F3864"/>
          <w:sz w:val="21"/>
          <w:szCs w:val="21"/>
        </w:rPr>
        <w:t>3. What actually happened?</w:t>
      </w:r>
    </w:p>
    <w:p w14:paraId="438A8F47" w14:textId="77777777" w:rsidR="003D4D08" w:rsidRDefault="00CA1F24">
      <w:pPr>
        <w:spacing w:after="150" w:line="270" w:lineRule="auto"/>
      </w:pPr>
      <w:r>
        <w:rPr>
          <w:sz w:val="21"/>
          <w:szCs w:val="21"/>
        </w:rPr>
        <w:t>Found a real mismatch (88.24% vs. 91.30%) caused by the Year slicer unintention</w:t>
      </w:r>
      <w:r>
        <w:rPr>
          <w:sz w:val="21"/>
          <w:szCs w:val="21"/>
        </w:rPr>
        <w:t xml:space="preserve">ally filtering visuals that shouldn't respond to it. Separately, found that 5 of 7 flagged segments are stable and reliable (not a data problem), 1 (the </w:t>
      </w:r>
      <w:proofErr w:type="gramStart"/>
      <w:r>
        <w:rPr>
          <w:sz w:val="21"/>
          <w:szCs w:val="21"/>
        </w:rPr>
        <w:t>8-14 day</w:t>
      </w:r>
      <w:proofErr w:type="gramEnd"/>
      <w:r>
        <w:rPr>
          <w:sz w:val="21"/>
          <w:szCs w:val="21"/>
        </w:rPr>
        <w:t xml:space="preserve"> band) is a genuine, confirmed volatility limitation, and 1 (small samples) reconfirmed an exis</w:t>
      </w:r>
      <w:r>
        <w:rPr>
          <w:sz w:val="21"/>
          <w:szCs w:val="21"/>
        </w:rPr>
        <w:t>ting, already-documented caution.</w:t>
      </w:r>
    </w:p>
    <w:p w14:paraId="35A776C7" w14:textId="77777777" w:rsidR="003D4D08" w:rsidRDefault="00CA1F24">
      <w:pPr>
        <w:pStyle w:val="Heading3"/>
        <w:spacing w:before="180" w:after="90"/>
      </w:pPr>
      <w:r>
        <w:rPr>
          <w:b/>
          <w:bCs/>
          <w:color w:val="1F3864"/>
          <w:sz w:val="21"/>
          <w:szCs w:val="21"/>
        </w:rPr>
        <w:t>4. What issue or weakness did I identify?</w:t>
      </w:r>
    </w:p>
    <w:p w14:paraId="74847DEA" w14:textId="77777777" w:rsidR="003D4D08" w:rsidRDefault="00CA1F24">
      <w:pPr>
        <w:spacing w:after="150" w:line="270" w:lineRule="auto"/>
      </w:pPr>
      <w:r>
        <w:rPr>
          <w:sz w:val="21"/>
          <w:szCs w:val="21"/>
        </w:rPr>
        <w:t xml:space="preserve">The Year slicer's default interaction scope was wrong, silently affecting visuals it shouldn't have. Separately, the </w:t>
      </w:r>
      <w:proofErr w:type="gramStart"/>
      <w:r>
        <w:rPr>
          <w:sz w:val="21"/>
          <w:szCs w:val="21"/>
        </w:rPr>
        <w:t>8-14 day</w:t>
      </w:r>
      <w:proofErr w:type="gramEnd"/>
      <w:r>
        <w:rPr>
          <w:sz w:val="21"/>
          <w:szCs w:val="21"/>
        </w:rPr>
        <w:t xml:space="preserve"> lead-time band carries genuine, unresolved month-to-mo</w:t>
      </w:r>
      <w:r>
        <w:rPr>
          <w:sz w:val="21"/>
          <w:szCs w:val="21"/>
        </w:rPr>
        <w:t>nth instability not fully explained by an H1/H2 split alone.</w:t>
      </w:r>
    </w:p>
    <w:p w14:paraId="19DF811B" w14:textId="77777777" w:rsidR="003D4D08" w:rsidRDefault="00CA1F24">
      <w:pPr>
        <w:pStyle w:val="Heading3"/>
        <w:spacing w:before="180" w:after="90"/>
      </w:pPr>
      <w:r>
        <w:rPr>
          <w:b/>
          <w:bCs/>
          <w:color w:val="1F3864"/>
          <w:sz w:val="21"/>
          <w:szCs w:val="21"/>
        </w:rPr>
        <w:t>5. What did I change or improve?</w:t>
      </w:r>
    </w:p>
    <w:p w14:paraId="2E68AF78" w14:textId="77777777" w:rsidR="003D4D08" w:rsidRDefault="00CA1F24">
      <w:pPr>
        <w:spacing w:after="150" w:line="270" w:lineRule="auto"/>
      </w:pPr>
      <w:r>
        <w:rPr>
          <w:sz w:val="21"/>
          <w:szCs w:val="21"/>
        </w:rPr>
        <w:t xml:space="preserve">Used Edit Interactions to disconnect the Year slicer from every visual except the Appointment Month trend chart. Delivered a full, statistically-backed validated </w:t>
      </w:r>
      <w:r>
        <w:rPr>
          <w:sz w:val="21"/>
          <w:szCs w:val="21"/>
        </w:rPr>
        <w:t>findings response addressing all 7 of Data Science's concerns with real tables and significance tests.</w:t>
      </w:r>
    </w:p>
    <w:p w14:paraId="01204D17" w14:textId="77777777" w:rsidR="003D4D08" w:rsidRDefault="00CA1F24">
      <w:pPr>
        <w:pStyle w:val="Heading3"/>
        <w:spacing w:before="180" w:after="90"/>
      </w:pPr>
      <w:r>
        <w:rPr>
          <w:b/>
          <w:bCs/>
          <w:color w:val="1F3864"/>
          <w:sz w:val="21"/>
          <w:szCs w:val="21"/>
        </w:rPr>
        <w:t>6. What happened when I tested it again?</w:t>
      </w:r>
    </w:p>
    <w:p w14:paraId="4F3A0B33" w14:textId="77777777" w:rsidR="003D4D08" w:rsidRDefault="00CA1F24">
      <w:pPr>
        <w:spacing w:after="150" w:line="270" w:lineRule="auto"/>
      </w:pPr>
      <w:r>
        <w:rPr>
          <w:sz w:val="21"/>
          <w:szCs w:val="21"/>
        </w:rPr>
        <w:t>The dashboard now shows a consistent 91.30% (and matching KPI figures) regardless of the Year slicer's state, co</w:t>
      </w:r>
      <w:r>
        <w:rPr>
          <w:sz w:val="21"/>
          <w:szCs w:val="21"/>
        </w:rPr>
        <w:t>nfirmed via before/after screenshots. Data Science's flagged segments now have documented, evidence-based explanations rather than open questions.</w:t>
      </w:r>
    </w:p>
    <w:p w14:paraId="00CC84F1" w14:textId="77777777" w:rsidR="003D4D08" w:rsidRDefault="00CA1F24">
      <w:pPr>
        <w:pStyle w:val="Heading3"/>
        <w:spacing w:before="180" w:after="90"/>
      </w:pPr>
      <w:r>
        <w:rPr>
          <w:b/>
          <w:bCs/>
          <w:color w:val="1F3864"/>
          <w:sz w:val="21"/>
          <w:szCs w:val="21"/>
        </w:rPr>
        <w:t xml:space="preserve">7. Which </w:t>
      </w:r>
      <w:proofErr w:type="gramStart"/>
      <w:r>
        <w:rPr>
          <w:b/>
          <w:bCs/>
          <w:color w:val="1F3864"/>
          <w:sz w:val="21"/>
          <w:szCs w:val="21"/>
        </w:rPr>
        <w:t>other</w:t>
      </w:r>
      <w:proofErr w:type="gramEnd"/>
      <w:r>
        <w:rPr>
          <w:b/>
          <w:bCs/>
          <w:color w:val="1F3864"/>
          <w:sz w:val="21"/>
          <w:szCs w:val="21"/>
        </w:rPr>
        <w:t xml:space="preserve"> track was involved?</w:t>
      </w:r>
    </w:p>
    <w:p w14:paraId="4114AF39" w14:textId="77777777" w:rsidR="003D4D08" w:rsidRDefault="00CA1F24">
      <w:pPr>
        <w:spacing w:after="150" w:line="270" w:lineRule="auto"/>
      </w:pPr>
      <w:r>
        <w:rPr>
          <w:sz w:val="21"/>
          <w:szCs w:val="21"/>
        </w:rPr>
        <w:t>Data Science.</w:t>
      </w:r>
    </w:p>
    <w:p w14:paraId="5192F4D9" w14:textId="77777777" w:rsidR="003D4D08" w:rsidRDefault="00CA1F24">
      <w:pPr>
        <w:pStyle w:val="Heading3"/>
        <w:spacing w:before="180" w:after="90"/>
      </w:pPr>
      <w:r>
        <w:rPr>
          <w:b/>
          <w:bCs/>
          <w:color w:val="1F3864"/>
          <w:sz w:val="21"/>
          <w:szCs w:val="21"/>
        </w:rPr>
        <w:t>8. How does the validated component contribute to HealthConn</w:t>
      </w:r>
      <w:r>
        <w:rPr>
          <w:b/>
          <w:bCs/>
          <w:color w:val="1F3864"/>
          <w:sz w:val="21"/>
          <w:szCs w:val="21"/>
        </w:rPr>
        <w:t>ect?</w:t>
      </w:r>
    </w:p>
    <w:p w14:paraId="0DC817A8" w14:textId="77777777" w:rsidR="003D4D08" w:rsidRDefault="00CA1F24">
      <w:pPr>
        <w:spacing w:after="150" w:line="270" w:lineRule="auto"/>
      </w:pPr>
      <w:r>
        <w:rPr>
          <w:sz w:val="21"/>
          <w:szCs w:val="21"/>
        </w:rPr>
        <w:t>Ensures anyone referencing the dashboard, the written report, or the Data Science handoff — a mentor, a stakeholder, or another track — sees identical, trustworthy numbers. It also gives Data Science evidence-backed guidance for their Week 7 refinemen</w:t>
      </w:r>
      <w:r>
        <w:rPr>
          <w:sz w:val="21"/>
          <w:szCs w:val="21"/>
        </w:rPr>
        <w:t xml:space="preserve">t: don't over-trust apparent noise in the </w:t>
      </w:r>
      <w:proofErr w:type="gramStart"/>
      <w:r>
        <w:rPr>
          <w:sz w:val="21"/>
          <w:szCs w:val="21"/>
        </w:rPr>
        <w:t>8-14 day</w:t>
      </w:r>
      <w:proofErr w:type="gramEnd"/>
      <w:r>
        <w:rPr>
          <w:sz w:val="21"/>
          <w:szCs w:val="21"/>
        </w:rPr>
        <w:t xml:space="preserve"> band, and understand that the 15-30/31-45 day error concentration reflects genuine prediction difficulty rather than a fixable data issue.</w:t>
      </w:r>
    </w:p>
    <w:p w14:paraId="50402DF2" w14:textId="77777777" w:rsidR="003D4D08" w:rsidRDefault="00CA1F24">
      <w:pPr>
        <w:pStyle w:val="Heading3"/>
        <w:spacing w:before="180" w:after="90"/>
      </w:pPr>
      <w:r>
        <w:rPr>
          <w:b/>
          <w:bCs/>
          <w:color w:val="1F3864"/>
          <w:sz w:val="21"/>
          <w:szCs w:val="21"/>
        </w:rPr>
        <w:t>9. What still needs to be completed before Week 8?</w:t>
      </w:r>
    </w:p>
    <w:p w14:paraId="492F734E" w14:textId="77777777" w:rsidR="003D4D08" w:rsidRDefault="00CA1F24">
      <w:pPr>
        <w:pStyle w:val="ListParagraph"/>
        <w:numPr>
          <w:ilvl w:val="0"/>
          <w:numId w:val="2"/>
        </w:numPr>
        <w:spacing w:after="75" w:line="270" w:lineRule="auto"/>
      </w:pPr>
      <w:r>
        <w:rPr>
          <w:sz w:val="21"/>
          <w:szCs w:val="21"/>
        </w:rPr>
        <w:t>Finalise the mi</w:t>
      </w:r>
      <w:r>
        <w:rPr>
          <w:sz w:val="21"/>
          <w:szCs w:val="21"/>
        </w:rPr>
        <w:t>ssing-value treatment decision for distance_to_clinic_km and waiting_time_minutes — still open since Week 5.</w:t>
      </w:r>
    </w:p>
    <w:p w14:paraId="3C6761BC" w14:textId="77777777" w:rsidR="003D4D08" w:rsidRDefault="00CA1F24">
      <w:pPr>
        <w:pStyle w:val="ListParagraph"/>
        <w:numPr>
          <w:ilvl w:val="0"/>
          <w:numId w:val="2"/>
        </w:numPr>
        <w:spacing w:after="75" w:line="270" w:lineRule="auto"/>
      </w:pPr>
      <w:r>
        <w:rPr>
          <w:sz w:val="21"/>
          <w:szCs w:val="21"/>
        </w:rPr>
        <w:t>Await Data Science's next round of refined model results, to see whether the guidance provided this week measurably improved their error rates in t</w:t>
      </w:r>
      <w:r>
        <w:rPr>
          <w:sz w:val="21"/>
          <w:szCs w:val="21"/>
        </w:rPr>
        <w:t>he flagged segments.</w:t>
      </w:r>
    </w:p>
    <w:p w14:paraId="651D4070" w14:textId="77777777" w:rsidR="003D4D08" w:rsidRDefault="00CA1F24">
      <w:pPr>
        <w:pStyle w:val="ListParagraph"/>
        <w:numPr>
          <w:ilvl w:val="0"/>
          <w:numId w:val="2"/>
        </w:numPr>
        <w:spacing w:after="75" w:line="270" w:lineRule="auto"/>
      </w:pPr>
      <w:r>
        <w:rPr>
          <w:sz w:val="21"/>
          <w:szCs w:val="21"/>
        </w:rPr>
        <w:t>Consider testing the lead-time × history interaction on the full dataset once 2026 data is complete.</w:t>
      </w:r>
    </w:p>
    <w:p w14:paraId="2E3DEC0B" w14:textId="77777777" w:rsidR="003D4D08" w:rsidRDefault="00CA1F24">
      <w:pPr>
        <w:pStyle w:val="Heading1"/>
        <w:pBdr>
          <w:bottom w:val="single" w:sz="6" w:space="4" w:color="2E74B5"/>
        </w:pBdr>
        <w:spacing w:before="360" w:after="160"/>
      </w:pPr>
      <w:r>
        <w:rPr>
          <w:b/>
          <w:bCs/>
          <w:color w:val="1F3864"/>
          <w:sz w:val="26"/>
          <w:szCs w:val="26"/>
        </w:rPr>
        <w:t>10. Assumptions, Limitations, Risks &amp; Dependencies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00"/>
      </w:tblGrid>
      <w:tr w:rsidR="003D4D08" w14:paraId="4D2967C6" w14:textId="77777777">
        <w:tblPrEx>
          <w:tblCellMar>
            <w:top w:w="0" w:type="dxa"/>
            <w:bottom w:w="0" w:type="dxa"/>
          </w:tblCellMar>
        </w:tblPrEx>
        <w:trPr>
          <w:cantSplit/>
          <w:tblHeader/>
        </w:trPr>
        <w:tc>
          <w:tcPr>
            <w:tcW w:w="3000" w:type="dxa"/>
            <w:shd w:val="clear" w:color="auto" w:fill="1F3864"/>
            <w:tcMar>
              <w:top w:w="60" w:type="dxa"/>
              <w:left w:w="90" w:type="dxa"/>
              <w:bottom w:w="60" w:type="dxa"/>
              <w:right w:w="90" w:type="dxa"/>
            </w:tcMar>
            <w:vAlign w:val="center"/>
          </w:tcPr>
          <w:p w14:paraId="1895364B" w14:textId="77777777" w:rsidR="003D4D08" w:rsidRDefault="00CA1F24">
            <w:pPr>
              <w:spacing w:line="250" w:lineRule="auto"/>
            </w:pPr>
            <w:r>
              <w:rPr>
                <w:b/>
                <w:bCs/>
                <w:color w:val="FFFFFF"/>
                <w:sz w:val="19"/>
                <w:szCs w:val="19"/>
              </w:rPr>
              <w:t>Item</w:t>
            </w:r>
          </w:p>
        </w:tc>
        <w:tc>
          <w:tcPr>
            <w:tcW w:w="2800" w:type="dxa"/>
            <w:shd w:val="clear" w:color="auto" w:fill="1F3864"/>
            <w:tcMar>
              <w:top w:w="60" w:type="dxa"/>
              <w:left w:w="90" w:type="dxa"/>
              <w:bottom w:w="60" w:type="dxa"/>
              <w:right w:w="90" w:type="dxa"/>
            </w:tcMar>
            <w:vAlign w:val="center"/>
          </w:tcPr>
          <w:p w14:paraId="2F509BFC" w14:textId="77777777" w:rsidR="003D4D08" w:rsidRDefault="00CA1F24">
            <w:pPr>
              <w:spacing w:line="250" w:lineRule="auto"/>
            </w:pPr>
            <w:r>
              <w:rPr>
                <w:b/>
                <w:bCs/>
                <w:color w:val="FFFFFF"/>
                <w:sz w:val="19"/>
                <w:szCs w:val="19"/>
              </w:rPr>
              <w:t>Status Through Week 6</w:t>
            </w:r>
          </w:p>
        </w:tc>
        <w:tc>
          <w:tcPr>
            <w:tcW w:w="3500" w:type="dxa"/>
            <w:shd w:val="clear" w:color="auto" w:fill="1F3864"/>
            <w:tcMar>
              <w:top w:w="60" w:type="dxa"/>
              <w:left w:w="90" w:type="dxa"/>
              <w:bottom w:w="60" w:type="dxa"/>
              <w:right w:w="90" w:type="dxa"/>
            </w:tcMar>
            <w:vAlign w:val="center"/>
          </w:tcPr>
          <w:p w14:paraId="427CE9FD" w14:textId="77777777" w:rsidR="003D4D08" w:rsidRDefault="00CA1F24">
            <w:pPr>
              <w:spacing w:line="250" w:lineRule="auto"/>
            </w:pPr>
            <w:r>
              <w:rPr>
                <w:b/>
                <w:bCs/>
                <w:color w:val="FFFFFF"/>
                <w:sz w:val="19"/>
                <w:szCs w:val="19"/>
              </w:rPr>
              <w:t>Week 7 Update</w:t>
            </w:r>
          </w:p>
        </w:tc>
      </w:tr>
      <w:tr w:rsidR="003D4D08" w14:paraId="6A1D23A6" w14:textId="77777777">
        <w:tblPrEx>
          <w:tblCellMar>
            <w:top w:w="0" w:type="dxa"/>
            <w:bottom w:w="0" w:type="dxa"/>
          </w:tblCellMar>
        </w:tblPrEx>
        <w:trPr>
          <w:cantSplit/>
        </w:trPr>
        <w:tc>
          <w:tcPr>
            <w:tcW w:w="3000" w:type="dxa"/>
            <w:tcMar>
              <w:top w:w="60" w:type="dxa"/>
              <w:left w:w="90" w:type="dxa"/>
              <w:bottom w:w="60" w:type="dxa"/>
              <w:right w:w="90" w:type="dxa"/>
            </w:tcMar>
            <w:vAlign w:val="center"/>
          </w:tcPr>
          <w:p w14:paraId="487F011A" w14:textId="77777777" w:rsidR="003D4D08" w:rsidRDefault="00CA1F24">
            <w:pPr>
              <w:spacing w:line="250" w:lineRule="auto"/>
            </w:pPr>
            <w:r>
              <w:rPr>
                <w:sz w:val="19"/>
                <w:szCs w:val="19"/>
              </w:rPr>
              <w:t>reminder_channel missing-data correction</w:t>
            </w:r>
          </w:p>
        </w:tc>
        <w:tc>
          <w:tcPr>
            <w:tcW w:w="2800" w:type="dxa"/>
            <w:tcMar>
              <w:top w:w="60" w:type="dxa"/>
              <w:left w:w="90" w:type="dxa"/>
              <w:bottom w:w="60" w:type="dxa"/>
              <w:right w:w="90" w:type="dxa"/>
            </w:tcMar>
            <w:vAlign w:val="center"/>
          </w:tcPr>
          <w:p w14:paraId="4B5A2B0B" w14:textId="77777777" w:rsidR="003D4D08" w:rsidRDefault="00CA1F24">
            <w:pPr>
              <w:spacing w:line="250" w:lineRule="auto"/>
            </w:pPr>
            <w:r>
              <w:rPr>
                <w:sz w:val="19"/>
                <w:szCs w:val="19"/>
              </w:rPr>
              <w:t>Resolved (Week 5)</w:t>
            </w:r>
          </w:p>
        </w:tc>
        <w:tc>
          <w:tcPr>
            <w:tcW w:w="3500" w:type="dxa"/>
            <w:tcMar>
              <w:top w:w="60" w:type="dxa"/>
              <w:left w:w="90" w:type="dxa"/>
              <w:bottom w:w="60" w:type="dxa"/>
              <w:right w:w="90" w:type="dxa"/>
            </w:tcMar>
            <w:vAlign w:val="center"/>
          </w:tcPr>
          <w:p w14:paraId="5D3234B6" w14:textId="77777777" w:rsidR="003D4D08" w:rsidRDefault="00CA1F24">
            <w:pPr>
              <w:spacing w:line="250" w:lineRule="auto"/>
            </w:pPr>
            <w:r>
              <w:rPr>
                <w:sz w:val="19"/>
                <w:szCs w:val="19"/>
              </w:rPr>
              <w:t>Unchanged — still correct, shared with Data Science</w:t>
            </w:r>
          </w:p>
        </w:tc>
      </w:tr>
      <w:tr w:rsidR="003D4D08" w14:paraId="537FF9CD" w14:textId="77777777">
        <w:tblPrEx>
          <w:tblCellMar>
            <w:top w:w="0" w:type="dxa"/>
            <w:bottom w:w="0" w:type="dxa"/>
          </w:tblCellMar>
        </w:tblPrEx>
        <w:trPr>
          <w:cantSplit/>
        </w:trPr>
        <w:tc>
          <w:tcPr>
            <w:tcW w:w="3000" w:type="dxa"/>
            <w:shd w:val="clear" w:color="auto" w:fill="F2F6FB"/>
            <w:tcMar>
              <w:top w:w="60" w:type="dxa"/>
              <w:left w:w="90" w:type="dxa"/>
              <w:bottom w:w="60" w:type="dxa"/>
              <w:right w:w="90" w:type="dxa"/>
            </w:tcMar>
            <w:vAlign w:val="center"/>
          </w:tcPr>
          <w:p w14:paraId="7AED88F8" w14:textId="77777777" w:rsidR="003D4D08" w:rsidRDefault="00CA1F24">
            <w:pPr>
              <w:spacing w:line="250" w:lineRule="auto"/>
            </w:pPr>
            <w:r>
              <w:rPr>
                <w:sz w:val="19"/>
                <w:szCs w:val="19"/>
              </w:rPr>
              <w:t>Missing-value treatment for distance/waiting_time</w:t>
            </w:r>
          </w:p>
        </w:tc>
        <w:tc>
          <w:tcPr>
            <w:tcW w:w="2800" w:type="dxa"/>
            <w:shd w:val="clear" w:color="auto" w:fill="F2F6FB"/>
            <w:tcMar>
              <w:top w:w="60" w:type="dxa"/>
              <w:left w:w="90" w:type="dxa"/>
              <w:bottom w:w="60" w:type="dxa"/>
              <w:right w:w="90" w:type="dxa"/>
            </w:tcMar>
            <w:vAlign w:val="center"/>
          </w:tcPr>
          <w:p w14:paraId="05AC80FE" w14:textId="77777777" w:rsidR="003D4D08" w:rsidRDefault="00CA1F24">
            <w:pPr>
              <w:spacing w:line="250" w:lineRule="auto"/>
            </w:pPr>
            <w:r>
              <w:rPr>
                <w:sz w:val="19"/>
                <w:szCs w:val="19"/>
              </w:rPr>
              <w:t>Flagged, undecided</w:t>
            </w:r>
          </w:p>
        </w:tc>
        <w:tc>
          <w:tcPr>
            <w:tcW w:w="3500" w:type="dxa"/>
            <w:shd w:val="clear" w:color="auto" w:fill="F2F6FB"/>
            <w:tcMar>
              <w:top w:w="60" w:type="dxa"/>
              <w:left w:w="90" w:type="dxa"/>
              <w:bottom w:w="60" w:type="dxa"/>
              <w:right w:w="90" w:type="dxa"/>
            </w:tcMar>
            <w:vAlign w:val="center"/>
          </w:tcPr>
          <w:p w14:paraId="45DD3D28" w14:textId="77777777" w:rsidR="003D4D08" w:rsidRDefault="00CA1F24">
            <w:pPr>
              <w:spacing w:line="250" w:lineRule="auto"/>
            </w:pPr>
            <w:r>
              <w:rPr>
                <w:sz w:val="19"/>
                <w:szCs w:val="19"/>
              </w:rPr>
              <w:t>Still unresolved — carried into Week 8</w:t>
            </w:r>
          </w:p>
        </w:tc>
      </w:tr>
      <w:tr w:rsidR="003D4D08" w14:paraId="724DADFC" w14:textId="77777777">
        <w:tblPrEx>
          <w:tblCellMar>
            <w:top w:w="0" w:type="dxa"/>
            <w:bottom w:w="0" w:type="dxa"/>
          </w:tblCellMar>
        </w:tblPrEx>
        <w:trPr>
          <w:cantSplit/>
        </w:trPr>
        <w:tc>
          <w:tcPr>
            <w:tcW w:w="3000" w:type="dxa"/>
            <w:tcMar>
              <w:top w:w="60" w:type="dxa"/>
              <w:left w:w="90" w:type="dxa"/>
              <w:bottom w:w="60" w:type="dxa"/>
              <w:right w:w="90" w:type="dxa"/>
            </w:tcMar>
            <w:vAlign w:val="center"/>
          </w:tcPr>
          <w:p w14:paraId="6F9F183E" w14:textId="77777777" w:rsidR="003D4D08" w:rsidRDefault="00CA1F24">
            <w:pPr>
              <w:spacing w:line="250" w:lineRule="auto"/>
            </w:pPr>
            <w:r>
              <w:rPr>
                <w:sz w:val="19"/>
                <w:szCs w:val="19"/>
              </w:rPr>
              <w:t>Interpretation risk (correlational, not causal)</w:t>
            </w:r>
          </w:p>
        </w:tc>
        <w:tc>
          <w:tcPr>
            <w:tcW w:w="2800" w:type="dxa"/>
            <w:tcMar>
              <w:top w:w="60" w:type="dxa"/>
              <w:left w:w="90" w:type="dxa"/>
              <w:bottom w:w="60" w:type="dxa"/>
              <w:right w:w="90" w:type="dxa"/>
            </w:tcMar>
            <w:vAlign w:val="center"/>
          </w:tcPr>
          <w:p w14:paraId="4571FC82" w14:textId="77777777" w:rsidR="003D4D08" w:rsidRDefault="00CA1F24">
            <w:pPr>
              <w:spacing w:line="250" w:lineRule="auto"/>
            </w:pPr>
            <w:r>
              <w:rPr>
                <w:sz w:val="19"/>
                <w:szCs w:val="19"/>
              </w:rPr>
              <w:t>Documented limitation</w:t>
            </w:r>
          </w:p>
        </w:tc>
        <w:tc>
          <w:tcPr>
            <w:tcW w:w="3500" w:type="dxa"/>
            <w:tcMar>
              <w:top w:w="60" w:type="dxa"/>
              <w:left w:w="90" w:type="dxa"/>
              <w:bottom w:w="60" w:type="dxa"/>
              <w:right w:w="90" w:type="dxa"/>
            </w:tcMar>
            <w:vAlign w:val="center"/>
          </w:tcPr>
          <w:p w14:paraId="40F0D5FA" w14:textId="77777777" w:rsidR="003D4D08" w:rsidRDefault="00CA1F24">
            <w:pPr>
              <w:spacing w:line="250" w:lineRule="auto"/>
            </w:pPr>
            <w:r>
              <w:rPr>
                <w:sz w:val="19"/>
                <w:szCs w:val="19"/>
              </w:rPr>
              <w:t>Reinforced — explicit “caution” recommendation given to Data Science this week</w:t>
            </w:r>
          </w:p>
        </w:tc>
      </w:tr>
      <w:tr w:rsidR="003D4D08" w14:paraId="3F5A897B" w14:textId="77777777">
        <w:tblPrEx>
          <w:tblCellMar>
            <w:top w:w="0" w:type="dxa"/>
            <w:bottom w:w="0" w:type="dxa"/>
          </w:tblCellMar>
        </w:tblPrEx>
        <w:trPr>
          <w:cantSplit/>
        </w:trPr>
        <w:tc>
          <w:tcPr>
            <w:tcW w:w="3000" w:type="dxa"/>
            <w:shd w:val="clear" w:color="auto" w:fill="F2F6FB"/>
            <w:tcMar>
              <w:top w:w="60" w:type="dxa"/>
              <w:left w:w="90" w:type="dxa"/>
              <w:bottom w:w="60" w:type="dxa"/>
              <w:right w:w="90" w:type="dxa"/>
            </w:tcMar>
            <w:vAlign w:val="center"/>
          </w:tcPr>
          <w:p w14:paraId="29189868" w14:textId="77777777" w:rsidR="003D4D08" w:rsidRDefault="00CA1F24">
            <w:pPr>
              <w:spacing w:line="250" w:lineRule="auto"/>
            </w:pPr>
            <w:r>
              <w:rPr>
                <w:sz w:val="19"/>
                <w:szCs w:val="19"/>
              </w:rPr>
              <w:t>Consistency risk (cross-track cleaning decisions not shared)</w:t>
            </w:r>
          </w:p>
        </w:tc>
        <w:tc>
          <w:tcPr>
            <w:tcW w:w="2800" w:type="dxa"/>
            <w:shd w:val="clear" w:color="auto" w:fill="F2F6FB"/>
            <w:tcMar>
              <w:top w:w="60" w:type="dxa"/>
              <w:left w:w="90" w:type="dxa"/>
              <w:bottom w:w="60" w:type="dxa"/>
              <w:right w:w="90" w:type="dxa"/>
            </w:tcMar>
            <w:vAlign w:val="center"/>
          </w:tcPr>
          <w:p w14:paraId="2F9B8B00" w14:textId="77777777" w:rsidR="003D4D08" w:rsidRDefault="00CA1F24">
            <w:pPr>
              <w:spacing w:line="250" w:lineRule="auto"/>
            </w:pPr>
            <w:r>
              <w:rPr>
                <w:sz w:val="19"/>
                <w:szCs w:val="19"/>
              </w:rPr>
              <w:t>Resolved (Week 6 Findings Package)</w:t>
            </w:r>
          </w:p>
        </w:tc>
        <w:tc>
          <w:tcPr>
            <w:tcW w:w="3500" w:type="dxa"/>
            <w:shd w:val="clear" w:color="auto" w:fill="F2F6FB"/>
            <w:tcMar>
              <w:top w:w="60" w:type="dxa"/>
              <w:left w:w="90" w:type="dxa"/>
              <w:bottom w:w="60" w:type="dxa"/>
              <w:right w:w="90" w:type="dxa"/>
            </w:tcMar>
            <w:vAlign w:val="center"/>
          </w:tcPr>
          <w:p w14:paraId="7D3041D5" w14:textId="77777777" w:rsidR="003D4D08" w:rsidRDefault="00CA1F24">
            <w:pPr>
              <w:spacing w:line="250" w:lineRule="auto"/>
            </w:pPr>
            <w:r>
              <w:rPr>
                <w:sz w:val="19"/>
                <w:szCs w:val="19"/>
              </w:rPr>
              <w:t>Reinforced by this week's response document</w:t>
            </w:r>
          </w:p>
        </w:tc>
      </w:tr>
      <w:tr w:rsidR="003D4D08" w14:paraId="6E282BF8" w14:textId="77777777">
        <w:tblPrEx>
          <w:tblCellMar>
            <w:top w:w="0" w:type="dxa"/>
            <w:bottom w:w="0" w:type="dxa"/>
          </w:tblCellMar>
        </w:tblPrEx>
        <w:trPr>
          <w:cantSplit/>
        </w:trPr>
        <w:tc>
          <w:tcPr>
            <w:tcW w:w="3000" w:type="dxa"/>
            <w:tcMar>
              <w:top w:w="60" w:type="dxa"/>
              <w:left w:w="90" w:type="dxa"/>
              <w:bottom w:w="60" w:type="dxa"/>
              <w:right w:w="90" w:type="dxa"/>
            </w:tcMar>
            <w:vAlign w:val="center"/>
          </w:tcPr>
          <w:p w14:paraId="0F590C54" w14:textId="77777777" w:rsidR="003D4D08" w:rsidRDefault="00CA1F24">
            <w:pPr>
              <w:spacing w:line="250" w:lineRule="auto"/>
            </w:pPr>
            <w:r>
              <w:rPr>
                <w:sz w:val="19"/>
                <w:szCs w:val="19"/>
              </w:rPr>
              <w:t>Small-sample risk at previous_no_shows 4-5</w:t>
            </w:r>
          </w:p>
        </w:tc>
        <w:tc>
          <w:tcPr>
            <w:tcW w:w="2800" w:type="dxa"/>
            <w:tcMar>
              <w:top w:w="60" w:type="dxa"/>
              <w:left w:w="90" w:type="dxa"/>
              <w:bottom w:w="60" w:type="dxa"/>
              <w:right w:w="90" w:type="dxa"/>
            </w:tcMar>
            <w:vAlign w:val="center"/>
          </w:tcPr>
          <w:p w14:paraId="663AA16B" w14:textId="77777777" w:rsidR="003D4D08" w:rsidRDefault="00CA1F24">
            <w:pPr>
              <w:spacing w:line="250" w:lineRule="auto"/>
            </w:pPr>
            <w:r>
              <w:rPr>
                <w:sz w:val="19"/>
                <w:szCs w:val="19"/>
              </w:rPr>
              <w:t>Flagged (Week 5), escalated (Week 6)</w:t>
            </w:r>
          </w:p>
        </w:tc>
        <w:tc>
          <w:tcPr>
            <w:tcW w:w="3500" w:type="dxa"/>
            <w:tcMar>
              <w:top w:w="60" w:type="dxa"/>
              <w:left w:w="90" w:type="dxa"/>
              <w:bottom w:w="60" w:type="dxa"/>
              <w:right w:w="90" w:type="dxa"/>
            </w:tcMar>
            <w:vAlign w:val="center"/>
          </w:tcPr>
          <w:p w14:paraId="724F7AD5" w14:textId="77777777" w:rsidR="003D4D08" w:rsidRDefault="00CA1F24">
            <w:pPr>
              <w:spacing w:line="250" w:lineRule="auto"/>
            </w:pPr>
            <w:r>
              <w:rPr>
                <w:sz w:val="19"/>
                <w:szCs w:val="19"/>
              </w:rPr>
              <w:t>Reconfirmed a third time, now via Data Science's own request — treat as settled, not requiring further testing</w:t>
            </w:r>
          </w:p>
        </w:tc>
      </w:tr>
      <w:tr w:rsidR="003D4D08" w14:paraId="0DB63E86" w14:textId="77777777">
        <w:tblPrEx>
          <w:tblCellMar>
            <w:top w:w="0" w:type="dxa"/>
            <w:bottom w:w="0" w:type="dxa"/>
          </w:tblCellMar>
        </w:tblPrEx>
        <w:trPr>
          <w:cantSplit/>
        </w:trPr>
        <w:tc>
          <w:tcPr>
            <w:tcW w:w="3000" w:type="dxa"/>
            <w:shd w:val="clear" w:color="auto" w:fill="F2F6FB"/>
            <w:tcMar>
              <w:top w:w="60" w:type="dxa"/>
              <w:left w:w="90" w:type="dxa"/>
              <w:bottom w:w="60" w:type="dxa"/>
              <w:right w:w="90" w:type="dxa"/>
            </w:tcMar>
            <w:vAlign w:val="center"/>
          </w:tcPr>
          <w:p w14:paraId="162BCD32" w14:textId="77777777" w:rsidR="003D4D08" w:rsidRDefault="00CA1F24">
            <w:pPr>
              <w:spacing w:line="250" w:lineRule="auto"/>
            </w:pPr>
            <w:proofErr w:type="gramStart"/>
            <w:r>
              <w:rPr>
                <w:sz w:val="19"/>
                <w:szCs w:val="19"/>
              </w:rPr>
              <w:t>8-14 day</w:t>
            </w:r>
            <w:proofErr w:type="gramEnd"/>
            <w:r>
              <w:rPr>
                <w:sz w:val="19"/>
                <w:szCs w:val="19"/>
              </w:rPr>
              <w:t xml:space="preserve"> lead-time band instability</w:t>
            </w:r>
          </w:p>
        </w:tc>
        <w:tc>
          <w:tcPr>
            <w:tcW w:w="2800" w:type="dxa"/>
            <w:shd w:val="clear" w:color="auto" w:fill="F2F6FB"/>
            <w:tcMar>
              <w:top w:w="60" w:type="dxa"/>
              <w:left w:w="90" w:type="dxa"/>
              <w:bottom w:w="60" w:type="dxa"/>
              <w:right w:w="90" w:type="dxa"/>
            </w:tcMar>
            <w:vAlign w:val="center"/>
          </w:tcPr>
          <w:p w14:paraId="296BB3A2" w14:textId="77777777" w:rsidR="003D4D08" w:rsidRDefault="00CA1F24">
            <w:pPr>
              <w:spacing w:line="250" w:lineRule="auto"/>
            </w:pPr>
            <w:r>
              <w:rPr>
                <w:sz w:val="19"/>
                <w:szCs w:val="19"/>
              </w:rPr>
              <w:t>Discovered (Week 6), unexplained</w:t>
            </w:r>
          </w:p>
        </w:tc>
        <w:tc>
          <w:tcPr>
            <w:tcW w:w="3500" w:type="dxa"/>
            <w:shd w:val="clear" w:color="auto" w:fill="F2F6FB"/>
            <w:tcMar>
              <w:top w:w="60" w:type="dxa"/>
              <w:left w:w="90" w:type="dxa"/>
              <w:bottom w:w="60" w:type="dxa"/>
              <w:right w:w="90" w:type="dxa"/>
            </w:tcMar>
            <w:vAlign w:val="center"/>
          </w:tcPr>
          <w:p w14:paraId="23D717BC" w14:textId="77777777" w:rsidR="003D4D08" w:rsidRDefault="00CA1F24">
            <w:pPr>
              <w:spacing w:line="250" w:lineRule="auto"/>
            </w:pPr>
            <w:r>
              <w:rPr>
                <w:sz w:val="19"/>
                <w:szCs w:val="19"/>
              </w:rPr>
              <w:t>Investigated further — confirmed as genuine month-to-month volatility on a small sample, not resolved but now understood</w:t>
            </w:r>
          </w:p>
        </w:tc>
      </w:tr>
      <w:tr w:rsidR="003D4D08" w14:paraId="3AEA04CC" w14:textId="77777777">
        <w:tblPrEx>
          <w:tblCellMar>
            <w:top w:w="0" w:type="dxa"/>
            <w:bottom w:w="0" w:type="dxa"/>
          </w:tblCellMar>
        </w:tblPrEx>
        <w:trPr>
          <w:cantSplit/>
        </w:trPr>
        <w:tc>
          <w:tcPr>
            <w:tcW w:w="3000" w:type="dxa"/>
            <w:tcMar>
              <w:top w:w="60" w:type="dxa"/>
              <w:left w:w="90" w:type="dxa"/>
              <w:bottom w:w="60" w:type="dxa"/>
              <w:right w:w="90" w:type="dxa"/>
            </w:tcMar>
            <w:vAlign w:val="center"/>
          </w:tcPr>
          <w:p w14:paraId="23894923" w14:textId="77777777" w:rsidR="003D4D08" w:rsidRDefault="00CA1F24">
            <w:pPr>
              <w:spacing w:line="250" w:lineRule="auto"/>
            </w:pPr>
            <w:r>
              <w:rPr>
                <w:sz w:val="19"/>
                <w:szCs w:val="19"/>
              </w:rPr>
              <w:t>Dashboard Year-slicer interaction scope</w:t>
            </w:r>
          </w:p>
        </w:tc>
        <w:tc>
          <w:tcPr>
            <w:tcW w:w="2800" w:type="dxa"/>
            <w:tcMar>
              <w:top w:w="60" w:type="dxa"/>
              <w:left w:w="90" w:type="dxa"/>
              <w:bottom w:w="60" w:type="dxa"/>
              <w:right w:w="90" w:type="dxa"/>
            </w:tcMar>
            <w:vAlign w:val="center"/>
          </w:tcPr>
          <w:p w14:paraId="64C78EDE" w14:textId="77777777" w:rsidR="003D4D08" w:rsidRDefault="00CA1F24">
            <w:pPr>
              <w:spacing w:line="250" w:lineRule="auto"/>
            </w:pPr>
            <w:r>
              <w:rPr>
                <w:sz w:val="19"/>
                <w:szCs w:val="19"/>
              </w:rPr>
              <w:t>Not previously identified</w:t>
            </w:r>
          </w:p>
        </w:tc>
        <w:tc>
          <w:tcPr>
            <w:tcW w:w="3500" w:type="dxa"/>
            <w:tcMar>
              <w:top w:w="60" w:type="dxa"/>
              <w:left w:w="90" w:type="dxa"/>
              <w:bottom w:w="60" w:type="dxa"/>
              <w:right w:w="90" w:type="dxa"/>
            </w:tcMar>
            <w:vAlign w:val="center"/>
          </w:tcPr>
          <w:p w14:paraId="56C0BB9B" w14:textId="77777777" w:rsidR="003D4D08" w:rsidRDefault="00CA1F24">
            <w:pPr>
              <w:spacing w:line="250" w:lineRule="auto"/>
            </w:pPr>
            <w:r>
              <w:rPr>
                <w:sz w:val="19"/>
                <w:szCs w:val="19"/>
              </w:rPr>
              <w:t>New issue discovered and resolved this week</w:t>
            </w:r>
          </w:p>
        </w:tc>
      </w:tr>
      <w:tr w:rsidR="003D4D08" w14:paraId="7A37ACFC" w14:textId="77777777">
        <w:tblPrEx>
          <w:tblCellMar>
            <w:top w:w="0" w:type="dxa"/>
            <w:bottom w:w="0" w:type="dxa"/>
          </w:tblCellMar>
        </w:tblPrEx>
        <w:trPr>
          <w:cantSplit/>
        </w:trPr>
        <w:tc>
          <w:tcPr>
            <w:tcW w:w="3000" w:type="dxa"/>
            <w:shd w:val="clear" w:color="auto" w:fill="F2F6FB"/>
            <w:tcMar>
              <w:top w:w="60" w:type="dxa"/>
              <w:left w:w="90" w:type="dxa"/>
              <w:bottom w:w="60" w:type="dxa"/>
              <w:right w:w="90" w:type="dxa"/>
            </w:tcMar>
            <w:vAlign w:val="center"/>
          </w:tcPr>
          <w:p w14:paraId="3EC6D7A2" w14:textId="77777777" w:rsidR="003D4D08" w:rsidRDefault="00CA1F24">
            <w:pPr>
              <w:spacing w:line="250" w:lineRule="auto"/>
            </w:pPr>
            <w:r>
              <w:rPr>
                <w:sz w:val="19"/>
                <w:szCs w:val="19"/>
              </w:rPr>
              <w:t>Data Science error-pattern dependency</w:t>
            </w:r>
          </w:p>
        </w:tc>
        <w:tc>
          <w:tcPr>
            <w:tcW w:w="2800" w:type="dxa"/>
            <w:shd w:val="clear" w:color="auto" w:fill="F2F6FB"/>
            <w:tcMar>
              <w:top w:w="60" w:type="dxa"/>
              <w:left w:w="90" w:type="dxa"/>
              <w:bottom w:w="60" w:type="dxa"/>
              <w:right w:w="90" w:type="dxa"/>
            </w:tcMar>
            <w:vAlign w:val="center"/>
          </w:tcPr>
          <w:p w14:paraId="6D4B2D4D" w14:textId="77777777" w:rsidR="003D4D08" w:rsidRDefault="00CA1F24">
            <w:pPr>
              <w:spacing w:line="250" w:lineRule="auto"/>
            </w:pPr>
            <w:r>
              <w:rPr>
                <w:sz w:val="19"/>
                <w:szCs w:val="19"/>
              </w:rPr>
              <w:t>Anticipated (Week 6)</w:t>
            </w:r>
          </w:p>
        </w:tc>
        <w:tc>
          <w:tcPr>
            <w:tcW w:w="3500" w:type="dxa"/>
            <w:shd w:val="clear" w:color="auto" w:fill="F2F6FB"/>
            <w:tcMar>
              <w:top w:w="60" w:type="dxa"/>
              <w:left w:w="90" w:type="dxa"/>
              <w:bottom w:w="60" w:type="dxa"/>
              <w:right w:w="90" w:type="dxa"/>
            </w:tcMar>
            <w:vAlign w:val="center"/>
          </w:tcPr>
          <w:p w14:paraId="7815DFCD" w14:textId="77777777" w:rsidR="003D4D08" w:rsidRDefault="00CA1F24">
            <w:pPr>
              <w:spacing w:line="250" w:lineRule="auto"/>
            </w:pPr>
            <w:r>
              <w:rPr>
                <w:sz w:val="19"/>
                <w:szCs w:val="19"/>
              </w:rPr>
              <w:t>New, active dependency — awaiting their next round of results to confirm whether this week's guidance improved model performance</w:t>
            </w:r>
          </w:p>
        </w:tc>
      </w:tr>
    </w:tbl>
    <w:p w14:paraId="44F446F1" w14:textId="77777777" w:rsidR="003D4D08" w:rsidRDefault="00CA1F24">
      <w:pPr>
        <w:pStyle w:val="Heading3"/>
        <w:spacing w:before="180" w:after="90"/>
      </w:pPr>
      <w:r>
        <w:rPr>
          <w:b/>
          <w:bCs/>
          <w:color w:val="1F3864"/>
          <w:sz w:val="21"/>
          <w:szCs w:val="21"/>
        </w:rPr>
        <w:t>Testing limitations</w:t>
      </w:r>
    </w:p>
    <w:p w14:paraId="6A526E14" w14:textId="77777777" w:rsidR="003D4D08" w:rsidRDefault="00CA1F24">
      <w:pPr>
        <w:spacing w:after="150" w:line="270" w:lineRule="auto"/>
      </w:pPr>
      <w:r>
        <w:rPr>
          <w:sz w:val="21"/>
          <w:szCs w:val="21"/>
        </w:rPr>
        <w:t>Data Science shared aggregated error patterns and confusion-matrix statistics, not row-level predictions — testing was necessarily done at the population/segment level rather than replicating their exact false positive/negative list. This is an appropriate</w:t>
      </w:r>
      <w:r>
        <w:rPr>
          <w:sz w:val="21"/>
          <w:szCs w:val="21"/>
        </w:rPr>
        <w:t xml:space="preserve"> scope match for a Data Analytics contribution, but it means the explanations offered (</w:t>
      </w:r>
      <w:proofErr w:type="gramStart"/>
      <w:r>
        <w:rPr>
          <w:sz w:val="21"/>
          <w:szCs w:val="21"/>
        </w:rPr>
        <w:t>e.g.</w:t>
      </w:r>
      <w:proofErr w:type="gramEnd"/>
      <w:r>
        <w:rPr>
          <w:sz w:val="21"/>
          <w:szCs w:val="21"/>
        </w:rPr>
        <w:t xml:space="preserve"> for the 15-30 day false negatives) are plausible, evidence-grounded hypotheses, not a confirmed row-by-row diagnosis.</w:t>
      </w:r>
    </w:p>
    <w:p w14:paraId="7755EFFF" w14:textId="77777777" w:rsidR="003D4D08" w:rsidRDefault="00CA1F24">
      <w:pPr>
        <w:pStyle w:val="Heading3"/>
        <w:spacing w:before="180" w:after="90"/>
      </w:pPr>
      <w:r>
        <w:rPr>
          <w:b/>
          <w:bCs/>
          <w:color w:val="1F3864"/>
          <w:sz w:val="21"/>
          <w:szCs w:val="21"/>
        </w:rPr>
        <w:t>Remaining analytical limitations</w:t>
      </w:r>
    </w:p>
    <w:p w14:paraId="36E4F7B5" w14:textId="77777777" w:rsidR="003D4D08" w:rsidRDefault="00CA1F24">
      <w:pPr>
        <w:pStyle w:val="ListParagraph"/>
        <w:numPr>
          <w:ilvl w:val="0"/>
          <w:numId w:val="2"/>
        </w:numPr>
        <w:spacing w:after="75" w:line="270" w:lineRule="auto"/>
      </w:pPr>
      <w:r>
        <w:rPr>
          <w:sz w:val="21"/>
          <w:szCs w:val="21"/>
        </w:rPr>
        <w:t>The dataset r</w:t>
      </w:r>
      <w:r>
        <w:rPr>
          <w:sz w:val="21"/>
          <w:szCs w:val="21"/>
        </w:rPr>
        <w:t>emains fictional and synthetic; all findings illustrate realistic dynamics rather than confirming outcomes for a real patient population.</w:t>
      </w:r>
    </w:p>
    <w:p w14:paraId="08FFAE27" w14:textId="77777777" w:rsidR="003D4D08" w:rsidRDefault="00CA1F24">
      <w:pPr>
        <w:pStyle w:val="ListParagraph"/>
        <w:numPr>
          <w:ilvl w:val="0"/>
          <w:numId w:val="2"/>
        </w:numPr>
        <w:spacing w:after="75" w:line="270" w:lineRule="auto"/>
      </w:pPr>
      <w:r>
        <w:rPr>
          <w:sz w:val="21"/>
          <w:szCs w:val="21"/>
        </w:rPr>
        <w:t xml:space="preserve">The </w:t>
      </w:r>
      <w:proofErr w:type="gramStart"/>
      <w:r>
        <w:rPr>
          <w:sz w:val="21"/>
          <w:szCs w:val="21"/>
        </w:rPr>
        <w:t>8-14 day</w:t>
      </w:r>
      <w:proofErr w:type="gramEnd"/>
      <w:r>
        <w:rPr>
          <w:sz w:val="21"/>
          <w:szCs w:val="21"/>
        </w:rPr>
        <w:t xml:space="preserve"> lead-time band's instability remains unexplained beyond “small monthly sample” — a genuine open question.</w:t>
      </w:r>
    </w:p>
    <w:p w14:paraId="53C8C803" w14:textId="77777777" w:rsidR="003D4D08" w:rsidRDefault="00CA1F24">
      <w:pPr>
        <w:pStyle w:val="ListParagraph"/>
        <w:numPr>
          <w:ilvl w:val="0"/>
          <w:numId w:val="2"/>
        </w:numPr>
        <w:spacing w:after="75" w:line="270" w:lineRule="auto"/>
      </w:pPr>
      <w:r>
        <w:rPr>
          <w:sz w:val="21"/>
          <w:szCs w:val="21"/>
        </w:rPr>
        <w:t>distance_to_clinic_km and waiting_time_minutes still carry small pockets of missing data with no finalised treatment decision.</w:t>
      </w:r>
    </w:p>
    <w:p w14:paraId="58ADFD9F" w14:textId="77777777" w:rsidR="003D4D08" w:rsidRDefault="00CA1F24">
      <w:pPr>
        <w:pStyle w:val="Heading1"/>
        <w:pBdr>
          <w:bottom w:val="single" w:sz="6" w:space="4" w:color="2E74B5"/>
        </w:pBdr>
        <w:spacing w:before="360" w:after="160"/>
      </w:pPr>
      <w:r>
        <w:rPr>
          <w:b/>
          <w:bCs/>
          <w:color w:val="1F3864"/>
          <w:sz w:val="26"/>
          <w:szCs w:val="26"/>
        </w:rPr>
        <w:t>11. Week 7 Project Summary</w:t>
      </w:r>
    </w:p>
    <w:p w14:paraId="25E79122" w14:textId="77777777" w:rsidR="003D4D08" w:rsidRDefault="00CA1F24">
      <w:pPr>
        <w:pStyle w:val="Heading3"/>
        <w:spacing w:before="180" w:after="90"/>
      </w:pPr>
      <w:r>
        <w:rPr>
          <w:b/>
          <w:bCs/>
          <w:color w:val="1F3864"/>
          <w:sz w:val="21"/>
          <w:szCs w:val="21"/>
        </w:rPr>
        <w:t>What was planned to test</w:t>
      </w:r>
    </w:p>
    <w:p w14:paraId="3FB78D0F" w14:textId="77777777" w:rsidR="003D4D08" w:rsidRDefault="00CA1F24">
      <w:pPr>
        <w:spacing w:after="150" w:line="270" w:lineRule="auto"/>
      </w:pPr>
      <w:r>
        <w:rPr>
          <w:sz w:val="21"/>
          <w:szCs w:val="21"/>
        </w:rPr>
        <w:t>Whether the dashboard's figures are internally consistent with the rest of t</w:t>
      </w:r>
      <w:r>
        <w:rPr>
          <w:sz w:val="21"/>
          <w:szCs w:val="21"/>
        </w:rPr>
        <w:t>he project's documentation, and whether Data Science's flagged model error patterns are explained by unreliable underlying data.</w:t>
      </w:r>
    </w:p>
    <w:p w14:paraId="7FAB4BC4" w14:textId="77777777" w:rsidR="003D4D08" w:rsidRDefault="00CA1F24">
      <w:pPr>
        <w:pStyle w:val="Heading3"/>
        <w:spacing w:before="180" w:after="90"/>
      </w:pPr>
      <w:r>
        <w:rPr>
          <w:b/>
          <w:bCs/>
          <w:color w:val="1F3864"/>
          <w:sz w:val="21"/>
          <w:szCs w:val="21"/>
        </w:rPr>
        <w:t>What was actually tested</w:t>
      </w:r>
    </w:p>
    <w:p w14:paraId="69869DCE" w14:textId="77777777" w:rsidR="003D4D08" w:rsidRDefault="00CA1F24">
      <w:pPr>
        <w:spacing w:after="150" w:line="270" w:lineRule="auto"/>
      </w:pPr>
      <w:r>
        <w:rPr>
          <w:sz w:val="21"/>
          <w:szCs w:val="21"/>
        </w:rPr>
        <w:t>The Page 1 dashboard's KPI cards and Combined Risk matrix against the Week 6 report and Data Science handoff; and all 7 of Data Science's specific validation concerns, using H1/H2 time-split checks and chi-square significance tests.</w:t>
      </w:r>
    </w:p>
    <w:p w14:paraId="6C60CE8F" w14:textId="77777777" w:rsidR="003D4D08" w:rsidRDefault="00CA1F24">
      <w:pPr>
        <w:pStyle w:val="Heading3"/>
        <w:spacing w:before="180" w:after="90"/>
      </w:pPr>
      <w:r>
        <w:rPr>
          <w:b/>
          <w:bCs/>
          <w:color w:val="1F3864"/>
          <w:sz w:val="21"/>
          <w:szCs w:val="21"/>
        </w:rPr>
        <w:t xml:space="preserve">Most important testing </w:t>
      </w:r>
      <w:r>
        <w:rPr>
          <w:b/>
          <w:bCs/>
          <w:color w:val="1F3864"/>
          <w:sz w:val="21"/>
          <w:szCs w:val="21"/>
        </w:rPr>
        <w:t>results</w:t>
      </w:r>
    </w:p>
    <w:p w14:paraId="58E14546" w14:textId="77777777" w:rsidR="003D4D08" w:rsidRDefault="00CA1F24">
      <w:pPr>
        <w:spacing w:after="150" w:line="270" w:lineRule="auto"/>
      </w:pPr>
      <w:r>
        <w:rPr>
          <w:sz w:val="21"/>
          <w:szCs w:val="21"/>
        </w:rPr>
        <w:t xml:space="preserve">Found and fixed a genuine dashboard consistency bug (Year slicer over-filtering); confirmed 5 of 7 Data Science concerns as data-reliable (pointing to a modelling rather than data explanation); confirmed the </w:t>
      </w:r>
      <w:proofErr w:type="gramStart"/>
      <w:r>
        <w:rPr>
          <w:sz w:val="21"/>
          <w:szCs w:val="21"/>
        </w:rPr>
        <w:t>8-14 day</w:t>
      </w:r>
      <w:proofErr w:type="gramEnd"/>
      <w:r>
        <w:rPr>
          <w:sz w:val="21"/>
          <w:szCs w:val="21"/>
        </w:rPr>
        <w:t xml:space="preserve"> band as a genuine, unresolved v</w:t>
      </w:r>
      <w:r>
        <w:rPr>
          <w:sz w:val="21"/>
          <w:szCs w:val="21"/>
        </w:rPr>
        <w:t>olatility limitation.</w:t>
      </w:r>
    </w:p>
    <w:p w14:paraId="552B7C0C" w14:textId="77777777" w:rsidR="003D4D08" w:rsidRDefault="00CA1F24">
      <w:pPr>
        <w:pStyle w:val="Heading3"/>
        <w:spacing w:before="180" w:after="90"/>
      </w:pPr>
      <w:r>
        <w:rPr>
          <w:b/>
          <w:bCs/>
          <w:color w:val="1F3864"/>
          <w:sz w:val="21"/>
          <w:szCs w:val="21"/>
        </w:rPr>
        <w:t>Issues or weaknesses identified</w:t>
      </w:r>
    </w:p>
    <w:p w14:paraId="0042CE9A" w14:textId="77777777" w:rsidR="003D4D08" w:rsidRDefault="00CA1F24">
      <w:pPr>
        <w:spacing w:after="150" w:line="270" w:lineRule="auto"/>
      </w:pPr>
      <w:r>
        <w:rPr>
          <w:sz w:val="21"/>
          <w:szCs w:val="21"/>
        </w:rPr>
        <w:t xml:space="preserve">The Year slicer's default interaction scope was incorrectly applied to visuals that shouldn't have been filtered by it. The </w:t>
      </w:r>
      <w:proofErr w:type="gramStart"/>
      <w:r>
        <w:rPr>
          <w:sz w:val="21"/>
          <w:szCs w:val="21"/>
        </w:rPr>
        <w:t>8-14 day</w:t>
      </w:r>
      <w:proofErr w:type="gramEnd"/>
      <w:r>
        <w:rPr>
          <w:sz w:val="21"/>
          <w:szCs w:val="21"/>
        </w:rPr>
        <w:t xml:space="preserve"> lead-time band carries real month-to-month volatility not explained b</w:t>
      </w:r>
      <w:r>
        <w:rPr>
          <w:sz w:val="21"/>
          <w:szCs w:val="21"/>
        </w:rPr>
        <w:t>y a simple H1/H2 split.</w:t>
      </w:r>
    </w:p>
    <w:p w14:paraId="1DFC8F30" w14:textId="77777777" w:rsidR="003D4D08" w:rsidRDefault="00CA1F24">
      <w:pPr>
        <w:pStyle w:val="Heading3"/>
        <w:spacing w:before="180" w:after="90"/>
      </w:pPr>
      <w:r>
        <w:rPr>
          <w:b/>
          <w:bCs/>
          <w:color w:val="1F3864"/>
          <w:sz w:val="21"/>
          <w:szCs w:val="21"/>
        </w:rPr>
        <w:t>Improvements/refinements made</w:t>
      </w:r>
    </w:p>
    <w:p w14:paraId="7D0DE27A" w14:textId="77777777" w:rsidR="003D4D08" w:rsidRDefault="00CA1F24">
      <w:pPr>
        <w:spacing w:after="150" w:line="270" w:lineRule="auto"/>
      </w:pPr>
      <w:r>
        <w:rPr>
          <w:sz w:val="21"/>
          <w:szCs w:val="21"/>
        </w:rPr>
        <w:t>Corrected the dashboard's interaction settings so all Page 1 visuals except the trend chart ignore the Year slicer. Delivered a statistically rigorous validated-findings response to Data Science coverin</w:t>
      </w:r>
      <w:r>
        <w:rPr>
          <w:sz w:val="21"/>
          <w:szCs w:val="21"/>
        </w:rPr>
        <w:t>g all 7 of their concerns.</w:t>
      </w:r>
    </w:p>
    <w:p w14:paraId="18B659D5" w14:textId="77777777" w:rsidR="003D4D08" w:rsidRDefault="00CA1F24">
      <w:pPr>
        <w:pStyle w:val="Heading3"/>
        <w:spacing w:before="180" w:after="90"/>
      </w:pPr>
      <w:r>
        <w:rPr>
          <w:b/>
          <w:bCs/>
          <w:color w:val="1F3864"/>
          <w:sz w:val="21"/>
          <w:szCs w:val="21"/>
        </w:rPr>
        <w:t>Retesting results</w:t>
      </w:r>
    </w:p>
    <w:p w14:paraId="26A10F6E" w14:textId="77777777" w:rsidR="003D4D08" w:rsidRDefault="00CA1F24">
      <w:pPr>
        <w:spacing w:after="150" w:line="270" w:lineRule="auto"/>
      </w:pPr>
      <w:r>
        <w:rPr>
          <w:sz w:val="21"/>
          <w:szCs w:val="21"/>
        </w:rPr>
        <w:t xml:space="preserve">Dashboard retest confirmed the fix holds under both “All” and “2025” Year slicer states. The Data Science validation was itself a form of retesting their Week 6 findings against fresh statistical scrutiny — the </w:t>
      </w:r>
      <w:r>
        <w:rPr>
          <w:sz w:val="21"/>
          <w:szCs w:val="21"/>
        </w:rPr>
        <w:t xml:space="preserve">two strongest predictors held up; the </w:t>
      </w:r>
      <w:proofErr w:type="gramStart"/>
      <w:r>
        <w:rPr>
          <w:sz w:val="21"/>
          <w:szCs w:val="21"/>
        </w:rPr>
        <w:t>8-14 day</w:t>
      </w:r>
      <w:proofErr w:type="gramEnd"/>
      <w:r>
        <w:rPr>
          <w:sz w:val="21"/>
          <w:szCs w:val="21"/>
        </w:rPr>
        <w:t xml:space="preserve"> band did not fully resolve.</w:t>
      </w:r>
    </w:p>
    <w:p w14:paraId="0BD9BAA4" w14:textId="77777777" w:rsidR="003D4D08" w:rsidRDefault="00CA1F24">
      <w:pPr>
        <w:pStyle w:val="Heading3"/>
        <w:spacing w:before="180" w:after="90"/>
      </w:pPr>
      <w:r>
        <w:rPr>
          <w:b/>
          <w:bCs/>
          <w:color w:val="1F3864"/>
          <w:sz w:val="21"/>
          <w:szCs w:val="21"/>
        </w:rPr>
        <w:t>Track(s) collaborated with</w:t>
      </w:r>
    </w:p>
    <w:p w14:paraId="3AD9EA96" w14:textId="77777777" w:rsidR="003D4D08" w:rsidRDefault="00CA1F24">
      <w:pPr>
        <w:spacing w:after="150" w:line="270" w:lineRule="auto"/>
      </w:pPr>
      <w:r>
        <w:rPr>
          <w:sz w:val="21"/>
          <w:szCs w:val="21"/>
        </w:rPr>
        <w:t>Data Science.</w:t>
      </w:r>
    </w:p>
    <w:p w14:paraId="5509617F" w14:textId="77777777" w:rsidR="003D4D08" w:rsidRDefault="00CA1F24">
      <w:pPr>
        <w:pStyle w:val="Heading3"/>
        <w:spacing w:before="180" w:after="90"/>
      </w:pPr>
      <w:r>
        <w:rPr>
          <w:b/>
          <w:bCs/>
          <w:color w:val="1F3864"/>
          <w:sz w:val="21"/>
          <w:szCs w:val="21"/>
        </w:rPr>
        <w:t>What was tested collaboratively</w:t>
      </w:r>
    </w:p>
    <w:p w14:paraId="63EE1948" w14:textId="77777777" w:rsidR="003D4D08" w:rsidRDefault="00CA1F24">
      <w:pPr>
        <w:spacing w:after="150" w:line="270" w:lineRule="auto"/>
      </w:pPr>
      <w:r>
        <w:rPr>
          <w:sz w:val="21"/>
          <w:szCs w:val="21"/>
        </w:rPr>
        <w:t>Their 7 specific concerns about model error concentration across lead-time bands, no-show history, and small</w:t>
      </w:r>
      <w:r>
        <w:rPr>
          <w:sz w:val="21"/>
          <w:szCs w:val="21"/>
        </w:rPr>
        <w:t>-sample segments.</w:t>
      </w:r>
    </w:p>
    <w:p w14:paraId="404CB852" w14:textId="77777777" w:rsidR="003D4D08" w:rsidRDefault="00CA1F24">
      <w:pPr>
        <w:pStyle w:val="Heading3"/>
        <w:spacing w:before="180" w:after="90"/>
      </w:pPr>
      <w:r>
        <w:rPr>
          <w:b/>
          <w:bCs/>
          <w:color w:val="1F3864"/>
          <w:sz w:val="21"/>
          <w:szCs w:val="21"/>
        </w:rPr>
        <w:t xml:space="preserve">What changed as a </w:t>
      </w:r>
      <w:proofErr w:type="gramStart"/>
      <w:r>
        <w:rPr>
          <w:b/>
          <w:bCs/>
          <w:color w:val="1F3864"/>
          <w:sz w:val="21"/>
          <w:szCs w:val="21"/>
        </w:rPr>
        <w:t>result</w:t>
      </w:r>
      <w:proofErr w:type="gramEnd"/>
    </w:p>
    <w:p w14:paraId="5A480179" w14:textId="77777777" w:rsidR="003D4D08" w:rsidRDefault="00CA1F24">
      <w:pPr>
        <w:spacing w:after="150" w:line="270" w:lineRule="auto"/>
      </w:pPr>
      <w:r>
        <w:rPr>
          <w:sz w:val="21"/>
          <w:szCs w:val="21"/>
        </w:rPr>
        <w:t xml:space="preserve">Data Science now has statistically-grounded, segment-level explanations for their model's error patterns, distinguishing genuine data limitations (the </w:t>
      </w:r>
      <w:proofErr w:type="gramStart"/>
      <w:r>
        <w:rPr>
          <w:sz w:val="21"/>
          <w:szCs w:val="21"/>
        </w:rPr>
        <w:t>8-14 day</w:t>
      </w:r>
      <w:proofErr w:type="gramEnd"/>
      <w:r>
        <w:rPr>
          <w:sz w:val="21"/>
          <w:szCs w:val="21"/>
        </w:rPr>
        <w:t xml:space="preserve"> band) from likely modelling difficulty (the mid-risk </w:t>
      </w:r>
      <w:r>
        <w:rPr>
          <w:sz w:val="21"/>
          <w:szCs w:val="21"/>
        </w:rPr>
        <w:t>bands) — a much more actionable answer than “the data looks fine.”</w:t>
      </w:r>
    </w:p>
    <w:p w14:paraId="176D5713" w14:textId="77777777" w:rsidR="003D4D08" w:rsidRDefault="00CA1F24">
      <w:pPr>
        <w:pStyle w:val="Heading3"/>
        <w:spacing w:before="180" w:after="90"/>
      </w:pPr>
      <w:r>
        <w:rPr>
          <w:b/>
          <w:bCs/>
          <w:color w:val="1F3864"/>
          <w:sz w:val="21"/>
          <w:szCs w:val="21"/>
        </w:rPr>
        <w:t>Key findings or validation outcomes</w:t>
      </w:r>
    </w:p>
    <w:p w14:paraId="58B23EC1" w14:textId="77777777" w:rsidR="003D4D08" w:rsidRDefault="00CA1F24">
      <w:pPr>
        <w:spacing w:after="150" w:line="270" w:lineRule="auto"/>
      </w:pPr>
      <w:r>
        <w:rPr>
          <w:sz w:val="21"/>
          <w:szCs w:val="21"/>
        </w:rPr>
        <w:t>Both of Data Analytics' core Week 5/6 findings (lead time and no-show history) are now backed by formal statistical significance tests (p&lt;0.001 for both)</w:t>
      </w:r>
      <w:r>
        <w:rPr>
          <w:sz w:val="21"/>
          <w:szCs w:val="21"/>
        </w:rPr>
        <w:t>, not just descriptive patterns — the strongest evidentiary footing this project has had to date.</w:t>
      </w:r>
    </w:p>
    <w:p w14:paraId="491E5D8F" w14:textId="77777777" w:rsidR="003D4D08" w:rsidRDefault="00CA1F24">
      <w:pPr>
        <w:pStyle w:val="Heading3"/>
        <w:spacing w:before="180" w:after="90"/>
      </w:pPr>
      <w:r>
        <w:rPr>
          <w:b/>
          <w:bCs/>
          <w:color w:val="1F3864"/>
          <w:sz w:val="21"/>
          <w:szCs w:val="21"/>
        </w:rPr>
        <w:t>Major challenges</w:t>
      </w:r>
    </w:p>
    <w:p w14:paraId="2CF822EC" w14:textId="77777777" w:rsidR="003D4D08" w:rsidRDefault="00CA1F24">
      <w:pPr>
        <w:spacing w:after="150" w:line="270" w:lineRule="auto"/>
      </w:pPr>
      <w:r>
        <w:rPr>
          <w:sz w:val="21"/>
          <w:szCs w:val="21"/>
        </w:rPr>
        <w:t>Distinguishing “the data is unstable” from “the pattern is inherently hard to classify” required a specific analytical approach (time-split s</w:t>
      </w:r>
      <w:r>
        <w:rPr>
          <w:sz w:val="21"/>
          <w:szCs w:val="21"/>
        </w:rPr>
        <w:t>tability plus sub-segment investigation) rather than a single check — a genuinely harder diagnostic task than earlier weeks' validation work.</w:t>
      </w:r>
    </w:p>
    <w:p w14:paraId="466087C2" w14:textId="77777777" w:rsidR="003D4D08" w:rsidRDefault="00CA1F24">
      <w:pPr>
        <w:pStyle w:val="Heading3"/>
        <w:spacing w:before="180" w:after="90"/>
      </w:pPr>
      <w:r>
        <w:rPr>
          <w:b/>
          <w:bCs/>
          <w:color w:val="1F3864"/>
          <w:sz w:val="21"/>
          <w:szCs w:val="21"/>
        </w:rPr>
        <w:t>Important decisions</w:t>
      </w:r>
    </w:p>
    <w:p w14:paraId="0044F705" w14:textId="77777777" w:rsidR="003D4D08" w:rsidRDefault="00CA1F24">
      <w:pPr>
        <w:spacing w:after="150" w:line="270" w:lineRule="auto"/>
      </w:pPr>
      <w:r>
        <w:rPr>
          <w:sz w:val="21"/>
          <w:szCs w:val="21"/>
        </w:rPr>
        <w:t>Chose to frame the 15-30/31-45 day finding as “inherently harder to predict” rather than simpl</w:t>
      </w:r>
      <w:r>
        <w:rPr>
          <w:sz w:val="21"/>
          <w:szCs w:val="21"/>
        </w:rPr>
        <w:t>y “validated” — this is the more precise, more useful answer for Data Science's actual modelling question.</w:t>
      </w:r>
    </w:p>
    <w:p w14:paraId="70C5309D" w14:textId="77777777" w:rsidR="003D4D08" w:rsidRDefault="00CA1F24">
      <w:pPr>
        <w:pStyle w:val="Heading3"/>
        <w:spacing w:before="180" w:after="90"/>
      </w:pPr>
      <w:r>
        <w:rPr>
          <w:b/>
          <w:bCs/>
          <w:color w:val="1F3864"/>
          <w:sz w:val="21"/>
          <w:szCs w:val="21"/>
        </w:rPr>
        <w:t>Remaining limitations</w:t>
      </w:r>
    </w:p>
    <w:p w14:paraId="57E6E0E9" w14:textId="2B6334B9" w:rsidR="003D4D08" w:rsidRDefault="00CA1F24">
      <w:pPr>
        <w:spacing w:after="150" w:line="270" w:lineRule="auto"/>
      </w:pPr>
      <w:r>
        <w:rPr>
          <w:sz w:val="21"/>
          <w:szCs w:val="21"/>
        </w:rPr>
        <w:t xml:space="preserve">The </w:t>
      </w:r>
      <w:r w:rsidR="004F25D4">
        <w:rPr>
          <w:sz w:val="21"/>
          <w:szCs w:val="21"/>
        </w:rPr>
        <w:t>8–14-day</w:t>
      </w:r>
      <w:r>
        <w:rPr>
          <w:sz w:val="21"/>
          <w:szCs w:val="21"/>
        </w:rPr>
        <w:t xml:space="preserve"> band's root cause remains unknown beyond small sample size. The missing-value treatment decision for distance/wait</w:t>
      </w:r>
      <w:r>
        <w:rPr>
          <w:sz w:val="21"/>
          <w:szCs w:val="21"/>
        </w:rPr>
        <w:t>ing_time remains open.</w:t>
      </w:r>
    </w:p>
    <w:p w14:paraId="4F4F25D5" w14:textId="77777777" w:rsidR="003D4D08" w:rsidRDefault="00CA1F24">
      <w:pPr>
        <w:pStyle w:val="Heading3"/>
        <w:spacing w:before="180" w:after="90"/>
      </w:pPr>
      <w:r>
        <w:rPr>
          <w:b/>
          <w:bCs/>
          <w:color w:val="1F3864"/>
          <w:sz w:val="21"/>
          <w:szCs w:val="21"/>
        </w:rPr>
        <w:t>Remaining issues or dependencies</w:t>
      </w:r>
    </w:p>
    <w:p w14:paraId="2A6B3864" w14:textId="77777777" w:rsidR="003D4D08" w:rsidRDefault="00CA1F24">
      <w:pPr>
        <w:spacing w:after="150" w:line="270" w:lineRule="auto"/>
      </w:pPr>
      <w:r>
        <w:rPr>
          <w:sz w:val="21"/>
          <w:szCs w:val="21"/>
        </w:rPr>
        <w:t>Awaiting Data Science's next round of model results to confirm whether this week's guidance measurably improved their error rates.</w:t>
      </w:r>
    </w:p>
    <w:p w14:paraId="6E5F3043" w14:textId="77777777" w:rsidR="003D4D08" w:rsidRDefault="00CA1F24">
      <w:pPr>
        <w:pStyle w:val="Heading3"/>
        <w:spacing w:before="180" w:after="90"/>
      </w:pPr>
      <w:r>
        <w:rPr>
          <w:b/>
          <w:bCs/>
          <w:color w:val="1F3864"/>
          <w:sz w:val="21"/>
          <w:szCs w:val="21"/>
        </w:rPr>
        <w:t>Contribution to the overall HealthConnect project</w:t>
      </w:r>
    </w:p>
    <w:p w14:paraId="54CB75AC" w14:textId="77777777" w:rsidR="003D4D08" w:rsidRDefault="00CA1F24">
      <w:pPr>
        <w:spacing w:after="150" w:line="270" w:lineRule="auto"/>
      </w:pPr>
      <w:r>
        <w:rPr>
          <w:sz w:val="21"/>
          <w:szCs w:val="21"/>
        </w:rPr>
        <w:t>Provided Data Science with statistically rigorous, segment-level validation that directly informs their Week 7 model refinement decisions — and caught and fixed a real dashboard trustworthiness issue before it could mislead a stakeholder or mentor reviewin</w:t>
      </w:r>
      <w:r>
        <w:rPr>
          <w:sz w:val="21"/>
          <w:szCs w:val="21"/>
        </w:rPr>
        <w:t>g the project.</w:t>
      </w:r>
    </w:p>
    <w:p w14:paraId="1C6E20BA" w14:textId="77777777" w:rsidR="003D4D08" w:rsidRDefault="00CA1F24">
      <w:pPr>
        <w:pStyle w:val="Heading3"/>
        <w:spacing w:before="180" w:after="90"/>
      </w:pPr>
      <w:r>
        <w:rPr>
          <w:b/>
          <w:bCs/>
          <w:color w:val="1F3864"/>
          <w:sz w:val="21"/>
          <w:szCs w:val="21"/>
        </w:rPr>
        <w:t>What must be completed before Week 8</w:t>
      </w:r>
    </w:p>
    <w:p w14:paraId="47EA3FDC" w14:textId="77777777" w:rsidR="003D4D08" w:rsidRDefault="00CA1F24">
      <w:pPr>
        <w:pStyle w:val="ListParagraph"/>
        <w:numPr>
          <w:ilvl w:val="0"/>
          <w:numId w:val="2"/>
        </w:numPr>
        <w:spacing w:after="75" w:line="270" w:lineRule="auto"/>
      </w:pPr>
      <w:r>
        <w:rPr>
          <w:sz w:val="21"/>
          <w:szCs w:val="21"/>
        </w:rPr>
        <w:t>Finalise the distance/waiting_time missing-value treatment decision.</w:t>
      </w:r>
    </w:p>
    <w:p w14:paraId="00A0AEEC" w14:textId="77777777" w:rsidR="003D4D08" w:rsidRDefault="00CA1F24">
      <w:pPr>
        <w:pStyle w:val="ListParagraph"/>
        <w:numPr>
          <w:ilvl w:val="0"/>
          <w:numId w:val="2"/>
        </w:numPr>
        <w:spacing w:after="75" w:line="270" w:lineRule="auto"/>
      </w:pPr>
      <w:r>
        <w:rPr>
          <w:sz w:val="21"/>
          <w:szCs w:val="21"/>
        </w:rPr>
        <w:t>Review Data Science's response to this week's validated findings, once received.</w:t>
      </w:r>
    </w:p>
    <w:p w14:paraId="2F63389A" w14:textId="77777777" w:rsidR="003D4D08" w:rsidRDefault="00CA1F24">
      <w:pPr>
        <w:pStyle w:val="ListParagraph"/>
        <w:numPr>
          <w:ilvl w:val="0"/>
          <w:numId w:val="2"/>
        </w:numPr>
        <w:spacing w:after="75" w:line="270" w:lineRule="auto"/>
      </w:pPr>
      <w:r>
        <w:rPr>
          <w:sz w:val="21"/>
          <w:szCs w:val="21"/>
        </w:rPr>
        <w:t>Prepare for Week 8's final integration and presentation stage.</w:t>
      </w:r>
    </w:p>
    <w:sectPr w:rsidR="003D4D08">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81D2A" w14:textId="77777777" w:rsidR="00CA1F24" w:rsidRDefault="00CA1F24">
      <w:r>
        <w:separator/>
      </w:r>
    </w:p>
  </w:endnote>
  <w:endnote w:type="continuationSeparator" w:id="0">
    <w:p w14:paraId="175ED10C" w14:textId="77777777" w:rsidR="00CA1F24" w:rsidRDefault="00CA1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E4BB8" w14:textId="77777777" w:rsidR="003D4D08" w:rsidRDefault="00CA1F24">
    <w:pPr>
      <w:jc w:val="center"/>
    </w:pPr>
    <w:r>
      <w:rPr>
        <w:color w:val="595959"/>
        <w:sz w:val="16"/>
        <w:szCs w:val="16"/>
      </w:rPr>
      <w:t xml:space="preserve">Week 7 – Data Analytics Track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w:t>
    </w:r>
    <w:r>
      <w:rPr>
        <w:color w:val="595959"/>
        <w:sz w:val="16"/>
        <w:szCs w:val="16"/>
      </w:rPr>
      <w:t xml:space="preserve">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B4042" w14:textId="77777777" w:rsidR="00CA1F24" w:rsidRDefault="00CA1F24">
      <w:r>
        <w:separator/>
      </w:r>
    </w:p>
  </w:footnote>
  <w:footnote w:type="continuationSeparator" w:id="0">
    <w:p w14:paraId="65C45F89" w14:textId="77777777" w:rsidR="00CA1F24" w:rsidRDefault="00CA1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1C122" w14:textId="77777777" w:rsidR="003D4D08" w:rsidRDefault="00CA1F24">
    <w:pPr>
      <w:pBdr>
        <w:bottom w:val="single" w:sz="4" w:space="4" w:color="BFBFBF"/>
      </w:pBdr>
      <w:jc w:val="right"/>
    </w:pPr>
    <w:r>
      <w:rPr>
        <w:color w:val="595959"/>
        <w:sz w:val="16"/>
        <w:szCs w:val="16"/>
      </w:rPr>
      <w:t>AnalystLab Africa – HealthConnect Experience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71777"/>
    <w:multiLevelType w:val="hybridMultilevel"/>
    <w:tmpl w:val="B4326D50"/>
    <w:lvl w:ilvl="0" w:tplc="2C02D6CC">
      <w:start w:val="1"/>
      <w:numFmt w:val="decimal"/>
      <w:lvlText w:val="%1."/>
      <w:lvlJc w:val="left"/>
      <w:pPr>
        <w:ind w:left="420" w:hanging="300"/>
      </w:pPr>
    </w:lvl>
    <w:lvl w:ilvl="1" w:tplc="DC624BD6">
      <w:numFmt w:val="decimal"/>
      <w:lvlText w:val=""/>
      <w:lvlJc w:val="left"/>
    </w:lvl>
    <w:lvl w:ilvl="2" w:tplc="CAEAEA16">
      <w:numFmt w:val="decimal"/>
      <w:lvlText w:val=""/>
      <w:lvlJc w:val="left"/>
    </w:lvl>
    <w:lvl w:ilvl="3" w:tplc="E81E7A66">
      <w:numFmt w:val="decimal"/>
      <w:lvlText w:val=""/>
      <w:lvlJc w:val="left"/>
    </w:lvl>
    <w:lvl w:ilvl="4" w:tplc="3A948C2C">
      <w:numFmt w:val="decimal"/>
      <w:lvlText w:val=""/>
      <w:lvlJc w:val="left"/>
    </w:lvl>
    <w:lvl w:ilvl="5" w:tplc="F91E8962">
      <w:numFmt w:val="decimal"/>
      <w:lvlText w:val=""/>
      <w:lvlJc w:val="left"/>
    </w:lvl>
    <w:lvl w:ilvl="6" w:tplc="D4C87512">
      <w:numFmt w:val="decimal"/>
      <w:lvlText w:val=""/>
      <w:lvlJc w:val="left"/>
    </w:lvl>
    <w:lvl w:ilvl="7" w:tplc="AF783188">
      <w:numFmt w:val="decimal"/>
      <w:lvlText w:val=""/>
      <w:lvlJc w:val="left"/>
    </w:lvl>
    <w:lvl w:ilvl="8" w:tplc="AECA22B8">
      <w:numFmt w:val="decimal"/>
      <w:lvlText w:val=""/>
      <w:lvlJc w:val="left"/>
    </w:lvl>
  </w:abstractNum>
  <w:abstractNum w:abstractNumId="1" w15:restartNumberingAfterBreak="0">
    <w:nsid w:val="2ECA3B73"/>
    <w:multiLevelType w:val="hybridMultilevel"/>
    <w:tmpl w:val="ED66E570"/>
    <w:lvl w:ilvl="0" w:tplc="8B9C5906">
      <w:start w:val="1"/>
      <w:numFmt w:val="bullet"/>
      <w:lvlText w:val="●"/>
      <w:lvlJc w:val="left"/>
      <w:pPr>
        <w:ind w:left="720" w:hanging="360"/>
      </w:pPr>
    </w:lvl>
    <w:lvl w:ilvl="1" w:tplc="95E61558">
      <w:start w:val="1"/>
      <w:numFmt w:val="bullet"/>
      <w:lvlText w:val="○"/>
      <w:lvlJc w:val="left"/>
      <w:pPr>
        <w:ind w:left="1440" w:hanging="360"/>
      </w:pPr>
    </w:lvl>
    <w:lvl w:ilvl="2" w:tplc="26584F34">
      <w:start w:val="1"/>
      <w:numFmt w:val="bullet"/>
      <w:lvlText w:val="■"/>
      <w:lvlJc w:val="left"/>
      <w:pPr>
        <w:ind w:left="2160" w:hanging="360"/>
      </w:pPr>
    </w:lvl>
    <w:lvl w:ilvl="3" w:tplc="EB162D2C">
      <w:start w:val="1"/>
      <w:numFmt w:val="bullet"/>
      <w:lvlText w:val="●"/>
      <w:lvlJc w:val="left"/>
      <w:pPr>
        <w:ind w:left="2880" w:hanging="360"/>
      </w:pPr>
    </w:lvl>
    <w:lvl w:ilvl="4" w:tplc="65062B70">
      <w:start w:val="1"/>
      <w:numFmt w:val="bullet"/>
      <w:lvlText w:val="○"/>
      <w:lvlJc w:val="left"/>
      <w:pPr>
        <w:ind w:left="3600" w:hanging="360"/>
      </w:pPr>
    </w:lvl>
    <w:lvl w:ilvl="5" w:tplc="EEA23DA6">
      <w:start w:val="1"/>
      <w:numFmt w:val="bullet"/>
      <w:lvlText w:val="■"/>
      <w:lvlJc w:val="left"/>
      <w:pPr>
        <w:ind w:left="4320" w:hanging="360"/>
      </w:pPr>
    </w:lvl>
    <w:lvl w:ilvl="6" w:tplc="58F4DF26">
      <w:start w:val="1"/>
      <w:numFmt w:val="bullet"/>
      <w:lvlText w:val="●"/>
      <w:lvlJc w:val="left"/>
      <w:pPr>
        <w:ind w:left="5040" w:hanging="360"/>
      </w:pPr>
    </w:lvl>
    <w:lvl w:ilvl="7" w:tplc="54B4FAC6">
      <w:start w:val="1"/>
      <w:numFmt w:val="bullet"/>
      <w:lvlText w:val="●"/>
      <w:lvlJc w:val="left"/>
      <w:pPr>
        <w:ind w:left="5760" w:hanging="360"/>
      </w:pPr>
    </w:lvl>
    <w:lvl w:ilvl="8" w:tplc="407EB59A">
      <w:start w:val="1"/>
      <w:numFmt w:val="bullet"/>
      <w:lvlText w:val="●"/>
      <w:lvlJc w:val="left"/>
      <w:pPr>
        <w:ind w:left="6480" w:hanging="360"/>
      </w:pPr>
    </w:lvl>
  </w:abstractNum>
  <w:abstractNum w:abstractNumId="2" w15:restartNumberingAfterBreak="0">
    <w:nsid w:val="33EB09BD"/>
    <w:multiLevelType w:val="hybridMultilevel"/>
    <w:tmpl w:val="ABD0EF60"/>
    <w:lvl w:ilvl="0" w:tplc="F47CDF54">
      <w:start w:val="1"/>
      <w:numFmt w:val="bullet"/>
      <w:lvlText w:val="•"/>
      <w:lvlJc w:val="left"/>
      <w:pPr>
        <w:ind w:left="400" w:hanging="260"/>
      </w:pPr>
    </w:lvl>
    <w:lvl w:ilvl="1" w:tplc="3AEAB000">
      <w:numFmt w:val="decimal"/>
      <w:lvlText w:val=""/>
      <w:lvlJc w:val="left"/>
    </w:lvl>
    <w:lvl w:ilvl="2" w:tplc="6672B162">
      <w:numFmt w:val="decimal"/>
      <w:lvlText w:val=""/>
      <w:lvlJc w:val="left"/>
    </w:lvl>
    <w:lvl w:ilvl="3" w:tplc="A2FE7244">
      <w:numFmt w:val="decimal"/>
      <w:lvlText w:val=""/>
      <w:lvlJc w:val="left"/>
    </w:lvl>
    <w:lvl w:ilvl="4" w:tplc="17009CAC">
      <w:numFmt w:val="decimal"/>
      <w:lvlText w:val=""/>
      <w:lvlJc w:val="left"/>
    </w:lvl>
    <w:lvl w:ilvl="5" w:tplc="EE5CEFD0">
      <w:numFmt w:val="decimal"/>
      <w:lvlText w:val=""/>
      <w:lvlJc w:val="left"/>
    </w:lvl>
    <w:lvl w:ilvl="6" w:tplc="9DF8A1EE">
      <w:numFmt w:val="decimal"/>
      <w:lvlText w:val=""/>
      <w:lvlJc w:val="left"/>
    </w:lvl>
    <w:lvl w:ilvl="7" w:tplc="8F1EE6E8">
      <w:numFmt w:val="decimal"/>
      <w:lvlText w:val=""/>
      <w:lvlJc w:val="left"/>
    </w:lvl>
    <w:lvl w:ilvl="8" w:tplc="EEBEB2B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D08"/>
    <w:rsid w:val="003D4D08"/>
    <w:rsid w:val="004F25D4"/>
    <w:rsid w:val="00CA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78918"/>
  <w15:docId w15:val="{6AF8F77D-36AB-4C83-B339-BA65ABBD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2642</Words>
  <Characters>15064</Characters>
  <Application>Microsoft Office Word</Application>
  <DocSecurity>0</DocSecurity>
  <Lines>125</Lines>
  <Paragraphs>35</Paragraphs>
  <ScaleCrop>false</ScaleCrop>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Samson Arawande</cp:lastModifiedBy>
  <cp:revision>2</cp:revision>
  <dcterms:created xsi:type="dcterms:W3CDTF">2026-09-18T17:16:00Z</dcterms:created>
  <dcterms:modified xsi:type="dcterms:W3CDTF">2026-09-19T14:12:00Z</dcterms:modified>
</cp:coreProperties>
</file>