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1DF2E" w14:textId="77777777" w:rsidR="006A561B" w:rsidRDefault="00836734">
      <w:pPr>
        <w:spacing w:after="40"/>
        <w:jc w:val="center"/>
      </w:pPr>
      <w:r>
        <w:rPr>
          <w:b/>
          <w:bCs/>
          <w:color w:val="2E74B5"/>
          <w:sz w:val="18"/>
          <w:szCs w:val="18"/>
        </w:rPr>
        <w:t>ANALYSTLAB AFRICA – HEALTHCONNECT EXPERIENCE LAB</w:t>
      </w:r>
    </w:p>
    <w:p w14:paraId="7B9BCD89" w14:textId="77777777" w:rsidR="006A561B" w:rsidRDefault="00836734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Validated Findings Package</w:t>
      </w:r>
    </w:p>
    <w:p w14:paraId="2328FB48" w14:textId="77777777" w:rsidR="006A561B" w:rsidRDefault="00836734">
      <w:pPr>
        <w:spacing w:after="300"/>
        <w:jc w:val="center"/>
      </w:pPr>
      <w:r>
        <w:rPr>
          <w:b/>
          <w:bCs/>
          <w:color w:val="2E74B5"/>
          <w:sz w:val="22"/>
          <w:szCs w:val="22"/>
        </w:rPr>
        <w:t>Data Analytics → Data Science – Week 6 Cross-Track Handoff</w:t>
      </w:r>
    </w:p>
    <w:p w14:paraId="763CAC08" w14:textId="77777777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This document provides validated, full-dataset (n=5,000) analytical findings to support Data Science feature review, error analysis, and model refinement. All figures are calculated from HealthConnect_Appointment_Data.csv and have been cross-checked agains</w:t>
      </w:r>
      <w:r>
        <w:rPr>
          <w:i/>
          <w:iCs/>
          <w:color w:val="595959"/>
          <w:sz w:val="21"/>
          <w:szCs w:val="21"/>
        </w:rPr>
        <w:t>t the Data Dictionary. Where a finding was tested for stability (H1 2025 vs H2 2025), that is noted explicitly.</w:t>
      </w:r>
    </w:p>
    <w:p w14:paraId="10A09590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1. No-Show Rate by Booking Lead-Time Group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2200"/>
      </w:tblGrid>
      <w:tr w:rsidR="006A561B" w14:paraId="5D5605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66317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Lead-Time Band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468E2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885EF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707E1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6A561B" w14:paraId="57D41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8138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0-7 days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206F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640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24BA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178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C632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27.81%</w:t>
            </w:r>
          </w:p>
        </w:tc>
      </w:tr>
      <w:tr w:rsidR="006A561B" w14:paraId="64746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A42A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8-14 days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D354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602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1A874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202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844C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33.55%</w:t>
            </w:r>
          </w:p>
        </w:tc>
      </w:tr>
      <w:tr w:rsidR="006A561B" w14:paraId="0B98D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DC8B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15-30 days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B19B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1,333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70CA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576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E185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43.21%</w:t>
            </w:r>
          </w:p>
        </w:tc>
      </w:tr>
      <w:tr w:rsidR="006A561B" w14:paraId="70A64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4A42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31-45 days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A2D0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1,258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F577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677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B57D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53.82%</w:t>
            </w:r>
          </w:p>
        </w:tc>
      </w:tr>
      <w:tr w:rsidR="006A561B" w14:paraId="485C5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B1AE4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46-60 days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3635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1,167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6B12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790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7405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67.69%</w:t>
            </w:r>
          </w:p>
        </w:tc>
      </w:tr>
    </w:tbl>
    <w:p w14:paraId="188DF01B" w14:textId="56860CDD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 xml:space="preserve">Strongest single predictor in the dataset. Validated for stability across H1/H2 2025 — pattern holds in 4 of 5 bands; the </w:t>
      </w:r>
      <w:r w:rsidR="00163DE4">
        <w:rPr>
          <w:i/>
          <w:iCs/>
          <w:color w:val="595959"/>
          <w:sz w:val="21"/>
          <w:szCs w:val="21"/>
        </w:rPr>
        <w:t>8–14-day</w:t>
      </w:r>
      <w:r>
        <w:rPr>
          <w:i/>
          <w:iCs/>
          <w:color w:val="595959"/>
          <w:sz w:val="21"/>
          <w:szCs w:val="21"/>
        </w:rPr>
        <w:t xml:space="preserve"> band showed an 11-point H1/H2 gap (26.9% vs 38.3%) larger than sampling noise would explain and should be treated with added </w:t>
      </w:r>
      <w:r>
        <w:rPr>
          <w:i/>
          <w:iCs/>
          <w:color w:val="595959"/>
          <w:sz w:val="21"/>
          <w:szCs w:val="21"/>
        </w:rPr>
        <w:t>caution relative to the other four bands.</w:t>
      </w:r>
    </w:p>
    <w:p w14:paraId="1840F774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2. No-Show Rate by Previous No-Show History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2200"/>
      </w:tblGrid>
      <w:tr w:rsidR="006A561B" w14:paraId="015B94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1E719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 No-Shows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B6846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C1621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9BB84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6A561B" w14:paraId="04D51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8873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7F604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2,921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5BCC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1,271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8CF4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43.51%</w:t>
            </w:r>
          </w:p>
        </w:tc>
      </w:tr>
      <w:tr w:rsidR="006A561B" w14:paraId="07713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7AA8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67774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1,548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178C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828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349C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53.49%</w:t>
            </w:r>
          </w:p>
        </w:tc>
      </w:tr>
      <w:tr w:rsidR="006A561B" w14:paraId="71845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12B5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99F7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438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7B52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260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C9A9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59.36%</w:t>
            </w:r>
          </w:p>
        </w:tc>
      </w:tr>
      <w:tr w:rsidR="006A561B" w14:paraId="0A4CB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FBF3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7411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78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A3F9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53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765E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67.95%</w:t>
            </w:r>
          </w:p>
        </w:tc>
      </w:tr>
      <w:tr w:rsidR="006A561B" w14:paraId="1C8B7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5021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ECB0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FCA1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8F2E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66.67%</w:t>
            </w:r>
          </w:p>
        </w:tc>
      </w:tr>
      <w:tr w:rsidR="006A561B" w14:paraId="0710F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F561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645C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007E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C51F4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100.00%</w:t>
            </w:r>
          </w:p>
        </w:tc>
      </w:tr>
    </w:tbl>
    <w:p w14:paraId="30A527B4" w14:textId="098D0F08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Reliable and validated for 0-3 (large samples, stable across H1/H2 2025 within 1-3 points at each level). Levels 4 and 5 rest on extremely small samples (n=12 and n=3) and swing unpredictably when split by half-year (</w:t>
      </w:r>
      <w:r w:rsidR="00163DE4">
        <w:rPr>
          <w:i/>
          <w:iCs/>
          <w:color w:val="595959"/>
          <w:sz w:val="21"/>
          <w:szCs w:val="21"/>
        </w:rPr>
        <w:t>e.g.,</w:t>
      </w:r>
      <w:r>
        <w:rPr>
          <w:i/>
          <w:iCs/>
          <w:color w:val="595959"/>
          <w:sz w:val="21"/>
          <w:szCs w:val="21"/>
        </w:rPr>
        <w:t xml:space="preserve"> level 4 showed 50% in H1 vs 100% i</w:t>
      </w:r>
      <w:r>
        <w:rPr>
          <w:i/>
          <w:iCs/>
          <w:color w:val="595959"/>
          <w:sz w:val="21"/>
          <w:szCs w:val="21"/>
        </w:rPr>
        <w:t>n H2 on n=4/n=3). Recommend binning as “3+” for modelling rather than using raw values 4 and 5 as distinct levels.</w:t>
      </w:r>
    </w:p>
    <w:p w14:paraId="4AF0DF95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3. No-Show Rate by Appointment Type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800"/>
        <w:gridCol w:w="1600"/>
      </w:tblGrid>
      <w:tr w:rsidR="006A561B" w14:paraId="54E3C0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E4401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Appointment Type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38AEB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527D3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583F3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6A561B" w14:paraId="59CC7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BCCD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Follow-up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DF7B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1,421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44C3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728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CD10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51.23%</w:t>
            </w:r>
          </w:p>
        </w:tc>
      </w:tr>
      <w:tr w:rsidR="006A561B" w14:paraId="616EE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556F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Diagnostic Test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53D6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593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1A12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295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08EB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49.75%</w:t>
            </w:r>
          </w:p>
        </w:tc>
      </w:tr>
      <w:tr w:rsidR="006A561B" w14:paraId="17DC2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A25D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Specialist Consultation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9C99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900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6CF9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427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7914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47.44%</w:t>
            </w:r>
          </w:p>
        </w:tc>
      </w:tr>
      <w:tr w:rsidR="006A561B" w14:paraId="0B069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38D9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General Consultation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B27E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2,086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5B6B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973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0158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46.64%</w:t>
            </w:r>
          </w:p>
        </w:tc>
      </w:tr>
    </w:tbl>
    <w:p w14:paraId="17D91AAE" w14:textId="77777777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Weak signal (~4.6-point spread). Not recommended as a primary feature.</w:t>
      </w:r>
    </w:p>
    <w:p w14:paraId="7EE130BE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4. No-Show Rate by Age Group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2200"/>
      </w:tblGrid>
      <w:tr w:rsidR="006A561B" w14:paraId="76C6FB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7D752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Age Group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C26A7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3A18B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93947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6A561B" w14:paraId="705C1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9010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18-24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A8A1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564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FA46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283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3421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50.18%</w:t>
            </w:r>
          </w:p>
        </w:tc>
      </w:tr>
      <w:tr w:rsidR="006A561B" w14:paraId="33A0E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4C08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25-34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ACEE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783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FBE1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397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D751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50.70%</w:t>
            </w:r>
          </w:p>
        </w:tc>
      </w:tr>
      <w:tr w:rsidR="006A561B" w14:paraId="35A26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FBBB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35-44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0253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819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0A21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396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6666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48.35%</w:t>
            </w:r>
          </w:p>
        </w:tc>
      </w:tr>
      <w:tr w:rsidR="006A561B" w14:paraId="6BD6D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F8C0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45-54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C037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793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EEAE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381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5F8C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48.05%</w:t>
            </w:r>
          </w:p>
        </w:tc>
      </w:tr>
      <w:tr w:rsidR="006A561B" w14:paraId="5689E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E827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55-64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EDF6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800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C33C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406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C15B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50.75%</w:t>
            </w:r>
          </w:p>
        </w:tc>
      </w:tr>
      <w:tr w:rsidR="006A561B" w14:paraId="2580C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0B8F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65+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3A8B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1,241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CC3B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560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DC6C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45.12%</w:t>
            </w:r>
          </w:p>
        </w:tc>
      </w:tr>
    </w:tbl>
    <w:p w14:paraId="5752A0CE" w14:textId="51E98FC0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 xml:space="preserve">Weak signal (~5.6-point spread). Mild tendency for the 65+ group to attend more reliably, but not strong enough to </w:t>
      </w:r>
      <w:r w:rsidR="00163DE4">
        <w:rPr>
          <w:i/>
          <w:iCs/>
          <w:color w:val="595959"/>
          <w:sz w:val="21"/>
          <w:szCs w:val="21"/>
        </w:rPr>
        <w:t>prioritize</w:t>
      </w:r>
      <w:r>
        <w:rPr>
          <w:i/>
          <w:iCs/>
          <w:color w:val="595959"/>
          <w:sz w:val="21"/>
          <w:szCs w:val="21"/>
        </w:rPr>
        <w:t xml:space="preserve"> as a primary feature.</w:t>
      </w:r>
    </w:p>
    <w:p w14:paraId="17EFF2C1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5. No-Show Rate by Appointment Day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2200"/>
      </w:tblGrid>
      <w:tr w:rsidR="006A561B" w14:paraId="3565F6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08983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857A9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7A59D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97337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6A561B" w14:paraId="3F440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E471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Monday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A3F34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701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7A5C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348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F8EB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49.64%</w:t>
            </w:r>
          </w:p>
        </w:tc>
      </w:tr>
      <w:tr w:rsidR="006A561B" w14:paraId="43FEE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79B9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Tuesday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7B65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689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ABE9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324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F377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47.02%</w:t>
            </w:r>
          </w:p>
        </w:tc>
      </w:tr>
      <w:tr w:rsidR="006A561B" w14:paraId="1DD84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99DC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Wednesday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6A14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737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5ED4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366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D418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49.66%</w:t>
            </w:r>
          </w:p>
        </w:tc>
      </w:tr>
      <w:tr w:rsidR="006A561B" w14:paraId="36BF7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FECA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Thursday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75B4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684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56FA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335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8869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48.98%</w:t>
            </w:r>
          </w:p>
        </w:tc>
      </w:tr>
      <w:tr w:rsidR="006A561B" w14:paraId="32284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04C4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Friday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BB92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728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AFA3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339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CE84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46.57%</w:t>
            </w:r>
          </w:p>
        </w:tc>
      </w:tr>
      <w:tr w:rsidR="006A561B" w14:paraId="10DBA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3828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Saturday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413C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724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831E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339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F5EF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46.82%</w:t>
            </w:r>
          </w:p>
        </w:tc>
      </w:tr>
      <w:tr w:rsidR="006A561B" w14:paraId="51F71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788E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Sunday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CCA5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737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BF23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372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88DD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50.47%</w:t>
            </w:r>
          </w:p>
        </w:tc>
      </w:tr>
    </w:tbl>
    <w:p w14:paraId="0EF71A69" w14:textId="77777777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Weak signal (~3.9-point spread), no weekday/weekend pattern. Note the clinic operates all 7 days (Saturday and Sunday both carry meaningful volume). Not recommended as a primary feature.</w:t>
      </w:r>
    </w:p>
    <w:p w14:paraId="38BCDFAC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6. No-Show Rate by Appointment Time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800"/>
        <w:gridCol w:w="1600"/>
      </w:tblGrid>
      <w:tr w:rsidR="006A561B" w14:paraId="7898CD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DA5CC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Time of Day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E548F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EB670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  <w:r>
              <w:rPr>
                <w:b/>
                <w:bCs/>
                <w:color w:val="FFFFFF"/>
                <w:sz w:val="19"/>
                <w:szCs w:val="19"/>
              </w:rPr>
              <w:t>-Shows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99AEA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6A561B" w14:paraId="13C8C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5BCC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Evening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7308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679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D5A8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338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78CF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49.78%</w:t>
            </w:r>
          </w:p>
        </w:tc>
      </w:tr>
      <w:tr w:rsidR="006A561B" w14:paraId="259EA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7353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Afternoon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2062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2,094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1F6D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1,013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710D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48.38%</w:t>
            </w:r>
          </w:p>
        </w:tc>
      </w:tr>
      <w:tr w:rsidR="006A561B" w14:paraId="6FDF1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434A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Morning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3EA04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2,227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57A0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1,072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6A7C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48.14%</w:t>
            </w:r>
          </w:p>
        </w:tc>
      </w:tr>
    </w:tbl>
    <w:p w14:paraId="5BE3DAD7" w14:textId="77777777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Weakest signal in the dataset (~1.6-point spread), essentially flat. Not recommended as a feature.</w:t>
      </w:r>
    </w:p>
    <w:p w14:paraId="4F4F3E40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7. No-Show Rate by Distance Group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2200"/>
      </w:tblGrid>
      <w:tr w:rsidR="006A561B" w14:paraId="21C3B7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3F66B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Distance Band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12031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CCFEB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13539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6A561B" w14:paraId="3DE4F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63F4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0-5 km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6D7D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1,156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34AE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537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DDDD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46.45%</w:t>
            </w:r>
          </w:p>
        </w:tc>
      </w:tr>
      <w:tr w:rsidR="006A561B" w14:paraId="251FB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D7D7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5-10 km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1E1D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1,692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2D39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787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D49A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46.51%</w:t>
            </w:r>
          </w:p>
        </w:tc>
      </w:tr>
      <w:tr w:rsidR="006A561B" w14:paraId="2219D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F47C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10-15 km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0750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1,132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5828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549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E373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48.50%</w:t>
            </w:r>
          </w:p>
        </w:tc>
      </w:tr>
      <w:tr w:rsidR="006A561B" w14:paraId="5EECF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30544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15-20 km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DDAC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537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F767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276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0691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51.40%</w:t>
            </w:r>
          </w:p>
        </w:tc>
      </w:tr>
      <w:tr w:rsidR="006A561B" w14:paraId="30155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10E7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20+ km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5C2A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393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85F9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227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7500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57.76%</w:t>
            </w:r>
          </w:p>
        </w:tc>
      </w:tr>
      <w:tr w:rsidR="006A561B" w14:paraId="1CD18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2591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Missing distance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00A1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EF1B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AB9A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52.22%</w:t>
            </w:r>
          </w:p>
        </w:tc>
      </w:tr>
    </w:tbl>
    <w:p w14:paraId="2D722755" w14:textId="77777777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Real but moderate signal (~11-point spread). The 90 records with missing distance sit close to the dataset average (52.2%), suggesting missingness is not concentrated in an unusual subgroup and is likely safe to impute or exclude without introducing bias.</w:t>
      </w:r>
    </w:p>
    <w:p w14:paraId="0F5BA1E0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8. Other Important Relationships</w:t>
      </w:r>
    </w:p>
    <w:p w14:paraId="495DD87B" w14:textId="77777777" w:rsidR="006A561B" w:rsidRDefault="00836734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Reminders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800"/>
        <w:gridCol w:w="1600"/>
      </w:tblGrid>
      <w:tr w:rsidR="006A561B" w14:paraId="285371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6B2D0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Reminder Channel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69E05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8F217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C591D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6A561B" w14:paraId="211CB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8C52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SMS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1591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2,000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2B57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915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8A3B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45.75%</w:t>
            </w:r>
          </w:p>
        </w:tc>
      </w:tr>
      <w:tr w:rsidR="006A561B" w14:paraId="2207C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2D3A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F57A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533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2B0A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258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F0034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48.41%</w:t>
            </w:r>
          </w:p>
        </w:tc>
      </w:tr>
      <w:tr w:rsidR="006A561B" w14:paraId="1BBFE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7550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WhatsApp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6AA3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1,101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BE4C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548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585E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49.77%</w:t>
            </w:r>
          </w:p>
        </w:tc>
      </w:tr>
      <w:tr w:rsidR="006A561B" w14:paraId="17CFC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D7F8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None (no reminder sent)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2F0B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1,366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A0BB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702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0B79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51.39%</w:t>
            </w:r>
          </w:p>
        </w:tc>
      </w:tr>
    </w:tbl>
    <w:p w14:paraId="191B4F85" w14:textId="77777777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Moderate signal (~5.6-point spread). SMS is clearly the most effective channel. This is the one factor the clinic can directly control operationally.</w:t>
      </w:r>
    </w:p>
    <w:p w14:paraId="47C66B6C" w14:textId="77777777" w:rsidR="006A561B" w:rsidRDefault="00836734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Combined Risk: Lead Time × Previous No-Shows (Interaction Test)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000"/>
        <w:gridCol w:w="2000"/>
      </w:tblGrid>
      <w:tr w:rsidR="006A561B" w14:paraId="3397A2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3DA5D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Lead-Time Band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CEA3D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0 prior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318CC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1 prior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B4703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prior</w:t>
            </w:r>
            <w:proofErr w:type="gramEnd"/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03681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3+ </w:t>
            </w:r>
            <w:r>
              <w:rPr>
                <w:b/>
                <w:bCs/>
                <w:color w:val="FFFFFF"/>
                <w:sz w:val="19"/>
                <w:szCs w:val="19"/>
              </w:rPr>
              <w:t>prior</w:t>
            </w:r>
          </w:p>
        </w:tc>
      </w:tr>
      <w:tr w:rsidR="006A561B" w14:paraId="30B02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CD02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0-7 days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975F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21.77% (n=372)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FD88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33.16% (n=190)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3862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49.21% (n=63)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EFD8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20.00% (n=15)</w:t>
            </w:r>
          </w:p>
        </w:tc>
      </w:tr>
      <w:tr w:rsidR="006A561B" w14:paraId="3A732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6F59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8-14 days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9AE27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31.65% (n=376)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ADC7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31.85% (n=157)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8BA5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45.76% (n=59)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07D4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60.00% (n=10)</w:t>
            </w:r>
          </w:p>
        </w:tc>
      </w:tr>
      <w:tr w:rsidR="006A561B" w14:paraId="064E8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56FC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15-30 days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EF3B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38.40% (n=763)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7E6F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46.78% (n=419)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4F39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52.80% (n=125)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0C6F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80.77% (n=26)</w:t>
            </w:r>
          </w:p>
        </w:tc>
      </w:tr>
      <w:tr w:rsidR="006A561B" w14:paraId="3CE8D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0057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31-45 days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ECDA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49.33% (n=742)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31E5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59.61% (n=406)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081D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61.54% (n=91)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20DD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68.42% (n=19)</w:t>
            </w:r>
          </w:p>
        </w:tc>
      </w:tr>
      <w:tr w:rsidR="006A561B" w14:paraId="46D1B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254D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46-60 days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D822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61.68% (n=668)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758B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73.67% (n=376)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3BEE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80.00% (n=100)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F439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91.30% (n=23)</w:t>
            </w:r>
          </w:p>
        </w:tc>
      </w:tr>
    </w:tbl>
    <w:p w14:paraId="75938909" w14:textId="77777777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Key finding: these two factors combine additively, not multiplicatively. At 46-60 days × 3+ prior no-shows (n=23), the additive prediction from the two individual effects is ~87%, versus an observed 91.3% — within a few points, not a large multiplier. This</w:t>
      </w:r>
      <w:r>
        <w:rPr>
          <w:i/>
          <w:iCs/>
          <w:color w:val="595959"/>
          <w:sz w:val="21"/>
          <w:szCs w:val="21"/>
        </w:rPr>
        <w:t xml:space="preserve"> suggests a simple summed risk score across the two features is likely to capture nearly the same signal as an engineered interaction term, with less model complexity. The 0-7/3+ and 8-14/3+ cells have small samples (n=15, n=10) and should be interpreted c</w:t>
      </w:r>
      <w:r>
        <w:rPr>
          <w:i/>
          <w:iCs/>
          <w:color w:val="595959"/>
          <w:sz w:val="21"/>
          <w:szCs w:val="21"/>
        </w:rPr>
        <w:t>autiously.</w:t>
      </w:r>
    </w:p>
    <w:p w14:paraId="37FD230B" w14:textId="17ADD292" w:rsidR="006A561B" w:rsidRDefault="00836734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 xml:space="preserve">Cancellations vs. No-Shows (Different </w:t>
      </w:r>
      <w:r w:rsidR="00163DE4">
        <w:rPr>
          <w:b/>
          <w:bCs/>
          <w:color w:val="1F3864"/>
          <w:sz w:val="21"/>
          <w:szCs w:val="21"/>
        </w:rPr>
        <w:t>Behaviors</w:t>
      </w:r>
      <w:r>
        <w:rPr>
          <w:b/>
          <w:bCs/>
          <w:color w:val="1F3864"/>
          <w:sz w:val="21"/>
          <w:szCs w:val="21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2200"/>
      </w:tblGrid>
      <w:tr w:rsidR="006A561B" w14:paraId="44ADF8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631BE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Lead-Time Band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F0A36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77855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Cancelled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02FFE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Cancellation Rate</w:t>
            </w:r>
          </w:p>
        </w:tc>
      </w:tr>
      <w:tr w:rsidR="006A561B" w14:paraId="0575D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C1B7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0-7 days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738A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640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4C83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0C6C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5.62%</w:t>
            </w:r>
          </w:p>
        </w:tc>
      </w:tr>
      <w:tr w:rsidR="006A561B" w14:paraId="73E61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9465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8-14 days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C687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602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FCC62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0A5D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4.65%</w:t>
            </w:r>
          </w:p>
        </w:tc>
      </w:tr>
      <w:tr w:rsidR="006A561B" w14:paraId="60046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9F10C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15-30 days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14FF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1,333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5CB8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E3CF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5.10%</w:t>
            </w:r>
          </w:p>
        </w:tc>
      </w:tr>
      <w:tr w:rsidR="006A561B" w14:paraId="45A6E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BAE0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31-45 days</w:t>
            </w:r>
          </w:p>
        </w:tc>
        <w:tc>
          <w:tcPr>
            <w:tcW w:w="2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0424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1,258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C2BD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71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A7C7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5.64%</w:t>
            </w:r>
          </w:p>
        </w:tc>
      </w:tr>
      <w:tr w:rsidR="006A561B" w14:paraId="57AF9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0996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46-60 days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A7265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1,167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33BF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08A8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5.14%</w:t>
            </w:r>
          </w:p>
        </w:tc>
      </w:tr>
    </w:tbl>
    <w:p w14:paraId="06D10163" w14:textId="364B302A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Cancellation rate is roughly flat/slightly higher at short lead times — the opposite direction from no-shows, which climb steeply at long lead times. Recommend modelling cancellations as a separate target/</w:t>
      </w:r>
      <w:r w:rsidR="00163DE4">
        <w:rPr>
          <w:i/>
          <w:iCs/>
          <w:color w:val="595959"/>
          <w:sz w:val="21"/>
          <w:szCs w:val="21"/>
        </w:rPr>
        <w:t>behavior</w:t>
      </w:r>
      <w:r>
        <w:rPr>
          <w:i/>
          <w:iCs/>
          <w:color w:val="595959"/>
          <w:sz w:val="21"/>
          <w:szCs w:val="21"/>
        </w:rPr>
        <w:t xml:space="preserve"> rather than merging with no-shows, if a c</w:t>
      </w:r>
      <w:r>
        <w:rPr>
          <w:i/>
          <w:iCs/>
          <w:color w:val="595959"/>
          <w:sz w:val="21"/>
          <w:szCs w:val="21"/>
        </w:rPr>
        <w:t>ancellation-specific model is ever developed.</w:t>
      </w:r>
    </w:p>
    <w:p w14:paraId="1B2EDE93" w14:textId="77777777" w:rsidR="006A561B" w:rsidRDefault="00836734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Waiting Time by Outcome</w:t>
      </w:r>
    </w:p>
    <w:p w14:paraId="701D7C4D" w14:textId="77777777" w:rsidR="006A561B" w:rsidRDefault="00836734">
      <w:pPr>
        <w:spacing w:after="140" w:line="270" w:lineRule="auto"/>
      </w:pPr>
      <w:r>
        <w:rPr>
          <w:sz w:val="21"/>
          <w:szCs w:val="21"/>
        </w:rPr>
        <w:t>Average waiting time (from prior visits) is flat across all three outcomes: Attended 24.29 min (n=2,293), No-Show 24.20 min (n=2,386), Cancelled 23.21 min (n=261). No meaningful relation</w:t>
      </w:r>
      <w:r>
        <w:rPr>
          <w:sz w:val="21"/>
          <w:szCs w:val="21"/>
        </w:rPr>
        <w:t>ship — not recommended as a feature.</w:t>
      </w:r>
    </w:p>
    <w:p w14:paraId="36367A14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9. Unusual Patterns, Outliers &amp; Data Quality Issues</w:t>
      </w:r>
    </w:p>
    <w:p w14:paraId="62F61E84" w14:textId="77777777" w:rsidR="006A561B" w:rsidRDefault="00836734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 xml:space="preserve">reminder_channel was initially misread by automated null-detection as ~27% missing. Manual inspection confirmed “None” is a valid, fully populated 4th category (exactly matching reminder_sent = “No”), not missing data. If your pipeline uses automated null </w:t>
      </w:r>
      <w:r>
        <w:rPr>
          <w:sz w:val="21"/>
          <w:szCs w:val="21"/>
        </w:rPr>
        <w:t>detection on the raw CSV, this field should be checked manually before being dropped or imputed.</w:t>
      </w:r>
    </w:p>
    <w:p w14:paraId="16FD9236" w14:textId="77777777" w:rsidR="006A561B" w:rsidRDefault="00836734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>previous_no_shows values of 4 and 5 rest on very small samples (n=12 and n=3 respectively, out of 5,000) and produced unstable rates (50-100%) when split by ti</w:t>
      </w:r>
      <w:r>
        <w:rPr>
          <w:sz w:val="21"/>
          <w:szCs w:val="21"/>
        </w:rPr>
        <w:t>me period. Recommend binning as “3+” rather than using as distinct levels.</w:t>
      </w:r>
    </w:p>
    <w:p w14:paraId="18DED672" w14:textId="397AC599" w:rsidR="006A561B" w:rsidRDefault="00836734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 xml:space="preserve">The </w:t>
      </w:r>
      <w:r w:rsidR="00163DE4">
        <w:rPr>
          <w:sz w:val="21"/>
          <w:szCs w:val="21"/>
        </w:rPr>
        <w:t>8–14-day</w:t>
      </w:r>
      <w:r>
        <w:rPr>
          <w:sz w:val="21"/>
          <w:szCs w:val="21"/>
        </w:rPr>
        <w:t xml:space="preserve"> lead-time band showed a larger-than-expected H1/H2 2025 gap (26.9% vs 38.3%, n≈200 each) — worth a closer look if this band behaves inconsistently in your model's error</w:t>
      </w:r>
      <w:r>
        <w:rPr>
          <w:sz w:val="21"/>
          <w:szCs w:val="21"/>
        </w:rPr>
        <w:t xml:space="preserve"> analysis.</w:t>
      </w:r>
    </w:p>
    <w:p w14:paraId="37D58910" w14:textId="77777777" w:rsidR="006A561B" w:rsidRDefault="00836734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>distance_to_clinic_km (90 records, 1.8%) and waiting_time_minutes (60 records, 1.2%) have small pockets of genuine missing data. Missing-distance records show a no-show rate (52.2%) close to the dataset average, suggesting the missingness is not</w:t>
      </w:r>
      <w:r>
        <w:rPr>
          <w:sz w:val="21"/>
          <w:szCs w:val="21"/>
        </w:rPr>
        <w:t xml:space="preserve"> systematically biased toward high- or low-risk patients.</w:t>
      </w:r>
    </w:p>
    <w:p w14:paraId="15F806C1" w14:textId="04D28C0D" w:rsidR="006A561B" w:rsidRDefault="00836734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>Cancellations (5.26% of all appointments, n=263) behave in the opposite direction from no-shows across lead time — treating them as the same class/target as no-shows would likely blur two distinct p</w:t>
      </w:r>
      <w:r>
        <w:rPr>
          <w:sz w:val="21"/>
          <w:szCs w:val="21"/>
        </w:rPr>
        <w:t xml:space="preserve">atient </w:t>
      </w:r>
      <w:r w:rsidR="00163DE4">
        <w:rPr>
          <w:sz w:val="21"/>
          <w:szCs w:val="21"/>
        </w:rPr>
        <w:t>behaviors</w:t>
      </w:r>
      <w:r>
        <w:rPr>
          <w:sz w:val="21"/>
          <w:szCs w:val="21"/>
        </w:rPr>
        <w:t>.</w:t>
      </w:r>
    </w:p>
    <w:p w14:paraId="6727C8B7" w14:textId="77777777" w:rsidR="006A561B" w:rsidRDefault="00836734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>The dataset is fictional and synthetic; all relationships reported are correlational, not causal.</w:t>
      </w:r>
    </w:p>
    <w:p w14:paraId="7C4C13EE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10. Features We Believe Are Particularly Important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200"/>
      </w:tblGrid>
      <w:tr w:rsidR="006A561B" w14:paraId="49DB30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5908B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6DA5F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438FD" w14:textId="77777777" w:rsidR="006A561B" w:rsidRDefault="00836734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6A561B" w14:paraId="39905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F01F3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booking_lead_days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ABBCB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31F9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Strongest signal (~40pt spread). Usable continuous or banded; both forms showed strong signal.</w:t>
            </w:r>
          </w:p>
        </w:tc>
      </w:tr>
      <w:tr w:rsidR="006A561B" w14:paraId="4B5AF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1C36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previous_no_shows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2797F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BDBC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Strong signal (~24pt spread) for values 0-3. Bin as “3+” — do not use raw 4/5.</w:t>
            </w:r>
          </w:p>
        </w:tc>
      </w:tr>
      <w:tr w:rsidR="006A561B" w14:paraId="79B20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DA420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Combined lead-time + no-show score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43559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F8EB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Effects are additive, not multiplicative — a simple summed risk score is a strong, low-complexity candidate feature.</w:t>
            </w:r>
          </w:p>
        </w:tc>
      </w:tr>
      <w:tr w:rsidR="006A561B" w14:paraId="69256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4DD5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distance_to_clinic_km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C416D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6BEE0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Real, moderate signal (~11pt spread). Missingness appears unbiased.</w:t>
            </w:r>
          </w:p>
        </w:tc>
      </w:tr>
      <w:tr w:rsidR="006A561B" w14:paraId="41EC2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0E29A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reminder_sent / reminder_channel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20516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A005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Moderate signal (~5.6pt spread); the one clinic-controlled lever, useful even if not the strongest raw predictor.</w:t>
            </w:r>
          </w:p>
        </w:tc>
      </w:tr>
      <w:tr w:rsidR="006A561B" w14:paraId="4DD76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C234E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appointment_type, appointment_time, appointment_day, age_group, gender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31F61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4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7C758" w14:textId="77777777" w:rsidR="006A561B" w:rsidRDefault="00836734">
            <w:pPr>
              <w:spacing w:line="250" w:lineRule="auto"/>
            </w:pPr>
            <w:r>
              <w:rPr>
                <w:sz w:val="19"/>
                <w:szCs w:val="19"/>
              </w:rPr>
              <w:t>All under 6-point spread. Including them is unlikely to meaningfully improve performance and adds dimensionality for little gain.</w:t>
            </w:r>
          </w:p>
        </w:tc>
      </w:tr>
    </w:tbl>
    <w:p w14:paraId="5B5E5E08" w14:textId="77777777" w:rsidR="006A561B" w:rsidRDefault="00836734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Next Steps</w:t>
      </w:r>
    </w:p>
    <w:p w14:paraId="4E4A3405" w14:textId="00F75152" w:rsidR="006A561B" w:rsidRDefault="00836734">
      <w:pPr>
        <w:spacing w:after="140" w:line="270" w:lineRule="auto"/>
      </w:pPr>
      <w:r>
        <w:rPr>
          <w:sz w:val="21"/>
          <w:szCs w:val="21"/>
        </w:rPr>
        <w:t>We would welcome your model error patterns — particularly false positives and false negatives — to investigate from the Data Analytics side. If specific segments show elevated error rates, we can run targeted validation on those segments using the same met</w:t>
      </w:r>
      <w:r>
        <w:rPr>
          <w:sz w:val="21"/>
          <w:szCs w:val="21"/>
        </w:rPr>
        <w:t>hodology applied here (</w:t>
      </w:r>
      <w:r w:rsidR="00726999">
        <w:rPr>
          <w:sz w:val="21"/>
          <w:szCs w:val="21"/>
        </w:rPr>
        <w:t>e.g.,</w:t>
      </w:r>
      <w:r>
        <w:rPr>
          <w:sz w:val="21"/>
          <w:szCs w:val="21"/>
        </w:rPr>
        <w:t xml:space="preserve"> time-split stability checks, segment-level sample-size review).</w:t>
      </w:r>
    </w:p>
    <w:p w14:paraId="0FBA78DD" w14:textId="77777777" w:rsidR="006A561B" w:rsidRDefault="00836734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Prepared by: Data Analytics Track — AnalystLab Africa HealthConnect Experience Lab, Week 6.</w:t>
      </w:r>
    </w:p>
    <w:sectPr w:rsidR="006A561B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0DCCA" w14:textId="77777777" w:rsidR="00836734" w:rsidRDefault="00836734">
      <w:r>
        <w:separator/>
      </w:r>
    </w:p>
  </w:endnote>
  <w:endnote w:type="continuationSeparator" w:id="0">
    <w:p w14:paraId="311FED7C" w14:textId="77777777" w:rsidR="00836734" w:rsidRDefault="00836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08620" w14:textId="77777777" w:rsidR="006A561B" w:rsidRDefault="00836734">
    <w:pPr>
      <w:jc w:val="center"/>
    </w:pPr>
    <w:r>
      <w:rPr>
        <w:color w:val="595959"/>
        <w:sz w:val="16"/>
        <w:szCs w:val="16"/>
      </w:rPr>
      <w:t xml:space="preserve">Data Analytics → Data Science –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8440B" w14:textId="77777777" w:rsidR="00836734" w:rsidRDefault="00836734">
      <w:r>
        <w:separator/>
      </w:r>
    </w:p>
  </w:footnote>
  <w:footnote w:type="continuationSeparator" w:id="0">
    <w:p w14:paraId="2176C788" w14:textId="77777777" w:rsidR="00836734" w:rsidRDefault="00836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31170" w14:textId="77777777" w:rsidR="006A561B" w:rsidRDefault="00836734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HealthConnect Experience Lab – Cross-Track Handoff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72FB0"/>
    <w:multiLevelType w:val="hybridMultilevel"/>
    <w:tmpl w:val="3BDE430E"/>
    <w:lvl w:ilvl="0" w:tplc="F04AD0DC">
      <w:start w:val="1"/>
      <w:numFmt w:val="bullet"/>
      <w:lvlText w:val="●"/>
      <w:lvlJc w:val="left"/>
      <w:pPr>
        <w:ind w:left="720" w:hanging="360"/>
      </w:pPr>
    </w:lvl>
    <w:lvl w:ilvl="1" w:tplc="20A25EDC">
      <w:start w:val="1"/>
      <w:numFmt w:val="bullet"/>
      <w:lvlText w:val="○"/>
      <w:lvlJc w:val="left"/>
      <w:pPr>
        <w:ind w:left="1440" w:hanging="360"/>
      </w:pPr>
    </w:lvl>
    <w:lvl w:ilvl="2" w:tplc="968E6E5A">
      <w:start w:val="1"/>
      <w:numFmt w:val="bullet"/>
      <w:lvlText w:val="■"/>
      <w:lvlJc w:val="left"/>
      <w:pPr>
        <w:ind w:left="2160" w:hanging="360"/>
      </w:pPr>
    </w:lvl>
    <w:lvl w:ilvl="3" w:tplc="CBE0D460">
      <w:start w:val="1"/>
      <w:numFmt w:val="bullet"/>
      <w:lvlText w:val="●"/>
      <w:lvlJc w:val="left"/>
      <w:pPr>
        <w:ind w:left="2880" w:hanging="360"/>
      </w:pPr>
    </w:lvl>
    <w:lvl w:ilvl="4" w:tplc="E15C3372">
      <w:start w:val="1"/>
      <w:numFmt w:val="bullet"/>
      <w:lvlText w:val="○"/>
      <w:lvlJc w:val="left"/>
      <w:pPr>
        <w:ind w:left="3600" w:hanging="360"/>
      </w:pPr>
    </w:lvl>
    <w:lvl w:ilvl="5" w:tplc="0FF0B3EC">
      <w:start w:val="1"/>
      <w:numFmt w:val="bullet"/>
      <w:lvlText w:val="■"/>
      <w:lvlJc w:val="left"/>
      <w:pPr>
        <w:ind w:left="4320" w:hanging="360"/>
      </w:pPr>
    </w:lvl>
    <w:lvl w:ilvl="6" w:tplc="05EED06E">
      <w:start w:val="1"/>
      <w:numFmt w:val="bullet"/>
      <w:lvlText w:val="●"/>
      <w:lvlJc w:val="left"/>
      <w:pPr>
        <w:ind w:left="5040" w:hanging="360"/>
      </w:pPr>
    </w:lvl>
    <w:lvl w:ilvl="7" w:tplc="C65C6898">
      <w:start w:val="1"/>
      <w:numFmt w:val="bullet"/>
      <w:lvlText w:val="●"/>
      <w:lvlJc w:val="left"/>
      <w:pPr>
        <w:ind w:left="5760" w:hanging="360"/>
      </w:pPr>
    </w:lvl>
    <w:lvl w:ilvl="8" w:tplc="E64442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3C3DD7"/>
    <w:multiLevelType w:val="hybridMultilevel"/>
    <w:tmpl w:val="5F42E8D6"/>
    <w:lvl w:ilvl="0" w:tplc="ED4C4528">
      <w:start w:val="1"/>
      <w:numFmt w:val="bullet"/>
      <w:lvlText w:val="•"/>
      <w:lvlJc w:val="left"/>
      <w:pPr>
        <w:ind w:left="380" w:hanging="250"/>
      </w:pPr>
    </w:lvl>
    <w:lvl w:ilvl="1" w:tplc="6922C2A4">
      <w:numFmt w:val="decimal"/>
      <w:lvlText w:val=""/>
      <w:lvlJc w:val="left"/>
    </w:lvl>
    <w:lvl w:ilvl="2" w:tplc="AFBEBE46">
      <w:numFmt w:val="decimal"/>
      <w:lvlText w:val=""/>
      <w:lvlJc w:val="left"/>
    </w:lvl>
    <w:lvl w:ilvl="3" w:tplc="0E22A14A">
      <w:numFmt w:val="decimal"/>
      <w:lvlText w:val=""/>
      <w:lvlJc w:val="left"/>
    </w:lvl>
    <w:lvl w:ilvl="4" w:tplc="38881026">
      <w:numFmt w:val="decimal"/>
      <w:lvlText w:val=""/>
      <w:lvlJc w:val="left"/>
    </w:lvl>
    <w:lvl w:ilvl="5" w:tplc="F4E0D77A">
      <w:numFmt w:val="decimal"/>
      <w:lvlText w:val=""/>
      <w:lvlJc w:val="left"/>
    </w:lvl>
    <w:lvl w:ilvl="6" w:tplc="E758DD2A">
      <w:numFmt w:val="decimal"/>
      <w:lvlText w:val=""/>
      <w:lvlJc w:val="left"/>
    </w:lvl>
    <w:lvl w:ilvl="7" w:tplc="348EBBEA">
      <w:numFmt w:val="decimal"/>
      <w:lvlText w:val=""/>
      <w:lvlJc w:val="left"/>
    </w:lvl>
    <w:lvl w:ilvl="8" w:tplc="8CBA23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61B"/>
    <w:rsid w:val="00163DE4"/>
    <w:rsid w:val="006A561B"/>
    <w:rsid w:val="00726999"/>
    <w:rsid w:val="0083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99C6"/>
  <w15:docId w15:val="{A09F4C8A-CE59-4742-A841-ADABF21A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Samson Arawande</cp:lastModifiedBy>
  <cp:revision>2</cp:revision>
  <dcterms:created xsi:type="dcterms:W3CDTF">2026-09-11T09:36:00Z</dcterms:created>
  <dcterms:modified xsi:type="dcterms:W3CDTF">2026-09-11T17:46:00Z</dcterms:modified>
</cp:coreProperties>
</file>