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DF0D5A" w14:textId="77777777" w:rsidR="007D0E92" w:rsidRDefault="00284173">
      <w:pPr>
        <w:spacing w:after="40"/>
        <w:jc w:val="center"/>
      </w:pPr>
      <w:r>
        <w:rPr>
          <w:b/>
          <w:bCs/>
          <w:color w:val="2E74B5"/>
        </w:rPr>
        <w:t>ANALYSTLAB AFRICA</w:t>
      </w:r>
    </w:p>
    <w:p w14:paraId="0D10099E" w14:textId="77777777" w:rsidR="007D0E92" w:rsidRDefault="00284173">
      <w:pPr>
        <w:spacing w:after="200"/>
        <w:jc w:val="center"/>
      </w:pPr>
      <w:r>
        <w:rPr>
          <w:color w:val="595959"/>
          <w:sz w:val="18"/>
          <w:szCs w:val="18"/>
        </w:rPr>
        <w:t xml:space="preserve">Experience Lab Internship </w:t>
      </w:r>
      <w:proofErr w:type="spellStart"/>
      <w:r>
        <w:rPr>
          <w:color w:val="595959"/>
          <w:sz w:val="18"/>
          <w:szCs w:val="18"/>
        </w:rPr>
        <w:t>Programme</w:t>
      </w:r>
      <w:proofErr w:type="spellEnd"/>
    </w:p>
    <w:p w14:paraId="3B4DB6A9" w14:textId="77777777" w:rsidR="007D0E92" w:rsidRDefault="00284173">
      <w:pPr>
        <w:spacing w:after="60"/>
        <w:jc w:val="center"/>
      </w:pPr>
      <w:proofErr w:type="spellStart"/>
      <w:r>
        <w:rPr>
          <w:b/>
          <w:bCs/>
          <w:color w:val="1F3864"/>
          <w:sz w:val="32"/>
          <w:szCs w:val="32"/>
        </w:rPr>
        <w:t>HealthConnect</w:t>
      </w:r>
      <w:proofErr w:type="spellEnd"/>
      <w:r>
        <w:rPr>
          <w:b/>
          <w:bCs/>
          <w:color w:val="1F3864"/>
          <w:sz w:val="32"/>
          <w:szCs w:val="32"/>
        </w:rPr>
        <w:t xml:space="preserve"> Final Analytics &amp; Decision Support Package</w:t>
      </w:r>
    </w:p>
    <w:p w14:paraId="2F653714" w14:textId="77777777" w:rsidR="007D0E92" w:rsidRDefault="00284173">
      <w:pPr>
        <w:spacing w:after="300"/>
        <w:jc w:val="center"/>
      </w:pPr>
      <w:r>
        <w:rPr>
          <w:b/>
          <w:bCs/>
          <w:color w:val="2E74B5"/>
          <w:sz w:val="22"/>
          <w:szCs w:val="22"/>
        </w:rPr>
        <w:t>Week 8: Data Analytics Track — Final Integration &amp; Presentation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300"/>
      </w:tblGrid>
      <w:tr w:rsidR="007D0E92" w14:paraId="41324D3A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200" w:type="dxa"/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8FED142" w14:textId="77777777" w:rsidR="007D0E92" w:rsidRDefault="00284173">
            <w:pPr>
              <w:spacing w:line="250" w:lineRule="auto"/>
            </w:pPr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6300" w:type="dxa"/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2AEA665" w14:textId="77777777" w:rsidR="007D0E92" w:rsidRDefault="00284173">
            <w:pPr>
              <w:spacing w:line="250" w:lineRule="auto"/>
            </w:pPr>
            <w:r>
              <w:rPr>
                <w:b/>
                <w:bCs/>
                <w:color w:val="FFFFFF"/>
              </w:rPr>
              <w:t>Detail</w:t>
            </w:r>
          </w:p>
        </w:tc>
      </w:tr>
      <w:tr w:rsidR="007D0E92" w14:paraId="2B3637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1C9906C" w14:textId="77777777" w:rsidR="007D0E92" w:rsidRDefault="00284173">
            <w:pPr>
              <w:spacing w:line="250" w:lineRule="auto"/>
            </w:pPr>
            <w:r>
              <w:t>Project</w:t>
            </w:r>
          </w:p>
        </w:tc>
        <w:tc>
          <w:tcPr>
            <w:tcW w:w="6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CB65DB7" w14:textId="77777777" w:rsidR="007D0E92" w:rsidRDefault="00284173">
            <w:pPr>
              <w:spacing w:line="250" w:lineRule="auto"/>
            </w:pPr>
            <w:proofErr w:type="spellStart"/>
            <w:r>
              <w:t>HealthConnect</w:t>
            </w:r>
            <w:proofErr w:type="spellEnd"/>
            <w:r>
              <w:t xml:space="preserve"> Clinic Experience Lab</w:t>
            </w:r>
          </w:p>
        </w:tc>
      </w:tr>
      <w:tr w:rsidR="007D0E92" w14:paraId="4DDDD51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shd w:val="clear" w:color="auto" w:fill="F2F6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9FE2903" w14:textId="77777777" w:rsidR="007D0E92" w:rsidRDefault="00284173">
            <w:pPr>
              <w:spacing w:line="250" w:lineRule="auto"/>
            </w:pPr>
            <w:r>
              <w:t>Track</w:t>
            </w:r>
          </w:p>
        </w:tc>
        <w:tc>
          <w:tcPr>
            <w:tcW w:w="6300" w:type="dxa"/>
            <w:shd w:val="clear" w:color="auto" w:fill="F2F6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6783D8C" w14:textId="77777777" w:rsidR="007D0E92" w:rsidRDefault="00284173">
            <w:pPr>
              <w:spacing w:line="250" w:lineRule="auto"/>
            </w:pPr>
            <w:r>
              <w:t>Data Analytics</w:t>
            </w:r>
          </w:p>
        </w:tc>
      </w:tr>
      <w:tr w:rsidR="007D0E92" w14:paraId="4CAE3A3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24493CB" w14:textId="77777777" w:rsidR="007D0E92" w:rsidRDefault="00284173">
            <w:pPr>
              <w:spacing w:line="250" w:lineRule="auto"/>
            </w:pPr>
            <w:r>
              <w:t>Week</w:t>
            </w:r>
          </w:p>
        </w:tc>
        <w:tc>
          <w:tcPr>
            <w:tcW w:w="6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BE6B4AE" w14:textId="77777777" w:rsidR="007D0E92" w:rsidRDefault="00284173">
            <w:pPr>
              <w:spacing w:line="250" w:lineRule="auto"/>
            </w:pPr>
            <w:r>
              <w:t>Week 8 – Final Integration, Presentation &amp; Project Showcase</w:t>
            </w:r>
          </w:p>
        </w:tc>
      </w:tr>
      <w:tr w:rsidR="007D0E92" w14:paraId="00B26B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shd w:val="clear" w:color="auto" w:fill="F2F6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2FB78D7" w14:textId="77777777" w:rsidR="007D0E92" w:rsidRDefault="00284173">
            <w:pPr>
              <w:spacing w:line="250" w:lineRule="auto"/>
            </w:pPr>
            <w:r>
              <w:t>Builds on</w:t>
            </w:r>
          </w:p>
        </w:tc>
        <w:tc>
          <w:tcPr>
            <w:tcW w:w="6300" w:type="dxa"/>
            <w:shd w:val="clear" w:color="auto" w:fill="F2F6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457A06E" w14:textId="77777777" w:rsidR="007D0E92" w:rsidRDefault="00284173">
            <w:pPr>
              <w:spacing w:line="250" w:lineRule="auto"/>
            </w:pPr>
            <w:r>
              <w:t>Weeks 4–7: Problem Understanding through Testing &amp; Validation</w:t>
            </w:r>
          </w:p>
        </w:tc>
      </w:tr>
      <w:tr w:rsidR="007D0E92" w14:paraId="1EBB9ED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7C01DC4" w14:textId="77777777" w:rsidR="007D0E92" w:rsidRDefault="00284173">
            <w:pPr>
              <w:spacing w:line="250" w:lineRule="auto"/>
            </w:pPr>
            <w:r>
              <w:t>Tools</w:t>
            </w:r>
          </w:p>
        </w:tc>
        <w:tc>
          <w:tcPr>
            <w:tcW w:w="6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042D395" w14:textId="77777777" w:rsidR="007D0E92" w:rsidRDefault="00284173">
            <w:pPr>
              <w:spacing w:line="250" w:lineRule="auto"/>
            </w:pPr>
            <w:r>
              <w:t>Microsoft Excel, Power BI</w:t>
            </w:r>
          </w:p>
        </w:tc>
      </w:tr>
      <w:tr w:rsidR="007D0E92" w14:paraId="0B8FD9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shd w:val="clear" w:color="auto" w:fill="F2F6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ECA9D25" w14:textId="214437E6" w:rsidR="007D0E92" w:rsidRDefault="00C50573">
            <w:pPr>
              <w:spacing w:line="250" w:lineRule="auto"/>
            </w:pPr>
            <w:r>
              <w:t xml:space="preserve">Prepared by </w:t>
            </w:r>
          </w:p>
        </w:tc>
        <w:tc>
          <w:tcPr>
            <w:tcW w:w="6300" w:type="dxa"/>
            <w:shd w:val="clear" w:color="auto" w:fill="F2F6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FB44EB" w14:textId="54DA71D7" w:rsidR="007D0E92" w:rsidRDefault="00C50573">
            <w:pPr>
              <w:spacing w:line="250" w:lineRule="auto"/>
            </w:pPr>
            <w:r>
              <w:t>Samson Arawande</w:t>
            </w:r>
          </w:p>
        </w:tc>
      </w:tr>
    </w:tbl>
    <w:p w14:paraId="288CF7C3" w14:textId="77777777" w:rsidR="007D0E92" w:rsidRDefault="007D0E92">
      <w:pPr>
        <w:spacing w:before="400"/>
      </w:pPr>
    </w:p>
    <w:p w14:paraId="4309B314" w14:textId="77777777" w:rsidR="007D0E92" w:rsidRDefault="00284173">
      <w:pPr>
        <w:pStyle w:val="Heading1"/>
        <w:pBdr>
          <w:bottom w:val="single" w:sz="6" w:space="4" w:color="2E74B5"/>
        </w:pBdr>
        <w:spacing w:before="360" w:after="160"/>
      </w:pPr>
      <w:r>
        <w:rPr>
          <w:b/>
          <w:bCs/>
          <w:color w:val="1F3864"/>
          <w:sz w:val="28"/>
          <w:szCs w:val="28"/>
        </w:rPr>
        <w:t>Executive Summary</w:t>
      </w:r>
    </w:p>
    <w:p w14:paraId="6627EBCB" w14:textId="77777777" w:rsidR="007D0E92" w:rsidRDefault="00284173">
      <w:pPr>
        <w:spacing w:after="150" w:line="270" w:lineRule="auto"/>
      </w:pPr>
      <w:proofErr w:type="spellStart"/>
      <w:r>
        <w:rPr>
          <w:sz w:val="22"/>
          <w:szCs w:val="22"/>
        </w:rPr>
        <w:t>HealthConnect</w:t>
      </w:r>
      <w:proofErr w:type="spellEnd"/>
      <w:r>
        <w:rPr>
          <w:sz w:val="22"/>
          <w:szCs w:val="22"/>
        </w:rPr>
        <w:t xml:space="preserve"> Clinic loses nearly half of all scheduled appointments to no-shows (48.46%). This project set out to answer one question: what actually drives that, and what can the clinic do about it?</w:t>
      </w:r>
    </w:p>
    <w:p w14:paraId="248DA94F" w14:textId="77777777" w:rsidR="007D0E92" w:rsidRDefault="00284173">
      <w:pPr>
        <w:spacing w:after="150" w:line="270" w:lineRule="auto"/>
      </w:pPr>
      <w:r>
        <w:rPr>
          <w:sz w:val="22"/>
          <w:szCs w:val="22"/>
        </w:rPr>
        <w:t>After five weeks of analysis, testing, and cross-track v</w:t>
      </w:r>
      <w:r>
        <w:rPr>
          <w:sz w:val="22"/>
          <w:szCs w:val="22"/>
        </w:rPr>
        <w:t>alidation, two factors stand out as the primary, statistically confirmed drivers: how far in advance a patient books (no-show rate climbs from 27.8% to 67.7% as lead time increases) and a patient's own history of missed appointments (43.5% to 68%). Both re</w:t>
      </w:r>
      <w:r>
        <w:rPr>
          <w:sz w:val="22"/>
          <w:szCs w:val="22"/>
        </w:rPr>
        <w:t xml:space="preserve">lationships are statistically significant (p&lt;0.001) and have been validated as stable across two independent time periods. When combined, these two risk factors add together predictably rather than compounding into something worse — meaning </w:t>
      </w:r>
      <w:proofErr w:type="spellStart"/>
      <w:r>
        <w:rPr>
          <w:sz w:val="22"/>
          <w:szCs w:val="22"/>
        </w:rPr>
        <w:t>HealthConnect</w:t>
      </w:r>
      <w:proofErr w:type="spellEnd"/>
      <w:r>
        <w:rPr>
          <w:sz w:val="22"/>
          <w:szCs w:val="22"/>
        </w:rPr>
        <w:t xml:space="preserve"> c</w:t>
      </w:r>
      <w:r>
        <w:rPr>
          <w:sz w:val="22"/>
          <w:szCs w:val="22"/>
        </w:rPr>
        <w:t>an flag its highest-risk patients using a simple, transparent risk score rather than a complex model.</w:t>
      </w:r>
    </w:p>
    <w:p w14:paraId="69A4F804" w14:textId="77777777" w:rsidR="007D0E92" w:rsidRDefault="00284173">
      <w:pPr>
        <w:spacing w:after="150" w:line="270" w:lineRule="auto"/>
      </w:pPr>
      <w:r>
        <w:rPr>
          <w:sz w:val="22"/>
          <w:szCs w:val="22"/>
        </w:rPr>
        <w:t>Five other factors — appointment type, day of week, time of day, age, and gender — were tested and confirmed to have no meaningful effect on attendance. T</w:t>
      </w:r>
      <w:r>
        <w:rPr>
          <w:sz w:val="22"/>
          <w:szCs w:val="22"/>
        </w:rPr>
        <w:t>his is itself a useful, evidence-based finding: it tells the clinic where not to spend limited resources.</w:t>
      </w:r>
    </w:p>
    <w:p w14:paraId="78CB93C2" w14:textId="77777777" w:rsidR="007D0E92" w:rsidRDefault="00284173">
      <w:pPr>
        <w:spacing w:after="150" w:line="270" w:lineRule="auto"/>
      </w:pPr>
      <w:r>
        <w:rPr>
          <w:sz w:val="22"/>
          <w:szCs w:val="22"/>
        </w:rPr>
        <w:t>This analysis was also directly used by a colleague on the Data Science track to inform model feature selection and error analysis — a genuine, eviden</w:t>
      </w:r>
      <w:r>
        <w:rPr>
          <w:sz w:val="22"/>
          <w:szCs w:val="22"/>
        </w:rPr>
        <w:t>ced cross-track collaboration, not just a shared dataset.</w:t>
      </w:r>
    </w:p>
    <w:p w14:paraId="34F05F4E" w14:textId="77777777" w:rsidR="007D0E92" w:rsidRDefault="00284173">
      <w:pPr>
        <w:spacing w:after="150" w:line="270" w:lineRule="auto"/>
      </w:pPr>
      <w:r>
        <w:rPr>
          <w:sz w:val="22"/>
          <w:szCs w:val="22"/>
        </w:rPr>
        <w:t>Full findings, evidence, and five prioritized recommendations follow below.</w:t>
      </w:r>
    </w:p>
    <w:p w14:paraId="0485077C" w14:textId="77777777" w:rsidR="007D0E92" w:rsidRDefault="00284173">
      <w:pPr>
        <w:pStyle w:val="Heading1"/>
        <w:pBdr>
          <w:bottom w:val="single" w:sz="6" w:space="4" w:color="2E74B5"/>
        </w:pBdr>
        <w:spacing w:before="360" w:after="160"/>
      </w:pPr>
      <w:r>
        <w:rPr>
          <w:b/>
          <w:bCs/>
          <w:color w:val="1F3864"/>
          <w:sz w:val="28"/>
          <w:szCs w:val="28"/>
        </w:rPr>
        <w:t>1. Final KPIs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3300"/>
        <w:gridCol w:w="3000"/>
      </w:tblGrid>
      <w:tr w:rsidR="007D0E92" w14:paraId="55A41B4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200" w:type="dxa"/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E7CD2D8" w14:textId="77777777" w:rsidR="007D0E92" w:rsidRDefault="00284173">
            <w:pPr>
              <w:spacing w:line="250" w:lineRule="auto"/>
            </w:pPr>
            <w:r>
              <w:rPr>
                <w:b/>
                <w:bCs/>
                <w:color w:val="FFFFFF"/>
              </w:rPr>
              <w:t>KPI</w:t>
            </w:r>
          </w:p>
        </w:tc>
        <w:tc>
          <w:tcPr>
            <w:tcW w:w="3300" w:type="dxa"/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5B1AE85" w14:textId="77777777" w:rsidR="007D0E92" w:rsidRDefault="00284173">
            <w:pPr>
              <w:spacing w:line="250" w:lineRule="auto"/>
            </w:pPr>
            <w:r>
              <w:rPr>
                <w:b/>
                <w:bCs/>
                <w:color w:val="FFFFFF"/>
              </w:rPr>
              <w:t>Result</w:t>
            </w:r>
          </w:p>
        </w:tc>
        <w:tc>
          <w:tcPr>
            <w:tcW w:w="3000" w:type="dxa"/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C80D624" w14:textId="77777777" w:rsidR="007D0E92" w:rsidRDefault="00284173">
            <w:pPr>
              <w:spacing w:line="250" w:lineRule="auto"/>
            </w:pPr>
            <w:r>
              <w:rPr>
                <w:b/>
                <w:bCs/>
                <w:color w:val="FFFFFF"/>
              </w:rPr>
              <w:t>Statistical Evidence</w:t>
            </w:r>
          </w:p>
        </w:tc>
      </w:tr>
      <w:tr w:rsidR="007D0E92" w14:paraId="1D4D100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3B6C0AB" w14:textId="77777777" w:rsidR="007D0E92" w:rsidRDefault="00284173">
            <w:pPr>
              <w:spacing w:line="250" w:lineRule="auto"/>
            </w:pPr>
            <w:r>
              <w:t>Overall No-Show Rate</w:t>
            </w:r>
          </w:p>
        </w:tc>
        <w:tc>
          <w:tcPr>
            <w:tcW w:w="3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50A261A" w14:textId="77777777" w:rsidR="007D0E92" w:rsidRDefault="00284173">
            <w:pPr>
              <w:spacing w:line="250" w:lineRule="auto"/>
            </w:pPr>
            <w:r>
              <w:t>48.46%</w:t>
            </w:r>
          </w:p>
        </w:tc>
        <w:tc>
          <w:tcPr>
            <w:tcW w:w="30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164A64F" w14:textId="77777777" w:rsidR="007D0E92" w:rsidRDefault="00284173">
            <w:pPr>
              <w:spacing w:line="250" w:lineRule="auto"/>
            </w:pPr>
            <w:r>
              <w:t>Baseline (n=5,000)</w:t>
            </w:r>
          </w:p>
        </w:tc>
      </w:tr>
      <w:tr w:rsidR="007D0E92" w14:paraId="153DA8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shd w:val="clear" w:color="auto" w:fill="F2F6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06B87AC" w14:textId="77777777" w:rsidR="007D0E92" w:rsidRDefault="00284173">
            <w:pPr>
              <w:spacing w:line="250" w:lineRule="auto"/>
            </w:pPr>
            <w:r>
              <w:t>No-Show Rate by Lead-Time Band</w:t>
            </w:r>
          </w:p>
        </w:tc>
        <w:tc>
          <w:tcPr>
            <w:tcW w:w="3300" w:type="dxa"/>
            <w:shd w:val="clear" w:color="auto" w:fill="F2F6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40A9C0" w14:textId="77777777" w:rsidR="007D0E92" w:rsidRDefault="00284173">
            <w:pPr>
              <w:spacing w:line="250" w:lineRule="auto"/>
            </w:pPr>
            <w:r>
              <w:t>27.81% → 67.69%</w:t>
            </w:r>
          </w:p>
        </w:tc>
        <w:tc>
          <w:tcPr>
            <w:tcW w:w="3000" w:type="dxa"/>
            <w:shd w:val="clear" w:color="auto" w:fill="F2F6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3BD038A" w14:textId="77777777" w:rsidR="007D0E92" w:rsidRDefault="00284173">
            <w:pPr>
              <w:spacing w:line="250" w:lineRule="auto"/>
            </w:pPr>
            <w:r>
              <w:t>χ²=364.81, p&lt;0.001; r=0.272</w:t>
            </w:r>
          </w:p>
        </w:tc>
      </w:tr>
      <w:tr w:rsidR="007D0E92" w14:paraId="32C82FD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96FD7F6" w14:textId="77777777" w:rsidR="007D0E92" w:rsidRDefault="00284173">
            <w:pPr>
              <w:spacing w:line="250" w:lineRule="auto"/>
            </w:pPr>
            <w:r>
              <w:t>Repeat No-Show Rate</w:t>
            </w:r>
          </w:p>
        </w:tc>
        <w:tc>
          <w:tcPr>
            <w:tcW w:w="3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2BCE7B6" w14:textId="77777777" w:rsidR="007D0E92" w:rsidRDefault="00284173">
            <w:pPr>
              <w:spacing w:line="250" w:lineRule="auto"/>
            </w:pPr>
            <w:r>
              <w:t>43.51% → 67.95%</w:t>
            </w:r>
          </w:p>
        </w:tc>
        <w:tc>
          <w:tcPr>
            <w:tcW w:w="30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41207F6" w14:textId="77777777" w:rsidR="007D0E92" w:rsidRDefault="00284173">
            <w:pPr>
              <w:spacing w:line="250" w:lineRule="auto"/>
            </w:pPr>
            <w:r>
              <w:t>χ²=80.71, p&lt;0.001; r=0.126</w:t>
            </w:r>
          </w:p>
        </w:tc>
      </w:tr>
      <w:tr w:rsidR="007D0E92" w14:paraId="29A791A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shd w:val="clear" w:color="auto" w:fill="F2F6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4E07C9C" w14:textId="77777777" w:rsidR="007D0E92" w:rsidRDefault="00284173">
            <w:pPr>
              <w:spacing w:line="250" w:lineRule="auto"/>
            </w:pPr>
            <w:r>
              <w:t>Reminder Effectiveness Rate</w:t>
            </w:r>
          </w:p>
        </w:tc>
        <w:tc>
          <w:tcPr>
            <w:tcW w:w="3300" w:type="dxa"/>
            <w:shd w:val="clear" w:color="auto" w:fill="F2F6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3195246" w14:textId="77777777" w:rsidR="007D0E92" w:rsidRDefault="00284173">
            <w:pPr>
              <w:spacing w:line="250" w:lineRule="auto"/>
            </w:pPr>
            <w:r>
              <w:t>SMS 45.75% (best) vs. None 51.39%</w:t>
            </w:r>
          </w:p>
        </w:tc>
        <w:tc>
          <w:tcPr>
            <w:tcW w:w="3000" w:type="dxa"/>
            <w:shd w:val="clear" w:color="auto" w:fill="F2F6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D762CF6" w14:textId="77777777" w:rsidR="007D0E92" w:rsidRDefault="00284173">
            <w:pPr>
              <w:spacing w:line="250" w:lineRule="auto"/>
            </w:pPr>
            <w:r>
              <w:t>Validated, Week 5/6</w:t>
            </w:r>
          </w:p>
        </w:tc>
      </w:tr>
      <w:tr w:rsidR="007D0E92" w14:paraId="7AFF0A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C8B03DE" w14:textId="77777777" w:rsidR="007D0E92" w:rsidRDefault="00284173">
            <w:pPr>
              <w:spacing w:line="250" w:lineRule="auto"/>
            </w:pPr>
            <w:r>
              <w:t>No-Show Rate by Distance Band</w:t>
            </w:r>
          </w:p>
        </w:tc>
        <w:tc>
          <w:tcPr>
            <w:tcW w:w="3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C201379" w14:textId="77777777" w:rsidR="007D0E92" w:rsidRDefault="00284173">
            <w:pPr>
              <w:spacing w:line="250" w:lineRule="auto"/>
            </w:pPr>
            <w:r>
              <w:t>46.45% → 57.76%</w:t>
            </w:r>
          </w:p>
        </w:tc>
        <w:tc>
          <w:tcPr>
            <w:tcW w:w="30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597C8CD" w14:textId="77777777" w:rsidR="007D0E92" w:rsidRDefault="00284173">
            <w:pPr>
              <w:spacing w:line="250" w:lineRule="auto"/>
            </w:pPr>
            <w:r>
              <w:t>Validated, Week 5/6</w:t>
            </w:r>
          </w:p>
        </w:tc>
      </w:tr>
    </w:tbl>
    <w:p w14:paraId="2548B2FD" w14:textId="77777777" w:rsidR="007D0E92" w:rsidRDefault="00284173">
      <w:pPr>
        <w:spacing w:after="150" w:line="270" w:lineRule="auto"/>
      </w:pPr>
      <w:r>
        <w:rPr>
          <w:i/>
          <w:iCs/>
          <w:color w:val="595959"/>
          <w:sz w:val="22"/>
          <w:szCs w:val="22"/>
        </w:rPr>
        <w:t xml:space="preserve">All five KPIs were re-confirmed in Week 7 as time-stable (H1 vs. H2 2025), with one caveat: the </w:t>
      </w:r>
      <w:proofErr w:type="gramStart"/>
      <w:r>
        <w:rPr>
          <w:i/>
          <w:iCs/>
          <w:color w:val="595959"/>
          <w:sz w:val="22"/>
          <w:szCs w:val="22"/>
        </w:rPr>
        <w:t>8-14 day</w:t>
      </w:r>
      <w:proofErr w:type="gramEnd"/>
      <w:r>
        <w:rPr>
          <w:i/>
          <w:iCs/>
          <w:color w:val="595959"/>
          <w:sz w:val="22"/>
          <w:szCs w:val="22"/>
        </w:rPr>
        <w:t xml:space="preserve"> lead-time sub-band shows genuine month-to-month volatility not fully explained by sample size — see Limitations.</w:t>
      </w:r>
    </w:p>
    <w:p w14:paraId="7107535F" w14:textId="77777777" w:rsidR="007D0E92" w:rsidRDefault="00284173">
      <w:pPr>
        <w:pStyle w:val="Heading1"/>
        <w:pBdr>
          <w:bottom w:val="single" w:sz="6" w:space="4" w:color="2E74B5"/>
        </w:pBdr>
        <w:spacing w:before="360" w:after="160"/>
      </w:pPr>
      <w:r>
        <w:rPr>
          <w:b/>
          <w:bCs/>
          <w:color w:val="1F3864"/>
          <w:sz w:val="28"/>
          <w:szCs w:val="28"/>
        </w:rPr>
        <w:t>2. Validated Findings</w:t>
      </w:r>
    </w:p>
    <w:p w14:paraId="41165DF2" w14:textId="77777777" w:rsidR="007D0E92" w:rsidRDefault="00284173">
      <w:pPr>
        <w:pStyle w:val="Heading2"/>
        <w:spacing w:before="220" w:after="110"/>
      </w:pPr>
      <w:r>
        <w:rPr>
          <w:b/>
          <w:bCs/>
          <w:sz w:val="23"/>
          <w:szCs w:val="23"/>
        </w:rPr>
        <w:t>The two confirme</w:t>
      </w:r>
      <w:r>
        <w:rPr>
          <w:b/>
          <w:bCs/>
          <w:sz w:val="23"/>
          <w:szCs w:val="23"/>
        </w:rPr>
        <w:t>d primary drivers</w:t>
      </w:r>
    </w:p>
    <w:p w14:paraId="121EDF43" w14:textId="77777777" w:rsidR="007D0E92" w:rsidRDefault="00284173">
      <w:pPr>
        <w:spacing w:after="150" w:line="270" w:lineRule="auto"/>
      </w:pPr>
      <w:r>
        <w:rPr>
          <w:sz w:val="22"/>
          <w:szCs w:val="22"/>
        </w:rPr>
        <w:t>Booking lead time is the strongest single predictor in the dataset (r=0.272, the highest correlation of any variable tested). Prior no-show history is the second strongest (r=0.126). Both were validated three separate times: in Week 5's i</w:t>
      </w:r>
      <w:r>
        <w:rPr>
          <w:sz w:val="22"/>
          <w:szCs w:val="22"/>
        </w:rPr>
        <w:t>nitial analysis, Week 6's time-split stability check, and Week 7's formal significance testing.</w:t>
      </w:r>
    </w:p>
    <w:p w14:paraId="4567D8B8" w14:textId="77777777" w:rsidR="007D0E92" w:rsidRDefault="00284173">
      <w:pPr>
        <w:pStyle w:val="Heading2"/>
        <w:spacing w:before="220" w:after="110"/>
      </w:pPr>
      <w:r>
        <w:rPr>
          <w:b/>
          <w:bCs/>
          <w:sz w:val="23"/>
          <w:szCs w:val="23"/>
        </w:rPr>
        <w:t>How the two factors combine</w:t>
      </w:r>
    </w:p>
    <w:p w14:paraId="3BF1DA58" w14:textId="77777777" w:rsidR="007D0E92" w:rsidRDefault="00284173">
      <w:pPr>
        <w:spacing w:after="150" w:line="270" w:lineRule="auto"/>
      </w:pPr>
      <w:r>
        <w:rPr>
          <w:sz w:val="22"/>
          <w:szCs w:val="22"/>
        </w:rPr>
        <w:t>Tested directly via an interaction matrix (Lead Time × Prior No-Shows): the two factors combine additively, not multiplicatively. At</w:t>
      </w:r>
      <w:r>
        <w:rPr>
          <w:sz w:val="22"/>
          <w:szCs w:val="22"/>
        </w:rPr>
        <w:t xml:space="preserve"> the highest-risk combination (</w:t>
      </w:r>
      <w:proofErr w:type="gramStart"/>
      <w:r>
        <w:rPr>
          <w:sz w:val="22"/>
          <w:szCs w:val="22"/>
        </w:rPr>
        <w:t>46-60 day</w:t>
      </w:r>
      <w:proofErr w:type="gramEnd"/>
      <w:r>
        <w:rPr>
          <w:sz w:val="22"/>
          <w:szCs w:val="22"/>
        </w:rPr>
        <w:t xml:space="preserve"> lead time, 3+ prior no-shows), the observed rate (91.30%) is within a few points of what simple addition of the two individual effects predicts (~87%). This means a transparent, easy-to-explain risk score — not a bl</w:t>
      </w:r>
      <w:r>
        <w:rPr>
          <w:sz w:val="22"/>
          <w:szCs w:val="22"/>
        </w:rPr>
        <w:t xml:space="preserve">ack-box model — can identify </w:t>
      </w:r>
      <w:proofErr w:type="spellStart"/>
      <w:r>
        <w:rPr>
          <w:sz w:val="22"/>
          <w:szCs w:val="22"/>
        </w:rPr>
        <w:t>HealthConnect's</w:t>
      </w:r>
      <w:proofErr w:type="spellEnd"/>
      <w:r>
        <w:rPr>
          <w:sz w:val="22"/>
          <w:szCs w:val="22"/>
        </w:rPr>
        <w:t xml:space="preserve"> highest-risk patients.</w:t>
      </w:r>
    </w:p>
    <w:p w14:paraId="48523118" w14:textId="77777777" w:rsidR="007D0E92" w:rsidRDefault="00284173">
      <w:pPr>
        <w:pStyle w:val="Heading2"/>
        <w:spacing w:before="220" w:after="110"/>
      </w:pPr>
      <w:r>
        <w:rPr>
          <w:b/>
          <w:bCs/>
          <w:sz w:val="23"/>
          <w:szCs w:val="23"/>
        </w:rPr>
        <w:t>Secondary factors</w:t>
      </w:r>
    </w:p>
    <w:p w14:paraId="1432385E" w14:textId="77777777" w:rsidR="007D0E92" w:rsidRDefault="00284173">
      <w:pPr>
        <w:spacing w:after="150" w:line="270" w:lineRule="auto"/>
      </w:pPr>
      <w:r>
        <w:rPr>
          <w:sz w:val="22"/>
          <w:szCs w:val="22"/>
        </w:rPr>
        <w:t xml:space="preserve">Reminders (particularly SMS) and distance to clinic both show real, moderate effects. Reminders are especially notable as the one factor </w:t>
      </w:r>
      <w:proofErr w:type="spellStart"/>
      <w:r>
        <w:rPr>
          <w:sz w:val="22"/>
          <w:szCs w:val="22"/>
        </w:rPr>
        <w:t>HealthConnect</w:t>
      </w:r>
      <w:proofErr w:type="spellEnd"/>
      <w:r>
        <w:rPr>
          <w:sz w:val="22"/>
          <w:szCs w:val="22"/>
        </w:rPr>
        <w:t xml:space="preserve"> can directly contro</w:t>
      </w:r>
      <w:r>
        <w:rPr>
          <w:sz w:val="22"/>
          <w:szCs w:val="22"/>
        </w:rPr>
        <w:t>l operationally.</w:t>
      </w:r>
    </w:p>
    <w:p w14:paraId="65A92F09" w14:textId="77777777" w:rsidR="007D0E92" w:rsidRDefault="00284173">
      <w:pPr>
        <w:pStyle w:val="Heading2"/>
        <w:spacing w:before="220" w:after="110"/>
      </w:pPr>
      <w:r>
        <w:rPr>
          <w:b/>
          <w:bCs/>
          <w:sz w:val="23"/>
          <w:szCs w:val="23"/>
        </w:rPr>
        <w:t>Confirmed non-drivers</w:t>
      </w:r>
    </w:p>
    <w:p w14:paraId="267E51A6" w14:textId="77777777" w:rsidR="007D0E92" w:rsidRDefault="00284173">
      <w:pPr>
        <w:spacing w:after="150" w:line="270" w:lineRule="auto"/>
      </w:pPr>
      <w:r>
        <w:rPr>
          <w:sz w:val="22"/>
          <w:szCs w:val="22"/>
        </w:rPr>
        <w:t>Appointment type, day of week, time of day, age group, and gender were all tested and show no meaningful variation (each under a 6-point spread) — a validated finding in its own right, not an absence of analysis.</w:t>
      </w:r>
    </w:p>
    <w:p w14:paraId="570F1DED" w14:textId="77777777" w:rsidR="007D0E92" w:rsidRDefault="00284173">
      <w:pPr>
        <w:pStyle w:val="Heading1"/>
        <w:pBdr>
          <w:bottom w:val="single" w:sz="6" w:space="4" w:color="2E74B5"/>
        </w:pBdr>
        <w:spacing w:before="360" w:after="160"/>
      </w:pPr>
      <w:r>
        <w:rPr>
          <w:b/>
          <w:bCs/>
          <w:color w:val="1F3864"/>
          <w:sz w:val="28"/>
          <w:szCs w:val="28"/>
        </w:rPr>
        <w:t>3. K</w:t>
      </w:r>
      <w:r>
        <w:rPr>
          <w:b/>
          <w:bCs/>
          <w:color w:val="1F3864"/>
          <w:sz w:val="28"/>
          <w:szCs w:val="28"/>
        </w:rPr>
        <w:t>ey Visualization: Final Dashboard</w:t>
      </w:r>
    </w:p>
    <w:p w14:paraId="79FBF804" w14:textId="77777777" w:rsidR="007D0E92" w:rsidRDefault="00284173">
      <w:pPr>
        <w:spacing w:after="150" w:line="270" w:lineRule="auto"/>
      </w:pPr>
      <w:r>
        <w:rPr>
          <w:sz w:val="22"/>
          <w:szCs w:val="22"/>
        </w:rPr>
        <w:t xml:space="preserve">The interactive Power BI dashboard was tested and refined through Week 7, including a real consistency bug found and fixed (a filter was silently affecting visuals it shouldn't have). The version below reflects the final, </w:t>
      </w:r>
      <w:r>
        <w:rPr>
          <w:sz w:val="22"/>
          <w:szCs w:val="22"/>
        </w:rPr>
        <w:t>validated state — every figure matches the numbers reported throughout this document.</w:t>
      </w:r>
    </w:p>
    <w:p w14:paraId="5266B95F" w14:textId="77777777" w:rsidR="007D0E92" w:rsidRDefault="00284173">
      <w:pPr>
        <w:spacing w:before="140" w:after="80"/>
        <w:jc w:val="center"/>
      </w:pPr>
      <w:r>
        <w:rPr>
          <w:noProof/>
        </w:rPr>
        <w:drawing>
          <wp:inline distT="0" distB="0" distL="0" distR="0" wp14:anchorId="3DE0D9D8" wp14:editId="7611FE9E">
            <wp:extent cx="5905500" cy="33337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25E88" w14:textId="77777777" w:rsidR="007D0E92" w:rsidRDefault="00284173">
      <w:pPr>
        <w:spacing w:after="220"/>
        <w:jc w:val="center"/>
      </w:pPr>
      <w:r>
        <w:rPr>
          <w:i/>
          <w:iCs/>
          <w:color w:val="595959"/>
          <w:sz w:val="18"/>
          <w:szCs w:val="18"/>
        </w:rPr>
        <w:t xml:space="preserve">Figure 1. </w:t>
      </w:r>
      <w:proofErr w:type="spellStart"/>
      <w:r>
        <w:rPr>
          <w:i/>
          <w:iCs/>
          <w:color w:val="595959"/>
          <w:sz w:val="18"/>
          <w:szCs w:val="18"/>
        </w:rPr>
        <w:t>HealthConnect</w:t>
      </w:r>
      <w:proofErr w:type="spellEnd"/>
      <w:r>
        <w:rPr>
          <w:i/>
          <w:iCs/>
          <w:color w:val="595959"/>
          <w:sz w:val="18"/>
          <w:szCs w:val="18"/>
        </w:rPr>
        <w:t xml:space="preserve"> No-Show Analysis — final validated dashboard, Page 1 (KPI drivers, Combined Risk matrix, monthly trend, outcome breakdown).</w:t>
      </w:r>
    </w:p>
    <w:p w14:paraId="0C516C43" w14:textId="77777777" w:rsidR="007D0E92" w:rsidRDefault="00284173">
      <w:pPr>
        <w:pStyle w:val="Heading1"/>
        <w:pBdr>
          <w:bottom w:val="single" w:sz="6" w:space="4" w:color="2E74B5"/>
        </w:pBdr>
        <w:spacing w:before="360" w:after="160"/>
      </w:pPr>
      <w:r>
        <w:rPr>
          <w:b/>
          <w:bCs/>
          <w:color w:val="1F3864"/>
          <w:sz w:val="28"/>
          <w:szCs w:val="28"/>
        </w:rPr>
        <w:t>4. Business Insights</w:t>
      </w:r>
    </w:p>
    <w:p w14:paraId="2AB30C8D" w14:textId="77777777" w:rsidR="007D0E92" w:rsidRDefault="00284173">
      <w:pPr>
        <w:pStyle w:val="ListParagraph"/>
        <w:numPr>
          <w:ilvl w:val="0"/>
          <w:numId w:val="2"/>
        </w:numPr>
        <w:spacing w:after="90" w:line="270" w:lineRule="auto"/>
      </w:pPr>
      <w:r>
        <w:rPr>
          <w:sz w:val="22"/>
          <w:szCs w:val="22"/>
        </w:rPr>
        <w:t>Booking lead time is the single strongest driver of no-shows — risk more than doubles f</w:t>
      </w:r>
      <w:r>
        <w:rPr>
          <w:sz w:val="22"/>
          <w:szCs w:val="22"/>
        </w:rPr>
        <w:t>rom 27.8% to 67.7% as lead time increases.</w:t>
      </w:r>
    </w:p>
    <w:p w14:paraId="31F53844" w14:textId="77777777" w:rsidR="007D0E92" w:rsidRDefault="00284173">
      <w:pPr>
        <w:pStyle w:val="ListParagraph"/>
        <w:numPr>
          <w:ilvl w:val="0"/>
          <w:numId w:val="2"/>
        </w:numPr>
        <w:spacing w:after="90" w:line="270" w:lineRule="auto"/>
      </w:pPr>
      <w:r>
        <w:rPr>
          <w:sz w:val="22"/>
          <w:szCs w:val="22"/>
        </w:rPr>
        <w:t xml:space="preserve">A patient's own no-show history predicts future </w:t>
      </w:r>
      <w:proofErr w:type="spellStart"/>
      <w:r>
        <w:rPr>
          <w:sz w:val="22"/>
          <w:szCs w:val="22"/>
        </w:rPr>
        <w:t>behaviour</w:t>
      </w:r>
      <w:proofErr w:type="spellEnd"/>
      <w:r>
        <w:rPr>
          <w:sz w:val="22"/>
          <w:szCs w:val="22"/>
        </w:rPr>
        <w:t xml:space="preserve"> — a reliable, evidence-based early-warning signal.</w:t>
      </w:r>
    </w:p>
    <w:p w14:paraId="277C67A4" w14:textId="77777777" w:rsidR="007D0E92" w:rsidRDefault="00284173">
      <w:pPr>
        <w:pStyle w:val="ListParagraph"/>
        <w:numPr>
          <w:ilvl w:val="0"/>
          <w:numId w:val="2"/>
        </w:numPr>
        <w:spacing w:after="90" w:line="270" w:lineRule="auto"/>
      </w:pPr>
      <w:r>
        <w:rPr>
          <w:sz w:val="22"/>
          <w:szCs w:val="22"/>
        </w:rPr>
        <w:t>The two strongest risk factors add together predictably, not multiplicatively — enabling a simple, trans</w:t>
      </w:r>
      <w:r>
        <w:rPr>
          <w:sz w:val="22"/>
          <w:szCs w:val="22"/>
        </w:rPr>
        <w:t>parent combined risk score.</w:t>
      </w:r>
    </w:p>
    <w:p w14:paraId="6AA0B75F" w14:textId="77777777" w:rsidR="007D0E92" w:rsidRDefault="00284173">
      <w:pPr>
        <w:pStyle w:val="ListParagraph"/>
        <w:numPr>
          <w:ilvl w:val="0"/>
          <w:numId w:val="2"/>
        </w:numPr>
        <w:spacing w:after="90" w:line="270" w:lineRule="auto"/>
      </w:pPr>
      <w:r>
        <w:rPr>
          <w:sz w:val="22"/>
          <w:szCs w:val="22"/>
        </w:rPr>
        <w:t xml:space="preserve">Reminders help, and SMS is clearly the most effective channel — the one lever </w:t>
      </w:r>
      <w:proofErr w:type="spellStart"/>
      <w:r>
        <w:rPr>
          <w:sz w:val="22"/>
          <w:szCs w:val="22"/>
        </w:rPr>
        <w:t>HealthConnect</w:t>
      </w:r>
      <w:proofErr w:type="spellEnd"/>
      <w:r>
        <w:rPr>
          <w:sz w:val="22"/>
          <w:szCs w:val="22"/>
        </w:rPr>
        <w:t xml:space="preserve"> fully controls.</w:t>
      </w:r>
    </w:p>
    <w:p w14:paraId="32A7AB94" w14:textId="77777777" w:rsidR="007D0E92" w:rsidRDefault="00284173">
      <w:pPr>
        <w:pStyle w:val="ListParagraph"/>
        <w:numPr>
          <w:ilvl w:val="0"/>
          <w:numId w:val="2"/>
        </w:numPr>
        <w:spacing w:after="90" w:line="270" w:lineRule="auto"/>
      </w:pPr>
      <w:r>
        <w:rPr>
          <w:sz w:val="22"/>
          <w:szCs w:val="22"/>
        </w:rPr>
        <w:t>Distance has a real but secondary effect — worth addressing for the most distant patients specifically.</w:t>
      </w:r>
    </w:p>
    <w:p w14:paraId="656E0E1A" w14:textId="77777777" w:rsidR="007D0E92" w:rsidRDefault="00284173">
      <w:pPr>
        <w:pStyle w:val="ListParagraph"/>
        <w:numPr>
          <w:ilvl w:val="0"/>
          <w:numId w:val="2"/>
        </w:numPr>
        <w:spacing w:after="90" w:line="270" w:lineRule="auto"/>
      </w:pPr>
      <w:r>
        <w:rPr>
          <w:sz w:val="22"/>
          <w:szCs w:val="22"/>
        </w:rPr>
        <w:t>Cancellations an</w:t>
      </w:r>
      <w:r>
        <w:rPr>
          <w:sz w:val="22"/>
          <w:szCs w:val="22"/>
        </w:rPr>
        <w:t xml:space="preserve">d no-shows are different </w:t>
      </w:r>
      <w:proofErr w:type="spellStart"/>
      <w:r>
        <w:rPr>
          <w:sz w:val="22"/>
          <w:szCs w:val="22"/>
        </w:rPr>
        <w:t>behaviours</w:t>
      </w:r>
      <w:proofErr w:type="spellEnd"/>
      <w:r>
        <w:rPr>
          <w:sz w:val="22"/>
          <w:szCs w:val="22"/>
        </w:rPr>
        <w:t xml:space="preserve"> — cancellations peak at short lead times, the opposite pattern from no-shows, and likely need separate interventions.</w:t>
      </w:r>
    </w:p>
    <w:p w14:paraId="4A1FE445" w14:textId="77777777" w:rsidR="007D0E92" w:rsidRDefault="00284173">
      <w:pPr>
        <w:pStyle w:val="ListParagraph"/>
        <w:numPr>
          <w:ilvl w:val="0"/>
          <w:numId w:val="2"/>
        </w:numPr>
        <w:spacing w:after="90" w:line="270" w:lineRule="auto"/>
      </w:pPr>
      <w:r>
        <w:rPr>
          <w:sz w:val="22"/>
          <w:szCs w:val="22"/>
        </w:rPr>
        <w:t>Day, time, age, gender, and appointment type do not meaningfully predict attendance — resources are be</w:t>
      </w:r>
      <w:r>
        <w:rPr>
          <w:sz w:val="22"/>
          <w:szCs w:val="22"/>
        </w:rPr>
        <w:t>tter spent elsewhere.</w:t>
      </w:r>
    </w:p>
    <w:p w14:paraId="44850954" w14:textId="77777777" w:rsidR="007D0E92" w:rsidRDefault="00284173">
      <w:pPr>
        <w:pStyle w:val="Heading1"/>
        <w:pBdr>
          <w:bottom w:val="single" w:sz="6" w:space="4" w:color="2E74B5"/>
        </w:pBdr>
        <w:spacing w:before="360" w:after="160"/>
      </w:pPr>
      <w:r>
        <w:rPr>
          <w:b/>
          <w:bCs/>
          <w:color w:val="1F3864"/>
          <w:sz w:val="28"/>
          <w:szCs w:val="28"/>
        </w:rPr>
        <w:t>5. Business Recommendations</w:t>
      </w:r>
    </w:p>
    <w:p w14:paraId="3EC3A253" w14:textId="77777777" w:rsidR="007D0E92" w:rsidRDefault="00284173">
      <w:pPr>
        <w:pStyle w:val="ListParagraph"/>
        <w:numPr>
          <w:ilvl w:val="0"/>
          <w:numId w:val="3"/>
        </w:numPr>
        <w:spacing w:after="90" w:line="270" w:lineRule="auto"/>
      </w:pPr>
      <w:r>
        <w:rPr>
          <w:sz w:val="22"/>
          <w:szCs w:val="22"/>
        </w:rPr>
        <w:t>Introduce a second, more assertive confirmation touchpoint for appointments booked 30+ days in advance, rather than relying on a single reminder close to the date.</w:t>
      </w:r>
    </w:p>
    <w:p w14:paraId="72371694" w14:textId="77777777" w:rsidR="007D0E92" w:rsidRDefault="00284173">
      <w:pPr>
        <w:pStyle w:val="ListParagraph"/>
        <w:numPr>
          <w:ilvl w:val="0"/>
          <w:numId w:val="3"/>
        </w:numPr>
        <w:spacing w:after="90" w:line="270" w:lineRule="auto"/>
      </w:pPr>
      <w:r>
        <w:rPr>
          <w:sz w:val="22"/>
          <w:szCs w:val="22"/>
        </w:rPr>
        <w:t>Flag patients with 2+ prior no-shows and a</w:t>
      </w:r>
      <w:r>
        <w:rPr>
          <w:sz w:val="22"/>
          <w:szCs w:val="22"/>
        </w:rPr>
        <w:t xml:space="preserve"> 30+ day lead time as “high-priority outreach” — this combined group carries a predictable, quantifiable risk (78-91%) based on the validated additive relationship.</w:t>
      </w:r>
    </w:p>
    <w:p w14:paraId="466A1018" w14:textId="77777777" w:rsidR="007D0E92" w:rsidRDefault="00284173">
      <w:pPr>
        <w:pStyle w:val="ListParagraph"/>
        <w:numPr>
          <w:ilvl w:val="0"/>
          <w:numId w:val="3"/>
        </w:numPr>
        <w:spacing w:after="90" w:line="270" w:lineRule="auto"/>
      </w:pPr>
      <w:r>
        <w:rPr>
          <w:sz w:val="22"/>
          <w:szCs w:val="22"/>
        </w:rPr>
        <w:t>Set SMS as the default reminder channel clinic-wide — expected to reduce the overall no-sho</w:t>
      </w:r>
      <w:r>
        <w:rPr>
          <w:sz w:val="22"/>
          <w:szCs w:val="22"/>
        </w:rPr>
        <w:t>w rate by roughly 3-4 points.</w:t>
      </w:r>
    </w:p>
    <w:p w14:paraId="6DF84AF2" w14:textId="77777777" w:rsidR="007D0E92" w:rsidRDefault="00284173">
      <w:pPr>
        <w:pStyle w:val="ListParagraph"/>
        <w:numPr>
          <w:ilvl w:val="0"/>
          <w:numId w:val="3"/>
        </w:numPr>
        <w:spacing w:after="90" w:line="270" w:lineRule="auto"/>
      </w:pPr>
      <w:r>
        <w:rPr>
          <w:sz w:val="22"/>
          <w:szCs w:val="22"/>
        </w:rPr>
        <w:t>Pilot telehealth for lower-acuity appointment types for patients living 20+ km from the clinic.</w:t>
      </w:r>
    </w:p>
    <w:p w14:paraId="69602B22" w14:textId="77777777" w:rsidR="007D0E92" w:rsidRDefault="00284173">
      <w:pPr>
        <w:pStyle w:val="ListParagraph"/>
        <w:numPr>
          <w:ilvl w:val="0"/>
          <w:numId w:val="3"/>
        </w:numPr>
        <w:spacing w:after="90" w:line="270" w:lineRule="auto"/>
      </w:pPr>
      <w:proofErr w:type="spellStart"/>
      <w:r>
        <w:rPr>
          <w:sz w:val="22"/>
          <w:szCs w:val="22"/>
        </w:rPr>
        <w:t>Deprioritise</w:t>
      </w:r>
      <w:proofErr w:type="spellEnd"/>
      <w:r>
        <w:rPr>
          <w:sz w:val="22"/>
          <w:szCs w:val="22"/>
        </w:rPr>
        <w:t xml:space="preserve"> demographic- or time-slot-based interventions — direct that effort toward recommendations 1-4, which are backed by validated, statistically significant effects.</w:t>
      </w:r>
    </w:p>
    <w:p w14:paraId="2963B60F" w14:textId="77777777" w:rsidR="007D0E92" w:rsidRDefault="00284173">
      <w:pPr>
        <w:spacing w:after="150" w:line="270" w:lineRule="auto"/>
      </w:pPr>
      <w:r>
        <w:rPr>
          <w:i/>
          <w:iCs/>
          <w:color w:val="595959"/>
          <w:sz w:val="22"/>
          <w:szCs w:val="22"/>
        </w:rPr>
        <w:t xml:space="preserve">Additional caveat from Week 7 testing: predictions for patients in the </w:t>
      </w:r>
      <w:proofErr w:type="gramStart"/>
      <w:r>
        <w:rPr>
          <w:i/>
          <w:iCs/>
          <w:color w:val="595959"/>
          <w:sz w:val="22"/>
          <w:szCs w:val="22"/>
        </w:rPr>
        <w:t>15-30 or 31</w:t>
      </w:r>
      <w:r>
        <w:rPr>
          <w:i/>
          <w:iCs/>
          <w:color w:val="595959"/>
          <w:sz w:val="22"/>
          <w:szCs w:val="22"/>
        </w:rPr>
        <w:t>-45 day</w:t>
      </w:r>
      <w:proofErr w:type="gramEnd"/>
      <w:r>
        <w:rPr>
          <w:i/>
          <w:iCs/>
          <w:color w:val="595959"/>
          <w:sz w:val="22"/>
          <w:szCs w:val="22"/>
        </w:rPr>
        <w:t xml:space="preserve"> lead-time bands should be communicated with “moderate confidence,” since these bands sit closest to a 50/50 risk split and are inherently harder to predict precisely than the more extreme bands.</w:t>
      </w:r>
    </w:p>
    <w:p w14:paraId="714C16D7" w14:textId="77777777" w:rsidR="007D0E92" w:rsidRDefault="00284173">
      <w:pPr>
        <w:pStyle w:val="Heading1"/>
        <w:pBdr>
          <w:bottom w:val="single" w:sz="6" w:space="4" w:color="2E74B5"/>
        </w:pBdr>
        <w:spacing w:before="360" w:after="160"/>
      </w:pPr>
      <w:r>
        <w:rPr>
          <w:b/>
          <w:bCs/>
          <w:color w:val="1F3864"/>
          <w:sz w:val="28"/>
          <w:szCs w:val="28"/>
        </w:rPr>
        <w:t>6. Mandatory HC-POD Final Integration</w:t>
      </w:r>
    </w:p>
    <w:p w14:paraId="0F153B8E" w14:textId="77777777" w:rsidR="007D0E92" w:rsidRDefault="00284173">
      <w:pPr>
        <w:spacing w:after="150" w:line="270" w:lineRule="auto"/>
      </w:pPr>
      <w:r>
        <w:rPr>
          <w:sz w:val="22"/>
          <w:szCs w:val="22"/>
        </w:rPr>
        <w:t>This section cl</w:t>
      </w:r>
      <w:r>
        <w:rPr>
          <w:sz w:val="22"/>
          <w:szCs w:val="22"/>
        </w:rPr>
        <w:t>oses the full Week 6–8 collaboration with the Data Science track — a sustained, two-way exchange, not a single handoff.</w:t>
      </w:r>
    </w:p>
    <w:p w14:paraId="3C9A7D65" w14:textId="77777777" w:rsidR="007D0E92" w:rsidRDefault="00284173">
      <w:pPr>
        <w:pStyle w:val="Heading3"/>
        <w:spacing w:before="170" w:after="85"/>
      </w:pPr>
      <w:r>
        <w:rPr>
          <w:b/>
          <w:bCs/>
          <w:color w:val="1F3864"/>
          <w:sz w:val="21"/>
          <w:szCs w:val="21"/>
        </w:rPr>
        <w:t>1. Track collaborated with</w:t>
      </w:r>
    </w:p>
    <w:p w14:paraId="0DC9581F" w14:textId="77777777" w:rsidR="007D0E92" w:rsidRDefault="00284173">
      <w:pPr>
        <w:spacing w:after="150" w:line="270" w:lineRule="auto"/>
      </w:pPr>
      <w:r>
        <w:rPr>
          <w:sz w:val="22"/>
          <w:szCs w:val="22"/>
        </w:rPr>
        <w:t>Data Science.</w:t>
      </w:r>
    </w:p>
    <w:p w14:paraId="00465B3B" w14:textId="77777777" w:rsidR="007D0E92" w:rsidRDefault="00284173">
      <w:pPr>
        <w:pStyle w:val="Heading3"/>
        <w:spacing w:before="170" w:after="85"/>
      </w:pPr>
      <w:r>
        <w:rPr>
          <w:b/>
          <w:bCs/>
          <w:color w:val="1F3864"/>
          <w:sz w:val="21"/>
          <w:szCs w:val="21"/>
        </w:rPr>
        <w:t>2. Project dependency</w:t>
      </w:r>
    </w:p>
    <w:p w14:paraId="2626A23A" w14:textId="77777777" w:rsidR="007D0E92" w:rsidRDefault="00284173">
      <w:pPr>
        <w:spacing w:after="150" w:line="270" w:lineRule="auto"/>
      </w:pPr>
      <w:r>
        <w:rPr>
          <w:sz w:val="22"/>
          <w:szCs w:val="22"/>
        </w:rPr>
        <w:t xml:space="preserve">The Data Science track's model refinement work depended on knowing which </w:t>
      </w:r>
      <w:r>
        <w:rPr>
          <w:sz w:val="22"/>
          <w:szCs w:val="22"/>
        </w:rPr>
        <w:t>features are genuinely predictive of no-shows — evidence only the Data Analytics track's validated, tested findings could provide. In turn, Data Analytics' confidence in its own findings was strengthened by having them independently stress-tested against a</w:t>
      </w:r>
      <w:r>
        <w:rPr>
          <w:sz w:val="22"/>
          <w:szCs w:val="22"/>
        </w:rPr>
        <w:t xml:space="preserve"> real model's error patterns.</w:t>
      </w:r>
    </w:p>
    <w:p w14:paraId="332A62F7" w14:textId="77777777" w:rsidR="007D0E92" w:rsidRDefault="00284173">
      <w:pPr>
        <w:pStyle w:val="Heading3"/>
        <w:spacing w:before="170" w:after="85"/>
      </w:pPr>
      <w:r>
        <w:rPr>
          <w:b/>
          <w:bCs/>
          <w:color w:val="1F3864"/>
          <w:sz w:val="21"/>
          <w:szCs w:val="21"/>
        </w:rPr>
        <w:t>3. Information/output received across the collaboration</w:t>
      </w:r>
    </w:p>
    <w:p w14:paraId="7C236210" w14:textId="77777777" w:rsidR="007D0E92" w:rsidRDefault="00284173">
      <w:pPr>
        <w:pStyle w:val="ListParagraph"/>
        <w:numPr>
          <w:ilvl w:val="0"/>
          <w:numId w:val="4"/>
        </w:numPr>
        <w:spacing w:after="80" w:line="270" w:lineRule="auto"/>
      </w:pPr>
      <w:r>
        <w:rPr>
          <w:sz w:val="22"/>
          <w:szCs w:val="22"/>
        </w:rPr>
        <w:t>Week 6: confirmation of their baseline model context, framing what analytical input would be useful at that stage.</w:t>
      </w:r>
    </w:p>
    <w:p w14:paraId="7475F2D3" w14:textId="77777777" w:rsidR="007D0E92" w:rsidRDefault="00284173">
      <w:pPr>
        <w:pStyle w:val="ListParagraph"/>
        <w:numPr>
          <w:ilvl w:val="0"/>
          <w:numId w:val="4"/>
        </w:numPr>
        <w:spacing w:after="80" w:line="270" w:lineRule="auto"/>
      </w:pPr>
      <w:r>
        <w:rPr>
          <w:sz w:val="22"/>
          <w:szCs w:val="22"/>
        </w:rPr>
        <w:t>Week 6→7: their full model error analysis — confusion matrix, false positive/negative breakdown, and 7 specific validation requests.</w:t>
      </w:r>
    </w:p>
    <w:p w14:paraId="6BF181F5" w14:textId="77777777" w:rsidR="007D0E92" w:rsidRDefault="00284173">
      <w:pPr>
        <w:pStyle w:val="ListParagraph"/>
        <w:numPr>
          <w:ilvl w:val="0"/>
          <w:numId w:val="4"/>
        </w:numPr>
        <w:spacing w:after="80" w:line="270" w:lineRule="auto"/>
      </w:pPr>
      <w:r>
        <w:rPr>
          <w:sz w:val="22"/>
          <w:szCs w:val="22"/>
        </w:rPr>
        <w:t xml:space="preserve">Week 8: </w:t>
      </w:r>
      <w:r>
        <w:rPr>
          <w:sz w:val="22"/>
          <w:szCs w:val="22"/>
        </w:rPr>
        <w:t>an invitation to close the loop on whether this project's guidance measurably improved their final model (their final results pending).</w:t>
      </w:r>
    </w:p>
    <w:p w14:paraId="2B139734" w14:textId="77777777" w:rsidR="007D0E92" w:rsidRDefault="00284173">
      <w:pPr>
        <w:pStyle w:val="Heading3"/>
        <w:spacing w:before="170" w:after="85"/>
      </w:pPr>
      <w:r>
        <w:rPr>
          <w:b/>
          <w:bCs/>
          <w:color w:val="1F3864"/>
          <w:sz w:val="21"/>
          <w:szCs w:val="21"/>
        </w:rPr>
        <w:t>4. Information/output provided across the collaboration</w:t>
      </w:r>
    </w:p>
    <w:p w14:paraId="299C81D4" w14:textId="77777777" w:rsidR="007D0E92" w:rsidRDefault="00284173">
      <w:pPr>
        <w:pStyle w:val="ListParagraph"/>
        <w:numPr>
          <w:ilvl w:val="0"/>
          <w:numId w:val="4"/>
        </w:numPr>
        <w:spacing w:after="80" w:line="270" w:lineRule="auto"/>
      </w:pPr>
      <w:r>
        <w:rPr>
          <w:sz w:val="22"/>
          <w:szCs w:val="22"/>
        </w:rPr>
        <w:t xml:space="preserve">Week 6: a full validated-findings package — feature priorities, </w:t>
      </w:r>
      <w:r>
        <w:rPr>
          <w:sz w:val="22"/>
          <w:szCs w:val="22"/>
        </w:rPr>
        <w:t>data-quality flags, the additive lead-time/history relationship.</w:t>
      </w:r>
    </w:p>
    <w:p w14:paraId="742D76FB" w14:textId="77777777" w:rsidR="007D0E92" w:rsidRDefault="00284173">
      <w:pPr>
        <w:pStyle w:val="ListParagraph"/>
        <w:numPr>
          <w:ilvl w:val="0"/>
          <w:numId w:val="4"/>
        </w:numPr>
        <w:spacing w:after="80" w:line="270" w:lineRule="auto"/>
      </w:pPr>
      <w:r>
        <w:rPr>
          <w:sz w:val="22"/>
          <w:szCs w:val="22"/>
        </w:rPr>
        <w:t xml:space="preserve">Week 7: a statistically rigorous response to all 7 validation requests, with chi-square significance tests and segment-level investigation distinguishing genuine data limitations from likely </w:t>
      </w:r>
      <w:r>
        <w:rPr>
          <w:sz w:val="22"/>
          <w:szCs w:val="22"/>
        </w:rPr>
        <w:t>modelling difficulty.</w:t>
      </w:r>
    </w:p>
    <w:p w14:paraId="0F3A7AA4" w14:textId="77777777" w:rsidR="007D0E92" w:rsidRDefault="00284173">
      <w:pPr>
        <w:pStyle w:val="ListParagraph"/>
        <w:numPr>
          <w:ilvl w:val="0"/>
          <w:numId w:val="4"/>
        </w:numPr>
        <w:spacing w:after="80" w:line="270" w:lineRule="auto"/>
      </w:pPr>
      <w:r>
        <w:rPr>
          <w:sz w:val="22"/>
          <w:szCs w:val="22"/>
        </w:rPr>
        <w:t>Week 8: this final, consolidated Analytics &amp; Decision Support Package, as the definitive reference for their continued work.</w:t>
      </w:r>
    </w:p>
    <w:p w14:paraId="517F9801" w14:textId="77777777" w:rsidR="007D0E92" w:rsidRDefault="00284173">
      <w:pPr>
        <w:pStyle w:val="Heading3"/>
        <w:spacing w:before="170" w:after="85"/>
      </w:pPr>
      <w:r>
        <w:rPr>
          <w:b/>
          <w:bCs/>
          <w:color w:val="1F3864"/>
          <w:sz w:val="21"/>
          <w:szCs w:val="21"/>
        </w:rPr>
        <w:t>5. Integration activity completed</w:t>
      </w:r>
    </w:p>
    <w:p w14:paraId="26F74192" w14:textId="77777777" w:rsidR="007D0E92" w:rsidRDefault="00284173">
      <w:pPr>
        <w:spacing w:after="150" w:line="270" w:lineRule="auto"/>
      </w:pPr>
      <w:r>
        <w:rPr>
          <w:sz w:val="22"/>
          <w:szCs w:val="22"/>
        </w:rPr>
        <w:t>A sustained, two-way exchange across three weeks. Each round built on the l</w:t>
      </w:r>
      <w:r>
        <w:rPr>
          <w:sz w:val="22"/>
          <w:szCs w:val="22"/>
        </w:rPr>
        <w:t>ast: Data Analytics gave feature guidance, Data Science tested it against a real model and reported back where it broke down, and Data Analytics investigated those specific breakdowns with formal statistical methods.</w:t>
      </w:r>
    </w:p>
    <w:p w14:paraId="769B4465" w14:textId="77777777" w:rsidR="007D0E92" w:rsidRDefault="00284173">
      <w:pPr>
        <w:pStyle w:val="Heading3"/>
        <w:spacing w:before="170" w:after="85"/>
      </w:pPr>
      <w:r>
        <w:rPr>
          <w:b/>
          <w:bCs/>
          <w:color w:val="1F3864"/>
          <w:sz w:val="21"/>
          <w:szCs w:val="21"/>
        </w:rPr>
        <w:t>6. What changed as a result</w:t>
      </w:r>
    </w:p>
    <w:p w14:paraId="3D9BC609" w14:textId="77777777" w:rsidR="007D0E92" w:rsidRDefault="00284173">
      <w:pPr>
        <w:spacing w:after="150" w:line="270" w:lineRule="auto"/>
      </w:pPr>
      <w:r>
        <w:rPr>
          <w:sz w:val="22"/>
          <w:szCs w:val="22"/>
        </w:rPr>
        <w:t>Data Scienc</w:t>
      </w:r>
      <w:r>
        <w:rPr>
          <w:sz w:val="22"/>
          <w:szCs w:val="22"/>
        </w:rPr>
        <w:t xml:space="preserve">e's feature engineering was directly shaped by this collaboration — specifically, the recommendation to use a summed risk score instead of an engineered interaction term, and to bin </w:t>
      </w:r>
      <w:proofErr w:type="spellStart"/>
      <w:r>
        <w:rPr>
          <w:sz w:val="22"/>
          <w:szCs w:val="22"/>
        </w:rPr>
        <w:t>previous_no_shows</w:t>
      </w:r>
      <w:proofErr w:type="spellEnd"/>
      <w:r>
        <w:rPr>
          <w:sz w:val="22"/>
          <w:szCs w:val="22"/>
        </w:rPr>
        <w:t xml:space="preserve"> at 3+ rather than treating sparse extreme values as dist</w:t>
      </w:r>
      <w:r>
        <w:rPr>
          <w:sz w:val="22"/>
          <w:szCs w:val="22"/>
        </w:rPr>
        <w:t>inct levels. Data Analytics' own findings gained a stronger evidentiary footing by surviving a genuine, adversarial stress test (another track actively probing for where the analysis broke down), not just internal review.</w:t>
      </w:r>
    </w:p>
    <w:p w14:paraId="1C091E1D" w14:textId="77777777" w:rsidR="007D0E92" w:rsidRDefault="00284173">
      <w:pPr>
        <w:pStyle w:val="Heading3"/>
        <w:spacing w:before="170" w:after="85"/>
      </w:pPr>
      <w:r>
        <w:rPr>
          <w:b/>
          <w:bCs/>
          <w:color w:val="1F3864"/>
          <w:sz w:val="21"/>
          <w:szCs w:val="21"/>
        </w:rPr>
        <w:t>7. Evidence</w:t>
      </w:r>
    </w:p>
    <w:p w14:paraId="24D50605" w14:textId="77777777" w:rsidR="007D0E92" w:rsidRDefault="00284173">
      <w:pPr>
        <w:spacing w:after="150" w:line="270" w:lineRule="auto"/>
      </w:pPr>
      <w:r>
        <w:rPr>
          <w:sz w:val="22"/>
          <w:szCs w:val="22"/>
        </w:rPr>
        <w:t>Three documents across</w:t>
      </w:r>
      <w:r>
        <w:rPr>
          <w:sz w:val="22"/>
          <w:szCs w:val="22"/>
        </w:rPr>
        <w:t xml:space="preserve"> three weeks: HealthConnect_DataAnalytics_to_DataScience_FindingsPackage.docx (Week 6), HealthConnect_Week7_ValidatedFindings_for_DataScience.docx (Week 7), and the Data Science track's own HealthConnect_Week6_DataScience_to_DataAnalytics_CrossTrack_Handof</w:t>
      </w:r>
      <w:r>
        <w:rPr>
          <w:sz w:val="22"/>
          <w:szCs w:val="22"/>
        </w:rPr>
        <w:t>f.docx — a genuine paper trail of exchange, not a single artefact.</w:t>
      </w:r>
    </w:p>
    <w:p w14:paraId="1B54AC3C" w14:textId="77777777" w:rsidR="007D0E92" w:rsidRDefault="00284173">
      <w:pPr>
        <w:pStyle w:val="Heading3"/>
        <w:spacing w:before="170" w:after="85"/>
      </w:pPr>
      <w:r>
        <w:rPr>
          <w:b/>
          <w:bCs/>
          <w:color w:val="1F3864"/>
          <w:sz w:val="21"/>
          <w:szCs w:val="21"/>
        </w:rPr>
        <w:t xml:space="preserve">8. Outcome for the overall </w:t>
      </w:r>
      <w:proofErr w:type="spellStart"/>
      <w:r>
        <w:rPr>
          <w:b/>
          <w:bCs/>
          <w:color w:val="1F3864"/>
          <w:sz w:val="21"/>
          <w:szCs w:val="21"/>
        </w:rPr>
        <w:t>HealthConnect</w:t>
      </w:r>
      <w:proofErr w:type="spellEnd"/>
      <w:r>
        <w:rPr>
          <w:b/>
          <w:bCs/>
          <w:color w:val="1F3864"/>
          <w:sz w:val="21"/>
          <w:szCs w:val="21"/>
        </w:rPr>
        <w:t xml:space="preserve"> project</w:t>
      </w:r>
    </w:p>
    <w:p w14:paraId="1A60390A" w14:textId="77777777" w:rsidR="007D0E92" w:rsidRDefault="00284173">
      <w:pPr>
        <w:spacing w:after="150" w:line="270" w:lineRule="auto"/>
      </w:pPr>
      <w:r>
        <w:rPr>
          <w:sz w:val="22"/>
          <w:szCs w:val="22"/>
        </w:rPr>
        <w:t>The clinic now has both a validated analytical case and a model informed by that validation, rather than two disconnected efforts that happe</w:t>
      </w:r>
      <w:r>
        <w:rPr>
          <w:sz w:val="22"/>
          <w:szCs w:val="22"/>
        </w:rPr>
        <w:t>ned to share a dataset — a concrete example of the multidisciplinary integration this Experience Lab was designed to simulate.</w:t>
      </w:r>
    </w:p>
    <w:p w14:paraId="7878F3CB" w14:textId="77777777" w:rsidR="007D0E92" w:rsidRDefault="00284173">
      <w:pPr>
        <w:pStyle w:val="Heading3"/>
        <w:spacing w:before="170" w:after="85"/>
      </w:pPr>
      <w:r>
        <w:rPr>
          <w:b/>
          <w:bCs/>
          <w:color w:val="1F3864"/>
          <w:sz w:val="21"/>
          <w:szCs w:val="21"/>
        </w:rPr>
        <w:t>9. Remaining dependency</w:t>
      </w:r>
    </w:p>
    <w:p w14:paraId="532DB7AB" w14:textId="77777777" w:rsidR="007D0E92" w:rsidRDefault="00284173">
      <w:pPr>
        <w:spacing w:after="150" w:line="270" w:lineRule="auto"/>
      </w:pPr>
      <w:r>
        <w:rPr>
          <w:sz w:val="22"/>
          <w:szCs w:val="22"/>
        </w:rPr>
        <w:t>Data Science's final model performance results, to confirm whether this collaboration measurably improved</w:t>
      </w:r>
      <w:r>
        <w:rPr>
          <w:sz w:val="22"/>
          <w:szCs w:val="22"/>
        </w:rPr>
        <w:t xml:space="preserve"> their outcome — the one open loop at project close.</w:t>
      </w:r>
    </w:p>
    <w:p w14:paraId="1BEBFDF4" w14:textId="77777777" w:rsidR="007D0E92" w:rsidRDefault="00284173">
      <w:pPr>
        <w:pStyle w:val="Heading1"/>
        <w:pBdr>
          <w:bottom w:val="single" w:sz="6" w:space="4" w:color="2E74B5"/>
        </w:pBdr>
        <w:spacing w:before="360" w:after="160"/>
      </w:pPr>
      <w:r>
        <w:rPr>
          <w:b/>
          <w:bCs/>
          <w:color w:val="1F3864"/>
          <w:sz w:val="28"/>
          <w:szCs w:val="28"/>
        </w:rPr>
        <w:t>7. Analytical Limitations</w:t>
      </w:r>
    </w:p>
    <w:p w14:paraId="477A4385" w14:textId="77777777" w:rsidR="007D0E92" w:rsidRDefault="00284173">
      <w:pPr>
        <w:pStyle w:val="ListParagraph"/>
        <w:numPr>
          <w:ilvl w:val="0"/>
          <w:numId w:val="4"/>
        </w:numPr>
        <w:spacing w:after="80" w:line="270" w:lineRule="auto"/>
      </w:pPr>
      <w:r>
        <w:rPr>
          <w:sz w:val="22"/>
          <w:szCs w:val="22"/>
        </w:rPr>
        <w:t>All relationships reported are correlational, not causal — including the additive lead-time/history finding, which describes how the two effects combine statistically, not why.</w:t>
      </w:r>
    </w:p>
    <w:p w14:paraId="387D22E7" w14:textId="77777777" w:rsidR="007D0E92" w:rsidRDefault="00284173">
      <w:pPr>
        <w:pStyle w:val="ListParagraph"/>
        <w:numPr>
          <w:ilvl w:val="0"/>
          <w:numId w:val="4"/>
        </w:numPr>
        <w:spacing w:after="80" w:line="270" w:lineRule="auto"/>
      </w:pPr>
      <w:r>
        <w:rPr>
          <w:sz w:val="22"/>
          <w:szCs w:val="22"/>
        </w:rPr>
        <w:t xml:space="preserve">The </w:t>
      </w:r>
      <w:proofErr w:type="gramStart"/>
      <w:r>
        <w:rPr>
          <w:sz w:val="22"/>
          <w:szCs w:val="22"/>
        </w:rPr>
        <w:t>8-14 day</w:t>
      </w:r>
      <w:proofErr w:type="gramEnd"/>
      <w:r>
        <w:rPr>
          <w:sz w:val="22"/>
          <w:szCs w:val="22"/>
        </w:rPr>
        <w:t xml:space="preserve"> lead-time band shows genuine month-to-month volatility (21%-50% across the year) that remains unexplained beyond small monthly sample sizes.</w:t>
      </w:r>
    </w:p>
    <w:p w14:paraId="33B0CCBD" w14:textId="77777777" w:rsidR="007D0E92" w:rsidRDefault="00284173">
      <w:pPr>
        <w:pStyle w:val="ListParagraph"/>
        <w:numPr>
          <w:ilvl w:val="0"/>
          <w:numId w:val="4"/>
        </w:numPr>
        <w:spacing w:after="80" w:line="270" w:lineRule="auto"/>
      </w:pPr>
      <w:proofErr w:type="spellStart"/>
      <w:r>
        <w:rPr>
          <w:sz w:val="22"/>
          <w:szCs w:val="22"/>
        </w:rPr>
        <w:t>previous_no_shows</w:t>
      </w:r>
      <w:proofErr w:type="spellEnd"/>
      <w:r>
        <w:rPr>
          <w:sz w:val="22"/>
          <w:szCs w:val="22"/>
        </w:rPr>
        <w:t xml:space="preserve"> values of 4 and 5 rest on very small samples (n=12, n=3) and should not be treated a</w:t>
      </w:r>
      <w:r>
        <w:rPr>
          <w:sz w:val="22"/>
          <w:szCs w:val="22"/>
        </w:rPr>
        <w:t>s reliable distinct levels.</w:t>
      </w:r>
    </w:p>
    <w:p w14:paraId="20AB39D1" w14:textId="77777777" w:rsidR="007D0E92" w:rsidRDefault="00284173">
      <w:pPr>
        <w:pStyle w:val="ListParagraph"/>
        <w:numPr>
          <w:ilvl w:val="0"/>
          <w:numId w:val="4"/>
        </w:numPr>
        <w:spacing w:after="80" w:line="270" w:lineRule="auto"/>
      </w:pPr>
      <w:proofErr w:type="spellStart"/>
      <w:r>
        <w:rPr>
          <w:sz w:val="22"/>
          <w:szCs w:val="22"/>
        </w:rPr>
        <w:t>distance_to_clinic_km</w:t>
      </w:r>
      <w:proofErr w:type="spellEnd"/>
      <w:r>
        <w:rPr>
          <w:sz w:val="22"/>
          <w:szCs w:val="22"/>
        </w:rPr>
        <w:t xml:space="preserve"> and </w:t>
      </w:r>
      <w:proofErr w:type="spellStart"/>
      <w:r>
        <w:rPr>
          <w:sz w:val="22"/>
          <w:szCs w:val="22"/>
        </w:rPr>
        <w:t>waiting_time_minutes</w:t>
      </w:r>
      <w:proofErr w:type="spellEnd"/>
      <w:r>
        <w:rPr>
          <w:sz w:val="22"/>
          <w:szCs w:val="22"/>
        </w:rPr>
        <w:t xml:space="preserve"> carry small pockets of missing data (1.8%, 1.2%) with no </w:t>
      </w:r>
      <w:proofErr w:type="spellStart"/>
      <w:r>
        <w:rPr>
          <w:sz w:val="22"/>
          <w:szCs w:val="22"/>
        </w:rPr>
        <w:t>finalised</w:t>
      </w:r>
      <w:proofErr w:type="spellEnd"/>
      <w:r>
        <w:rPr>
          <w:sz w:val="22"/>
          <w:szCs w:val="22"/>
        </w:rPr>
        <w:t xml:space="preserve"> treatment decision.</w:t>
      </w:r>
    </w:p>
    <w:p w14:paraId="63D5C185" w14:textId="77777777" w:rsidR="007D0E92" w:rsidRDefault="00284173">
      <w:pPr>
        <w:pStyle w:val="ListParagraph"/>
        <w:numPr>
          <w:ilvl w:val="0"/>
          <w:numId w:val="4"/>
        </w:numPr>
        <w:spacing w:after="80" w:line="270" w:lineRule="auto"/>
      </w:pPr>
      <w:r>
        <w:rPr>
          <w:sz w:val="22"/>
          <w:szCs w:val="22"/>
        </w:rPr>
        <w:t>The dataset is fictional and synthetic; findings illustrate realistic dynamics rather than con</w:t>
      </w:r>
      <w:r>
        <w:rPr>
          <w:sz w:val="22"/>
          <w:szCs w:val="22"/>
        </w:rPr>
        <w:t>firming outcomes for a real patient population.</w:t>
      </w:r>
    </w:p>
    <w:p w14:paraId="1A6DE6CE" w14:textId="77777777" w:rsidR="007D0E92" w:rsidRDefault="00284173">
      <w:pPr>
        <w:pStyle w:val="ListParagraph"/>
        <w:numPr>
          <w:ilvl w:val="0"/>
          <w:numId w:val="4"/>
        </w:numPr>
        <w:spacing w:after="80" w:line="270" w:lineRule="auto"/>
      </w:pPr>
      <w:r>
        <w:rPr>
          <w:sz w:val="22"/>
          <w:szCs w:val="22"/>
        </w:rPr>
        <w:t>This is a cross-sectional analysis of a fixed dataset, not a longitudinal study — it cannot show how an individual patient's risk changes over time or in response to an intervention.</w:t>
      </w:r>
    </w:p>
    <w:p w14:paraId="053C3E5D" w14:textId="77777777" w:rsidR="007D0E92" w:rsidRDefault="00284173">
      <w:pPr>
        <w:pStyle w:val="Heading1"/>
        <w:pBdr>
          <w:bottom w:val="single" w:sz="6" w:space="4" w:color="2E74B5"/>
        </w:pBdr>
        <w:spacing w:before="360" w:after="160"/>
      </w:pPr>
      <w:r>
        <w:rPr>
          <w:b/>
          <w:bCs/>
          <w:color w:val="1F3864"/>
          <w:sz w:val="28"/>
          <w:szCs w:val="28"/>
        </w:rPr>
        <w:t>Conclusion</w:t>
      </w:r>
    </w:p>
    <w:p w14:paraId="73311ADF" w14:textId="77777777" w:rsidR="007D0E92" w:rsidRDefault="00284173">
      <w:pPr>
        <w:spacing w:after="150" w:line="270" w:lineRule="auto"/>
      </w:pPr>
      <w:r>
        <w:rPr>
          <w:sz w:val="22"/>
          <w:szCs w:val="22"/>
        </w:rPr>
        <w:t xml:space="preserve">Across eight weeks, this analysis moved from an initial data review to a validated, statistically significant, cross-track-tested set of findings that directly informed another track's modelling work. The core message for </w:t>
      </w:r>
      <w:proofErr w:type="spellStart"/>
      <w:r>
        <w:rPr>
          <w:sz w:val="22"/>
          <w:szCs w:val="22"/>
        </w:rPr>
        <w:t>HealthConnect</w:t>
      </w:r>
      <w:proofErr w:type="spellEnd"/>
      <w:r>
        <w:rPr>
          <w:sz w:val="22"/>
          <w:szCs w:val="22"/>
        </w:rPr>
        <w:t xml:space="preserve"> Clinic is clear and </w:t>
      </w:r>
      <w:r>
        <w:rPr>
          <w:sz w:val="22"/>
          <w:szCs w:val="22"/>
        </w:rPr>
        <w:t>actionable: two identifiable, measurable factors — booking lead time and prior no-show history — drive the majority of preventable no-shows, they combine in a simple, predictable way, and the clinic already has a low-cost lever (SMS reminders) it can deplo</w:t>
      </w:r>
      <w:r>
        <w:rPr>
          <w:sz w:val="22"/>
          <w:szCs w:val="22"/>
        </w:rPr>
        <w:t>y today.</w:t>
      </w:r>
    </w:p>
    <w:sectPr w:rsidR="007D0E92">
      <w:headerReference w:type="default" r:id="rId8"/>
      <w:footerReference w:type="default" r:id="rId9"/>
      <w:pgSz w:w="12240" w:h="15840"/>
      <w:pgMar w:top="1080" w:right="1200" w:bottom="108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94AF84" w14:textId="77777777" w:rsidR="00284173" w:rsidRDefault="00284173">
      <w:r>
        <w:separator/>
      </w:r>
    </w:p>
  </w:endnote>
  <w:endnote w:type="continuationSeparator" w:id="0">
    <w:p w14:paraId="69853741" w14:textId="77777777" w:rsidR="00284173" w:rsidRDefault="002841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B65BB4" w14:textId="77777777" w:rsidR="007D0E92" w:rsidRDefault="00284173">
    <w:pPr>
      <w:jc w:val="center"/>
    </w:pPr>
    <w:r>
      <w:rPr>
        <w:color w:val="595959"/>
        <w:sz w:val="16"/>
        <w:szCs w:val="16"/>
      </w:rPr>
      <w:t xml:space="preserve">Week 8 – Data Analytics Track – Page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>
      <w:rPr>
        <w:color w:val="595959"/>
        <w:sz w:val="16"/>
        <w:szCs w:val="16"/>
      </w:rPr>
      <w:fldChar w:fldCharType="end"/>
    </w:r>
    <w:r>
      <w:rPr>
        <w:color w:val="595959"/>
        <w:sz w:val="16"/>
        <w:szCs w:val="16"/>
      </w:rPr>
      <w:t xml:space="preserve"> of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NUMPAGES</w:instrText>
    </w:r>
    <w:r>
      <w:rPr>
        <w:color w:val="595959"/>
        <w:sz w:val="16"/>
        <w:szCs w:val="16"/>
      </w:rPr>
      <w:fldChar w:fldCharType="separate"/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EA788A" w14:textId="77777777" w:rsidR="00284173" w:rsidRDefault="00284173">
      <w:r>
        <w:separator/>
      </w:r>
    </w:p>
  </w:footnote>
  <w:footnote w:type="continuationSeparator" w:id="0">
    <w:p w14:paraId="65745AAB" w14:textId="77777777" w:rsidR="00284173" w:rsidRDefault="0028417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5188EB" w14:textId="77777777" w:rsidR="007D0E92" w:rsidRDefault="00284173">
    <w:pPr>
      <w:pBdr>
        <w:bottom w:val="single" w:sz="4" w:space="4" w:color="BFBFBF"/>
      </w:pBdr>
      <w:jc w:val="right"/>
    </w:pPr>
    <w:r>
      <w:rPr>
        <w:color w:val="595959"/>
        <w:sz w:val="16"/>
        <w:szCs w:val="16"/>
      </w:rPr>
      <w:t>AnalystLab Africa – HealthConnect Experience Lab – Final Submission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F6054F"/>
    <w:multiLevelType w:val="hybridMultilevel"/>
    <w:tmpl w:val="974A9154"/>
    <w:lvl w:ilvl="0" w:tplc="B068085A">
      <w:start w:val="1"/>
      <w:numFmt w:val="bullet"/>
      <w:lvlText w:val="•"/>
      <w:lvlJc w:val="left"/>
      <w:pPr>
        <w:ind w:left="400" w:hanging="260"/>
      </w:pPr>
    </w:lvl>
    <w:lvl w:ilvl="1" w:tplc="DCF42C24">
      <w:numFmt w:val="decimal"/>
      <w:lvlText w:val=""/>
      <w:lvlJc w:val="left"/>
    </w:lvl>
    <w:lvl w:ilvl="2" w:tplc="AC8C0482">
      <w:numFmt w:val="decimal"/>
      <w:lvlText w:val=""/>
      <w:lvlJc w:val="left"/>
    </w:lvl>
    <w:lvl w:ilvl="3" w:tplc="6268BB0E">
      <w:numFmt w:val="decimal"/>
      <w:lvlText w:val=""/>
      <w:lvlJc w:val="left"/>
    </w:lvl>
    <w:lvl w:ilvl="4" w:tplc="A6F0AEB6">
      <w:numFmt w:val="decimal"/>
      <w:lvlText w:val=""/>
      <w:lvlJc w:val="left"/>
    </w:lvl>
    <w:lvl w:ilvl="5" w:tplc="0D327242">
      <w:numFmt w:val="decimal"/>
      <w:lvlText w:val=""/>
      <w:lvlJc w:val="left"/>
    </w:lvl>
    <w:lvl w:ilvl="6" w:tplc="C9E4A98A">
      <w:numFmt w:val="decimal"/>
      <w:lvlText w:val=""/>
      <w:lvlJc w:val="left"/>
    </w:lvl>
    <w:lvl w:ilvl="7" w:tplc="93DCC878">
      <w:numFmt w:val="decimal"/>
      <w:lvlText w:val=""/>
      <w:lvlJc w:val="left"/>
    </w:lvl>
    <w:lvl w:ilvl="8" w:tplc="1CB0F5F0">
      <w:numFmt w:val="decimal"/>
      <w:lvlText w:val=""/>
      <w:lvlJc w:val="left"/>
    </w:lvl>
  </w:abstractNum>
  <w:abstractNum w:abstractNumId="1" w15:restartNumberingAfterBreak="0">
    <w:nsid w:val="484828AD"/>
    <w:multiLevelType w:val="hybridMultilevel"/>
    <w:tmpl w:val="79D2E78E"/>
    <w:lvl w:ilvl="0" w:tplc="E062D478">
      <w:start w:val="1"/>
      <w:numFmt w:val="bullet"/>
      <w:lvlText w:val="●"/>
      <w:lvlJc w:val="left"/>
      <w:pPr>
        <w:ind w:left="720" w:hanging="360"/>
      </w:pPr>
    </w:lvl>
    <w:lvl w:ilvl="1" w:tplc="9992215C">
      <w:start w:val="1"/>
      <w:numFmt w:val="bullet"/>
      <w:lvlText w:val="○"/>
      <w:lvlJc w:val="left"/>
      <w:pPr>
        <w:ind w:left="1440" w:hanging="360"/>
      </w:pPr>
    </w:lvl>
    <w:lvl w:ilvl="2" w:tplc="17846FD4">
      <w:start w:val="1"/>
      <w:numFmt w:val="bullet"/>
      <w:lvlText w:val="■"/>
      <w:lvlJc w:val="left"/>
      <w:pPr>
        <w:ind w:left="2160" w:hanging="360"/>
      </w:pPr>
    </w:lvl>
    <w:lvl w:ilvl="3" w:tplc="9DA43FD0">
      <w:start w:val="1"/>
      <w:numFmt w:val="bullet"/>
      <w:lvlText w:val="●"/>
      <w:lvlJc w:val="left"/>
      <w:pPr>
        <w:ind w:left="2880" w:hanging="360"/>
      </w:pPr>
    </w:lvl>
    <w:lvl w:ilvl="4" w:tplc="57F6CB3E">
      <w:start w:val="1"/>
      <w:numFmt w:val="bullet"/>
      <w:lvlText w:val="○"/>
      <w:lvlJc w:val="left"/>
      <w:pPr>
        <w:ind w:left="3600" w:hanging="360"/>
      </w:pPr>
    </w:lvl>
    <w:lvl w:ilvl="5" w:tplc="B33CB186">
      <w:start w:val="1"/>
      <w:numFmt w:val="bullet"/>
      <w:lvlText w:val="■"/>
      <w:lvlJc w:val="left"/>
      <w:pPr>
        <w:ind w:left="4320" w:hanging="360"/>
      </w:pPr>
    </w:lvl>
    <w:lvl w:ilvl="6" w:tplc="F1329E5C">
      <w:start w:val="1"/>
      <w:numFmt w:val="bullet"/>
      <w:lvlText w:val="●"/>
      <w:lvlJc w:val="left"/>
      <w:pPr>
        <w:ind w:left="5040" w:hanging="360"/>
      </w:pPr>
    </w:lvl>
    <w:lvl w:ilvl="7" w:tplc="9F3A0880">
      <w:start w:val="1"/>
      <w:numFmt w:val="bullet"/>
      <w:lvlText w:val="●"/>
      <w:lvlJc w:val="left"/>
      <w:pPr>
        <w:ind w:left="5760" w:hanging="360"/>
      </w:pPr>
    </w:lvl>
    <w:lvl w:ilvl="8" w:tplc="62CE011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BE72630"/>
    <w:multiLevelType w:val="hybridMultilevel"/>
    <w:tmpl w:val="4FF86BBA"/>
    <w:lvl w:ilvl="0" w:tplc="1F706BBE">
      <w:start w:val="1"/>
      <w:numFmt w:val="decimal"/>
      <w:lvlText w:val="%1."/>
      <w:lvlJc w:val="left"/>
      <w:pPr>
        <w:ind w:left="420" w:hanging="300"/>
      </w:pPr>
    </w:lvl>
    <w:lvl w:ilvl="1" w:tplc="B9E661DE">
      <w:numFmt w:val="decimal"/>
      <w:lvlText w:val=""/>
      <w:lvlJc w:val="left"/>
    </w:lvl>
    <w:lvl w:ilvl="2" w:tplc="F13C259E">
      <w:numFmt w:val="decimal"/>
      <w:lvlText w:val=""/>
      <w:lvlJc w:val="left"/>
    </w:lvl>
    <w:lvl w:ilvl="3" w:tplc="9F2E52F0">
      <w:numFmt w:val="decimal"/>
      <w:lvlText w:val=""/>
      <w:lvlJc w:val="left"/>
    </w:lvl>
    <w:lvl w:ilvl="4" w:tplc="527CE6D0">
      <w:numFmt w:val="decimal"/>
      <w:lvlText w:val=""/>
      <w:lvlJc w:val="left"/>
    </w:lvl>
    <w:lvl w:ilvl="5" w:tplc="3B08FB8C">
      <w:numFmt w:val="decimal"/>
      <w:lvlText w:val=""/>
      <w:lvlJc w:val="left"/>
    </w:lvl>
    <w:lvl w:ilvl="6" w:tplc="DD86F28E">
      <w:numFmt w:val="decimal"/>
      <w:lvlText w:val=""/>
      <w:lvlJc w:val="left"/>
    </w:lvl>
    <w:lvl w:ilvl="7" w:tplc="FA2E747A">
      <w:numFmt w:val="decimal"/>
      <w:lvlText w:val=""/>
      <w:lvlJc w:val="left"/>
    </w:lvl>
    <w:lvl w:ilvl="8" w:tplc="0F98A9BE">
      <w:numFmt w:val="decimal"/>
      <w:lvlText w:val=""/>
      <w:lvlJc w:val="left"/>
    </w:lvl>
  </w:abstractNum>
  <w:abstractNum w:abstractNumId="3" w15:restartNumberingAfterBreak="0">
    <w:nsid w:val="5A2A4464"/>
    <w:multiLevelType w:val="hybridMultilevel"/>
    <w:tmpl w:val="F1C82F0C"/>
    <w:lvl w:ilvl="0" w:tplc="4B00B036">
      <w:start w:val="1"/>
      <w:numFmt w:val="decimal"/>
      <w:lvlText w:val="%1."/>
      <w:lvlJc w:val="left"/>
      <w:pPr>
        <w:ind w:left="420" w:hanging="300"/>
      </w:pPr>
    </w:lvl>
    <w:lvl w:ilvl="1" w:tplc="8D4AB180">
      <w:numFmt w:val="decimal"/>
      <w:lvlText w:val=""/>
      <w:lvlJc w:val="left"/>
    </w:lvl>
    <w:lvl w:ilvl="2" w:tplc="07A6B536">
      <w:numFmt w:val="decimal"/>
      <w:lvlText w:val=""/>
      <w:lvlJc w:val="left"/>
    </w:lvl>
    <w:lvl w:ilvl="3" w:tplc="86001676">
      <w:numFmt w:val="decimal"/>
      <w:lvlText w:val=""/>
      <w:lvlJc w:val="left"/>
    </w:lvl>
    <w:lvl w:ilvl="4" w:tplc="F4E0D0AC">
      <w:numFmt w:val="decimal"/>
      <w:lvlText w:val=""/>
      <w:lvlJc w:val="left"/>
    </w:lvl>
    <w:lvl w:ilvl="5" w:tplc="F48ADB48">
      <w:numFmt w:val="decimal"/>
      <w:lvlText w:val=""/>
      <w:lvlJc w:val="left"/>
    </w:lvl>
    <w:lvl w:ilvl="6" w:tplc="E78C890E">
      <w:numFmt w:val="decimal"/>
      <w:lvlText w:val=""/>
      <w:lvlJc w:val="left"/>
    </w:lvl>
    <w:lvl w:ilvl="7" w:tplc="48CE93B0">
      <w:numFmt w:val="decimal"/>
      <w:lvlText w:val=""/>
      <w:lvlJc w:val="left"/>
    </w:lvl>
    <w:lvl w:ilvl="8" w:tplc="501CBEA0">
      <w:numFmt w:val="decimal"/>
      <w:lvlText w:val=""/>
      <w:lvlJc w:val="left"/>
    </w:lvl>
  </w:abstractNum>
  <w:abstractNum w:abstractNumId="4" w15:restartNumberingAfterBreak="0">
    <w:nsid w:val="606C64EF"/>
    <w:multiLevelType w:val="hybridMultilevel"/>
    <w:tmpl w:val="FE9AE974"/>
    <w:lvl w:ilvl="0" w:tplc="C2C487AC">
      <w:start w:val="1"/>
      <w:numFmt w:val="decimal"/>
      <w:lvlText w:val="%1."/>
      <w:lvlJc w:val="left"/>
      <w:pPr>
        <w:ind w:left="420" w:hanging="300"/>
      </w:pPr>
    </w:lvl>
    <w:lvl w:ilvl="1" w:tplc="3AF2A2D8">
      <w:numFmt w:val="decimal"/>
      <w:lvlText w:val=""/>
      <w:lvlJc w:val="left"/>
    </w:lvl>
    <w:lvl w:ilvl="2" w:tplc="D0D874A4">
      <w:numFmt w:val="decimal"/>
      <w:lvlText w:val=""/>
      <w:lvlJc w:val="left"/>
    </w:lvl>
    <w:lvl w:ilvl="3" w:tplc="45401184">
      <w:numFmt w:val="decimal"/>
      <w:lvlText w:val=""/>
      <w:lvlJc w:val="left"/>
    </w:lvl>
    <w:lvl w:ilvl="4" w:tplc="36FA6208">
      <w:numFmt w:val="decimal"/>
      <w:lvlText w:val=""/>
      <w:lvlJc w:val="left"/>
    </w:lvl>
    <w:lvl w:ilvl="5" w:tplc="6A80366E">
      <w:numFmt w:val="decimal"/>
      <w:lvlText w:val=""/>
      <w:lvlJc w:val="left"/>
    </w:lvl>
    <w:lvl w:ilvl="6" w:tplc="71368C5A">
      <w:numFmt w:val="decimal"/>
      <w:lvlText w:val=""/>
      <w:lvlJc w:val="left"/>
    </w:lvl>
    <w:lvl w:ilvl="7" w:tplc="C646E402">
      <w:numFmt w:val="decimal"/>
      <w:lvlText w:val=""/>
      <w:lvlJc w:val="left"/>
    </w:lvl>
    <w:lvl w:ilvl="8" w:tplc="B2DA0218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0E92"/>
    <w:rsid w:val="00284173"/>
    <w:rsid w:val="007D0E92"/>
    <w:rsid w:val="00C505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3FAE87"/>
  <w15:docId w15:val="{128EECAA-63F8-49EC-8B71-7F11DA7809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1644</Words>
  <Characters>9375</Characters>
  <Application>Microsoft Office Word</Application>
  <DocSecurity>0</DocSecurity>
  <Lines>78</Lines>
  <Paragraphs>21</Paragraphs>
  <ScaleCrop>false</ScaleCrop>
  <Company/>
  <LinksUpToDate>false</LinksUpToDate>
  <CharactersWithSpaces>10998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Samson Arawande</cp:lastModifiedBy>
  <cp:revision>2</cp:revision>
  <dcterms:created xsi:type="dcterms:W3CDTF">2026-09-26T09:20:00Z</dcterms:created>
  <dcterms:modified xsi:type="dcterms:W3CDTF">2026-09-26T20:00:00Z</dcterms:modified>
</cp:coreProperties>
</file>