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Midvale Community Health Trust — Data Governance Policy (Excerpts)</w:t>
      </w:r>
    </w:p>
    <w:p>
      <w:r>
        <w:rPr>
          <w:i/>
          <w:color w:val="606060"/>
        </w:rPr>
        <w:t>Fictional — for training purposes only</w:t>
      </w:r>
    </w:p>
    <w:p>
      <w:r>
        <w:rPr>
          <w:b/>
        </w:rPr>
        <w:t xml:space="preserve">Version: </w:t>
      </w:r>
      <w:r>
        <w:t xml:space="preserve">2.1   </w:t>
      </w:r>
      <w:r>
        <w:rPr>
          <w:b/>
        </w:rPr>
        <w:t xml:space="preserve">Approved: </w:t>
      </w:r>
      <w:r>
        <w:t xml:space="preserve">March 2024   </w:t>
      </w:r>
      <w:r>
        <w:rPr>
          <w:b/>
        </w:rPr>
        <w:t xml:space="preserve">Review due: </w:t>
      </w:r>
      <w:r>
        <w:t>March 2026</w:t>
      </w:r>
    </w:p>
    <w:p/>
    <w:p>
      <w:pPr>
        <w:pStyle w:val="Heading2"/>
        <w:jc w:val="left"/>
      </w:pPr>
      <w:r>
        <w:t>Section 3 — Data Ownership</w:t>
      </w:r>
    </w:p>
    <w:p>
      <w:r>
        <w:t>Each dataset must have a named data owner at senior management level. Data owners are responsible for approving access requests and ensuring data quality. At the time of writing, data owners have been formally assigned for SystmOne and Datix only. Assignments for RiO, the nursing visit log process, and finance data are outstanding.</w:t>
      </w:r>
    </w:p>
    <w:p/>
    <w:p>
      <w:pPr>
        <w:pStyle w:val="Heading2"/>
        <w:jc w:val="left"/>
      </w:pPr>
      <w:r>
        <w:t>Section 5 — Data Quality</w:t>
      </w:r>
    </w:p>
    <w:p>
      <w:r>
        <w:t>The Trust commits to maintaining data quality standards in line with NHS Data Quality Maturity Index (DQMI) requirements. A data quality dashboard will be implemented by Q3 2024. As of the policy review date, no such dashboard exists. Data quality assessments are conducted on an ad hoc basis in response to specific reporting requests.</w:t>
      </w:r>
    </w:p>
    <w:p/>
    <w:p>
      <w:pPr>
        <w:pStyle w:val="Heading2"/>
        <w:jc w:val="left"/>
      </w:pPr>
      <w:r>
        <w:t>Section 7 — Data Access and Sharing</w:t>
      </w:r>
    </w:p>
    <w:p>
      <w:r>
        <w:t>All requests for data sharing outside the Trust must be approved by the Caldicott Guardian. An information sharing agreement (ISA) must be in place before any data is shared. Three ISAs are currently active (with Midlands Ambulance Service, Midvale Borough Council, and the primary care network). No process exists for reviewing or renewing ISAs at expiry.</w:t>
      </w:r>
    </w:p>
    <w:p/>
    <w:p>
      <w:pPr>
        <w:pStyle w:val="Heading2"/>
        <w:jc w:val="left"/>
      </w:pPr>
      <w:r>
        <w:t>Section 9 — Training and Awareness</w:t>
      </w:r>
    </w:p>
    <w:p>
      <w:r>
        <w:t>All staff with access to patient data are required to complete annual data protection training. Completion rate as of January 2025: 61%. Target: 95%.</w:t>
      </w:r>
    </w:p>
    <w:p/>
    <w:p>
      <w:pPr>
        <w:pStyle w:val="Heading2"/>
        <w:jc w:val="left"/>
      </w:pPr>
      <w:r>
        <w:t>Section 11 — Incident Management</w:t>
      </w:r>
    </w:p>
    <w:p>
      <w:r>
        <w:t>Data incidents must be reported to the Information Governance Lead within 24 hours. All incidents are logged in Datix. Root cause analysis is required for all incidents graded Serious. In the last 12 months, four Serious data incidents were recorded; root cause analysis was completed for two.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