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NHS Data Maturity Framework — Assessment Reference</w:t>
      </w:r>
    </w:p>
    <w:p>
      <w:r>
        <w:rPr>
          <w:i/>
          <w:color w:val="606060"/>
        </w:rPr>
        <w:t>Simplified for training purposes. Based on publicly available NHS frameworks.</w:t>
      </w:r>
    </w:p>
    <w:p/>
    <w:p>
      <w:r>
        <w:t>The framework assesses maturity across six domains on a five-level scale.</w:t>
      </w:r>
    </w:p>
    <w:p>
      <w:pPr>
        <w:pStyle w:val="Heading2"/>
        <w:jc w:val="left"/>
      </w:pPr>
      <w:r>
        <w:t>Level Definitions</w:t>
      </w:r>
    </w:p>
    <w:p>
      <w:r>
        <w:rPr>
          <w:b/>
        </w:rPr>
        <w:t xml:space="preserve">Level 1 — Initial: </w:t>
      </w:r>
      <w:r>
        <w:t>Processes are ad hoc, undocumented, and reliant on individuals. Outcomes are unpredictable.</w:t>
      </w:r>
    </w:p>
    <w:p>
      <w:r>
        <w:rPr>
          <w:b/>
        </w:rPr>
        <w:t xml:space="preserve">Level 2 — Developing: </w:t>
      </w:r>
      <w:r>
        <w:t>Some processes documented and partially followed. Outcomes are inconsistent.</w:t>
      </w:r>
    </w:p>
    <w:p>
      <w:r>
        <w:rPr>
          <w:b/>
        </w:rPr>
        <w:t xml:space="preserve">Level 3 — Defined: </w:t>
      </w:r>
      <w:r>
        <w:t>Processes are documented, standardised, and followed. Outcomes are consistent.</w:t>
      </w:r>
    </w:p>
    <w:p>
      <w:r>
        <w:rPr>
          <w:b/>
        </w:rPr>
        <w:t xml:space="preserve">Level 4 — Managed: </w:t>
      </w:r>
      <w:r>
        <w:t>Processes are measured. Quantitative targets are set and tracked. Data-driven decisions are routine.</w:t>
      </w:r>
    </w:p>
    <w:p>
      <w:r>
        <w:rPr>
          <w:b/>
        </w:rPr>
        <w:t xml:space="preserve">Level 5 — Optimised: </w:t>
      </w:r>
      <w:r>
        <w:t>Continuous improvement is embedded. The organisation proactively improves processes using data.</w:t>
      </w:r>
    </w:p>
    <w:p/>
    <w:p>
      <w:pPr>
        <w:pStyle w:val="Heading2"/>
        <w:jc w:val="left"/>
      </w:pPr>
      <w:r>
        <w:t>Domains</w:t>
      </w:r>
    </w:p>
    <w:p/>
    <w:p>
      <w:pPr>
        <w:pStyle w:val="Heading3"/>
        <w:jc w:val="left"/>
      </w:pPr>
      <w:r>
        <w:t>Domain 1 — Data Governance</w:t>
      </w:r>
    </w:p>
    <w:p>
      <w:r>
        <w:rPr>
          <w:b/>
        </w:rPr>
        <w:t xml:space="preserve">Evidence required: </w:t>
      </w:r>
      <w:r>
        <w:t>Formal data ownership assignments for all key datasets; active data governance board or equivalent; documented and enforced data policies; incident management with root cause analysis; ISA management process.</w:t>
      </w:r>
    </w:p>
    <w:p/>
    <w:p>
      <w:pPr>
        <w:pStyle w:val="Heading3"/>
        <w:jc w:val="left"/>
      </w:pPr>
      <w:r>
        <w:t>Domain 2 — Data Quality</w:t>
      </w:r>
    </w:p>
    <w:p>
      <w:r>
        <w:rPr>
          <w:b/>
        </w:rPr>
        <w:t xml:space="preserve">Evidence required: </w:t>
      </w:r>
      <w:r>
        <w:t>Defined data quality dimensions (completeness, accuracy, timeliness, consistency); automated quality monitoring; regular quality reporting to board level; documented remediation process; linkage between quality findings and operational action.</w:t>
      </w:r>
    </w:p>
    <w:p/>
    <w:p>
      <w:pPr>
        <w:pStyle w:val="Heading3"/>
        <w:jc w:val="left"/>
      </w:pPr>
      <w:r>
        <w:t>Domain 3 — Data Architecture and Integration</w:t>
      </w:r>
    </w:p>
    <w:p>
      <w:r>
        <w:rPr>
          <w:b/>
        </w:rPr>
        <w:t xml:space="preserve">Evidence required: </w:t>
      </w:r>
      <w:r>
        <w:t>Documented data architecture; standardised data models; integration between clinical systems; elimination of manual data transfers; use of NHS-recognised standards (SNOMED, FHIR, NHS number as primary key).</w:t>
      </w:r>
    </w:p>
    <w:p/>
    <w:p>
      <w:pPr>
        <w:pStyle w:val="Heading3"/>
        <w:jc w:val="left"/>
      </w:pPr>
      <w:r>
        <w:t>Domain 4 — Analytics and Reporting</w:t>
      </w:r>
    </w:p>
    <w:p>
      <w:r>
        <w:rPr>
          <w:b/>
        </w:rPr>
        <w:t xml:space="preserve">Evidence required: </w:t>
      </w:r>
      <w:r>
        <w:t>Automated reporting pipelines; self-service analytics capability for operational teams; forward-looking analytics (trends, forecasting); defined KPIs with accountability.</w:t>
      </w:r>
    </w:p>
    <w:p/>
    <w:p>
      <w:pPr>
        <w:pStyle w:val="Heading3"/>
        <w:jc w:val="left"/>
      </w:pPr>
      <w:r>
        <w:t>Domain 5 — Workforce and Culture</w:t>
      </w:r>
    </w:p>
    <w:p>
      <w:r>
        <w:rPr>
          <w:b/>
        </w:rPr>
        <w:t xml:space="preserve">Evidence required: </w:t>
      </w:r>
      <w:r>
        <w:t>Defined data literacy training; completion rates above 90%; named data roles (data owners, stewards, analysts); data considered in operational planning and decisions.</w:t>
      </w:r>
    </w:p>
    <w:p/>
    <w:p>
      <w:pPr>
        <w:pStyle w:val="Heading3"/>
        <w:jc w:val="left"/>
      </w:pPr>
      <w:r>
        <w:t>Domain 6 — Information Governance and Security</w:t>
      </w:r>
    </w:p>
    <w:p>
      <w:r>
        <w:rPr>
          <w:b/>
        </w:rPr>
        <w:t xml:space="preserve">Evidence required: </w:t>
      </w:r>
      <w:r>
        <w:t>DSPT compliance with accurate self-assessment; current ISAs with renewal tracking; Caldicott principles embedded; annual audit of access controls; staff completion of mandatory IG training above 90%.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