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Midvale Community Health Trust — Organisational Profile</w:t>
      </w:r>
    </w:p>
    <w:p>
      <w:r>
        <w:rPr>
          <w:i/>
          <w:color w:val="606060"/>
        </w:rPr>
        <w:t>Fictional — for training purposes only</w:t>
      </w:r>
    </w:p>
    <w:p/>
    <w:p>
      <w:r>
        <w:t>Midvale Community Health Trust serves a mixed urban and rural population of approximately 280,000 people across three borough areas in the East Midlands. The Trust operates seven community health centres, two mental health outreach teams, and a shared district nursing service.</w:t>
      </w:r>
    </w:p>
    <w:p>
      <w:r>
        <w:rPr>
          <w:b/>
        </w:rPr>
        <w:t xml:space="preserve">Staff: </w:t>
      </w:r>
      <w:r>
        <w:t>Approximately 1,400 clinical and administrative staff</w:t>
      </w:r>
    </w:p>
    <w:p/>
    <w:p>
      <w:pPr>
        <w:pStyle w:val="Heading2"/>
        <w:jc w:val="left"/>
      </w:pPr>
      <w:r>
        <w:t>Current Digital Environment</w:t>
      </w:r>
    </w:p>
    <w:p>
      <w:r>
        <w:rPr>
          <w:b/>
        </w:rPr>
        <w:t xml:space="preserve">Primary clinical system: </w:t>
      </w:r>
      <w:r>
        <w:t>SystmOne (community version), deployed in 2019</w:t>
      </w:r>
    </w:p>
    <w:p>
      <w:r>
        <w:rPr>
          <w:b/>
        </w:rPr>
        <w:t xml:space="preserve">Secondary system: </w:t>
      </w:r>
      <w:r>
        <w:t>Legacy RiO instance for mental health, scheduled for decommission in 2026</w:t>
      </w:r>
    </w:p>
    <w:p>
      <w:r>
        <w:rPr>
          <w:b/>
        </w:rPr>
        <w:t xml:space="preserve">Patient administration: </w:t>
      </w:r>
      <w:r>
        <w:t>A locally built Access database maintained by one administrator</w:t>
      </w:r>
    </w:p>
    <w:p>
      <w:r>
        <w:rPr>
          <w:b/>
        </w:rPr>
        <w:t xml:space="preserve">Reporting: </w:t>
      </w:r>
      <w:r>
        <w:t>Manual extraction to Excel by the BI analyst team (team of 3)</w:t>
      </w:r>
    </w:p>
    <w:p>
      <w:r>
        <w:rPr>
          <w:b/>
        </w:rPr>
        <w:t xml:space="preserve">Data warehouse: </w:t>
      </w:r>
      <w:r>
        <w:t>None. All reporting is point-in-time extracts.</w:t>
      </w:r>
    </w:p>
    <w:p/>
    <w:p>
      <w:pPr>
        <w:pStyle w:val="Heading2"/>
        <w:jc w:val="left"/>
      </w:pPr>
      <w:r>
        <w:t>Strategic Direction</w:t>
      </w:r>
    </w:p>
    <w:p>
      <w:r>
        <w:t>The Trust has signed a Memorandum of Understanding to join the Midlands Integrated Care System (ICS) data sharing agreement by April 2027. A condition of joining is achieving Level 3 on the NHS Data Maturity Framework across all six domains by that date.</w:t>
      </w:r>
    </w:p>
    <w:p/>
    <w:p>
      <w:pPr>
        <w:pStyle w:val="Heading2"/>
        <w:jc w:val="left"/>
      </w:pPr>
      <w:r>
        <w:t>Current Assessed Level</w:t>
      </w:r>
    </w:p>
    <w:p>
      <w:r>
        <w:t>Self-assessed at Level 1–2 across most domains. No independent assessment has been conducted.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