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A0C80D" w14:textId="431A01C2" w:rsidR="00AB7649" w:rsidRDefault="003D7281" w:rsidP="00CB6944">
      <w:pPr>
        <w:jc w:val="center"/>
        <w:rPr>
          <w:b/>
          <w:bCs/>
        </w:rPr>
      </w:pPr>
      <w:r w:rsidRPr="00CB6944">
        <w:rPr>
          <w:b/>
          <w:bCs/>
        </w:rPr>
        <w:t>INCLUSION FINANCIERA</w:t>
      </w:r>
    </w:p>
    <w:p w14:paraId="60954BA3" w14:textId="2B9D14A0" w:rsidR="008C5686" w:rsidRPr="008C5686" w:rsidRDefault="008C5686" w:rsidP="00CB6944">
      <w:pPr>
        <w:jc w:val="center"/>
        <w:rPr>
          <w:b/>
          <w:bCs/>
          <w:color w:val="FF0000"/>
        </w:rPr>
      </w:pPr>
      <w:r w:rsidRPr="008C5686">
        <w:rPr>
          <w:b/>
          <w:bCs/>
          <w:color w:val="FF0000"/>
        </w:rPr>
        <w:t>CARPETA REVISION TESIS, ARTICULOS Y LITERATURA</w:t>
      </w:r>
    </w:p>
    <w:p w14:paraId="17E1F6BA" w14:textId="4BDCAE1F" w:rsidR="001B3D5F" w:rsidRPr="008C5686" w:rsidRDefault="001B3D5F" w:rsidP="001B3D5F">
      <w:pPr>
        <w:pStyle w:val="Prrafodelista"/>
        <w:numPr>
          <w:ilvl w:val="0"/>
          <w:numId w:val="6"/>
        </w:numPr>
        <w:ind w:left="426"/>
        <w:rPr>
          <w:highlight w:val="yellow"/>
        </w:rPr>
      </w:pPr>
      <w:r w:rsidRPr="008C5686">
        <w:rPr>
          <w:b/>
          <w:bCs/>
          <w:highlight w:val="yellow"/>
        </w:rPr>
        <w:t>Título:</w:t>
      </w:r>
      <w:r w:rsidRPr="008C5686">
        <w:rPr>
          <w:highlight w:val="yellow"/>
        </w:rPr>
        <w:t xml:space="preserve"> </w:t>
      </w:r>
      <w:r w:rsidR="000D435F" w:rsidRPr="008C5686">
        <w:rPr>
          <w:highlight w:val="yellow"/>
        </w:rPr>
        <w:t>Reporte de Inclusión Financiera 2023</w:t>
      </w:r>
    </w:p>
    <w:p w14:paraId="52C2FAF0" w14:textId="3B6A7681" w:rsidR="001B3D5F" w:rsidRPr="003D7281" w:rsidRDefault="001B3D5F" w:rsidP="001809F4">
      <w:pPr>
        <w:ind w:left="1416" w:hanging="1416"/>
      </w:pPr>
      <w:r w:rsidRPr="003D7281">
        <w:rPr>
          <w:b/>
          <w:bCs/>
        </w:rPr>
        <w:t>Fuente:</w:t>
      </w:r>
      <w:r w:rsidRPr="003D7281">
        <w:t xml:space="preserve"> </w:t>
      </w:r>
      <w:r>
        <w:t>Banca de las oportunidades</w:t>
      </w:r>
      <w:r w:rsidR="001809F4">
        <w:t xml:space="preserve"> </w:t>
      </w:r>
    </w:p>
    <w:p w14:paraId="1D2199F6" w14:textId="69864F0B" w:rsidR="001B3D5F" w:rsidRPr="00870660" w:rsidRDefault="001B3D5F" w:rsidP="001B3D5F">
      <w:proofErr w:type="gramStart"/>
      <w:r w:rsidRPr="00870660">
        <w:rPr>
          <w:b/>
        </w:rPr>
        <w:t>Link</w:t>
      </w:r>
      <w:proofErr w:type="gramEnd"/>
      <w:r w:rsidRPr="00870660">
        <w:rPr>
          <w:b/>
        </w:rPr>
        <w:t>:</w:t>
      </w:r>
      <w:r w:rsidRPr="00870660">
        <w:t xml:space="preserve"> </w:t>
      </w:r>
      <w:hyperlink r:id="rId8" w:history="1">
        <w:r w:rsidR="00715FB3" w:rsidRPr="00715FB3">
          <w:rPr>
            <w:rStyle w:val="Hipervnculo"/>
          </w:rPr>
          <w:t>Reportes anuales (bancadelasoportunidades.gov.co)</w:t>
        </w:r>
      </w:hyperlink>
      <w:r w:rsidR="007D14ED">
        <w:t xml:space="preserve"> </w:t>
      </w:r>
    </w:p>
    <w:p w14:paraId="0D85AED4" w14:textId="76BE080C" w:rsidR="001B3D5F" w:rsidRDefault="001B3D5F" w:rsidP="001B3D5F">
      <w:pPr>
        <w:pBdr>
          <w:bottom w:val="single" w:sz="12" w:space="1" w:color="auto"/>
        </w:pBdr>
        <w:rPr>
          <w:b/>
          <w:bCs/>
        </w:rPr>
      </w:pPr>
      <w:r w:rsidRPr="001B3D5F">
        <w:rPr>
          <w:b/>
          <w:bCs/>
        </w:rPr>
        <w:t>Contenido</w:t>
      </w:r>
      <w:r w:rsidR="00715FB3">
        <w:rPr>
          <w:b/>
          <w:bCs/>
        </w:rPr>
        <w:t>:</w:t>
      </w:r>
    </w:p>
    <w:p w14:paraId="1EECE0D3" w14:textId="77777777" w:rsidR="00715FB3" w:rsidRDefault="00715FB3" w:rsidP="001B3D5F">
      <w:pPr>
        <w:pBdr>
          <w:bottom w:val="single" w:sz="12" w:space="1" w:color="auto"/>
        </w:pBdr>
        <w:rPr>
          <w:b/>
          <w:bCs/>
        </w:rPr>
      </w:pPr>
    </w:p>
    <w:p w14:paraId="35018F44" w14:textId="77777777" w:rsidR="001B3D5F" w:rsidRPr="001B3D5F" w:rsidRDefault="001B3D5F" w:rsidP="001B3D5F">
      <w:pPr>
        <w:pStyle w:val="Prrafodelista"/>
        <w:ind w:left="426"/>
      </w:pPr>
    </w:p>
    <w:p w14:paraId="34E4FDED" w14:textId="211E9183" w:rsidR="00870660" w:rsidRPr="008C5686" w:rsidRDefault="00870660" w:rsidP="00094DF3">
      <w:pPr>
        <w:pStyle w:val="Prrafodelista"/>
        <w:numPr>
          <w:ilvl w:val="0"/>
          <w:numId w:val="6"/>
        </w:numPr>
        <w:ind w:left="426"/>
        <w:rPr>
          <w:b/>
          <w:bCs/>
          <w:highlight w:val="yellow"/>
        </w:rPr>
      </w:pPr>
      <w:r w:rsidRPr="008C5686">
        <w:rPr>
          <w:b/>
          <w:bCs/>
          <w:highlight w:val="yellow"/>
        </w:rPr>
        <w:t>Título: Encuesta de Demanda de Inclusión Financiera 2022 – buscar 202</w:t>
      </w:r>
      <w:r w:rsidR="00593A63" w:rsidRPr="008C5686">
        <w:rPr>
          <w:b/>
          <w:bCs/>
          <w:highlight w:val="yellow"/>
        </w:rPr>
        <w:t>3</w:t>
      </w:r>
    </w:p>
    <w:p w14:paraId="4FEE3DDF" w14:textId="77777777" w:rsidR="00870660" w:rsidRPr="003D7281" w:rsidRDefault="00870660" w:rsidP="00870660">
      <w:r w:rsidRPr="003D7281">
        <w:rPr>
          <w:b/>
          <w:bCs/>
        </w:rPr>
        <w:t>Fuente:</w:t>
      </w:r>
      <w:r w:rsidRPr="003D7281">
        <w:t xml:space="preserve"> </w:t>
      </w:r>
      <w:r>
        <w:t>Banca de las oportunidades</w:t>
      </w:r>
    </w:p>
    <w:p w14:paraId="01C86683" w14:textId="77777777" w:rsidR="00870660" w:rsidRPr="00C97C2B" w:rsidRDefault="00870660" w:rsidP="00870660">
      <w:proofErr w:type="gramStart"/>
      <w:r w:rsidRPr="00C97C2B">
        <w:rPr>
          <w:b/>
        </w:rPr>
        <w:t>Link</w:t>
      </w:r>
      <w:proofErr w:type="gramEnd"/>
      <w:r w:rsidRPr="00C97C2B">
        <w:rPr>
          <w:b/>
        </w:rPr>
        <w:t>:</w:t>
      </w:r>
      <w:r w:rsidRPr="00C97C2B">
        <w:t xml:space="preserve"> </w:t>
      </w:r>
      <w:hyperlink r:id="rId9" w:history="1">
        <w:r w:rsidRPr="00C97C2B">
          <w:rPr>
            <w:rStyle w:val="Hipervnculo"/>
          </w:rPr>
          <w:t>https://www.bancadelasoportunidades.gov.co/es/publicaciones/encuestas-de-demanda</w:t>
        </w:r>
      </w:hyperlink>
    </w:p>
    <w:p w14:paraId="0011628C" w14:textId="77777777" w:rsidR="00870660" w:rsidRPr="00946B6B" w:rsidRDefault="00000000" w:rsidP="00870660">
      <w:hyperlink r:id="rId10" w:history="1">
        <w:r w:rsidR="00870660" w:rsidRPr="00946B6B">
          <w:rPr>
            <w:rStyle w:val="Hipervnculo"/>
          </w:rPr>
          <w:t>Estudio de demanda (superfinanciera.gov.co)</w:t>
        </w:r>
      </w:hyperlink>
    </w:p>
    <w:p w14:paraId="35FE35C2" w14:textId="77777777" w:rsidR="00870660" w:rsidRPr="00AC0E59" w:rsidRDefault="00870660" w:rsidP="00870660">
      <w:r w:rsidRPr="003D7281">
        <w:rPr>
          <w:b/>
          <w:bCs/>
        </w:rPr>
        <w:t>Contenido</w:t>
      </w:r>
      <w:r>
        <w:rPr>
          <w:b/>
          <w:bCs/>
        </w:rPr>
        <w:t xml:space="preserve">: </w:t>
      </w:r>
      <w:r w:rsidRPr="00AC0E59">
        <w:t>Tercera Toma del Estudio de Demanda de Inclusión Financiera</w:t>
      </w:r>
    </w:p>
    <w:p w14:paraId="746113FB" w14:textId="26707095" w:rsidR="00870660" w:rsidRDefault="00870660" w:rsidP="00870660">
      <w:pPr>
        <w:pBdr>
          <w:bottom w:val="single" w:sz="12" w:space="1" w:color="auto"/>
        </w:pBdr>
      </w:pPr>
      <w:r w:rsidRPr="00AC0E59">
        <w:t xml:space="preserve">Este estudio busca identificar, a partir de las percepciones de los adultos, barreras y brechas existentes en el acceso y uso de los servicios financieros. Adicionalmente, recoge la percepción de la población frente a la calidad de los servicios financieros formales </w:t>
      </w:r>
      <w:r w:rsidR="00116C52" w:rsidRPr="00AC0E59">
        <w:t>y el</w:t>
      </w:r>
      <w:r w:rsidRPr="00AC0E59">
        <w:t xml:space="preserve"> bienestar financiero de los colombianos.</w:t>
      </w:r>
    </w:p>
    <w:p w14:paraId="6B2D237C" w14:textId="77777777" w:rsidR="00116C52" w:rsidRDefault="00116C52" w:rsidP="00870660">
      <w:pPr>
        <w:pBdr>
          <w:bottom w:val="single" w:sz="12" w:space="1" w:color="auto"/>
        </w:pBdr>
      </w:pPr>
    </w:p>
    <w:p w14:paraId="6C3303E7" w14:textId="77777777" w:rsidR="00094DF3" w:rsidRDefault="00094DF3" w:rsidP="008C5686">
      <w:pPr>
        <w:pStyle w:val="Prrafodelista"/>
        <w:numPr>
          <w:ilvl w:val="0"/>
          <w:numId w:val="6"/>
        </w:numPr>
        <w:ind w:left="426"/>
        <w:rPr>
          <w:b/>
          <w:bCs/>
          <w:highlight w:val="yellow"/>
        </w:rPr>
      </w:pPr>
      <w:r w:rsidRPr="00E527A9">
        <w:rPr>
          <w:b/>
          <w:bCs/>
          <w:highlight w:val="yellow"/>
        </w:rPr>
        <w:t>Título:</w:t>
      </w:r>
      <w:r w:rsidRPr="008C5686">
        <w:rPr>
          <w:b/>
          <w:bCs/>
          <w:highlight w:val="yellow"/>
        </w:rPr>
        <w:t xml:space="preserve"> ANÁLISIS GEOESPACIAL DE LOS CORRESPONSALES BANCARIOS EN COLOMBIA</w:t>
      </w:r>
    </w:p>
    <w:p w14:paraId="298C2890" w14:textId="77777777" w:rsidR="00A37803" w:rsidRDefault="00A37803" w:rsidP="00A37803">
      <w:pPr>
        <w:pStyle w:val="Prrafodelista"/>
        <w:ind w:left="426"/>
        <w:rPr>
          <w:b/>
          <w:bCs/>
          <w:highlight w:val="yellow"/>
        </w:rPr>
      </w:pPr>
    </w:p>
    <w:p w14:paraId="7C29AEAC" w14:textId="57370A60" w:rsidR="00094DF3" w:rsidRPr="00A37803" w:rsidRDefault="00094DF3" w:rsidP="00A37803">
      <w:pPr>
        <w:rPr>
          <w:b/>
          <w:bCs/>
          <w:highlight w:val="yellow"/>
        </w:rPr>
      </w:pPr>
      <w:r w:rsidRPr="00A37803">
        <w:rPr>
          <w:b/>
          <w:bCs/>
        </w:rPr>
        <w:t xml:space="preserve">Fuente: </w:t>
      </w:r>
      <w:r>
        <w:t>Banca de las oportunidades</w:t>
      </w:r>
    </w:p>
    <w:p w14:paraId="661F0321" w14:textId="77777777" w:rsidR="00094DF3" w:rsidRPr="00C97C2B" w:rsidRDefault="00094DF3" w:rsidP="00094DF3">
      <w:proofErr w:type="gramStart"/>
      <w:r w:rsidRPr="00C97C2B">
        <w:rPr>
          <w:b/>
        </w:rPr>
        <w:t>Link</w:t>
      </w:r>
      <w:proofErr w:type="gramEnd"/>
      <w:r w:rsidRPr="00C97C2B">
        <w:rPr>
          <w:b/>
        </w:rPr>
        <w:t>:</w:t>
      </w:r>
      <w:r w:rsidRPr="00C97C2B">
        <w:t xml:space="preserve"> </w:t>
      </w:r>
      <w:hyperlink r:id="rId11" w:history="1">
        <w:r w:rsidRPr="00C97C2B">
          <w:rPr>
            <w:rStyle w:val="Hipervnculo"/>
          </w:rPr>
          <w:t>https://www.bancadelasoportunidades.gov.co/es/node/1122</w:t>
        </w:r>
      </w:hyperlink>
    </w:p>
    <w:p w14:paraId="4EC7F290" w14:textId="77777777" w:rsidR="00094DF3" w:rsidRPr="00C3022D" w:rsidRDefault="00094DF3" w:rsidP="00094DF3">
      <w:pPr>
        <w:rPr>
          <w:lang w:val="en-US"/>
        </w:rPr>
      </w:pPr>
      <w:r w:rsidRPr="00C3022D">
        <w:rPr>
          <w:lang w:val="en-US"/>
        </w:rPr>
        <w:t>P</w:t>
      </w:r>
      <w:r>
        <w:rPr>
          <w:lang w:val="en-US"/>
        </w:rPr>
        <w:t>DF</w:t>
      </w:r>
      <w:r w:rsidRPr="00C3022D">
        <w:rPr>
          <w:lang w:val="en-US"/>
        </w:rPr>
        <w:t xml:space="preserve"> </w:t>
      </w:r>
      <w:r>
        <w:rPr>
          <w:lang w:val="en-US"/>
        </w:rPr>
        <w:t xml:space="preserve">complete: </w:t>
      </w:r>
      <w:hyperlink r:id="rId12" w:history="1">
        <w:r w:rsidRPr="00F05B9C">
          <w:rPr>
            <w:rStyle w:val="Hipervnculo"/>
            <w:lang w:val="en-US"/>
          </w:rPr>
          <w:t>https://www.bancadelasoportunidades.gov.co/sites/default/files/2024-02/BDO_GEOESPACIAL_VF_14022023.pdf</w:t>
        </w:r>
      </w:hyperlink>
    </w:p>
    <w:p w14:paraId="67B15587" w14:textId="77777777" w:rsidR="00094DF3" w:rsidRDefault="00094DF3" w:rsidP="00094DF3">
      <w:r>
        <w:t xml:space="preserve">Presentación: </w:t>
      </w:r>
      <w:hyperlink r:id="rId13" w:history="1">
        <w:r w:rsidRPr="00F05B9C">
          <w:rPr>
            <w:rStyle w:val="Hipervnculo"/>
          </w:rPr>
          <w:t>https://www.bancadelasoportunidades.gov.co/sites/default/files/2024-03/Presentaci%C3%B3n%20Estudio%20de%20Georreferenciaci%C3%B3n%20de%20corresponsales.pdf</w:t>
        </w:r>
      </w:hyperlink>
    </w:p>
    <w:p w14:paraId="192B065E" w14:textId="77777777" w:rsidR="00094DF3" w:rsidRPr="00384480" w:rsidRDefault="00094DF3" w:rsidP="00094DF3">
      <w:r w:rsidRPr="003D7281">
        <w:rPr>
          <w:b/>
          <w:bCs/>
        </w:rPr>
        <w:t>Contenido</w:t>
      </w:r>
      <w:r>
        <w:rPr>
          <w:b/>
          <w:bCs/>
        </w:rPr>
        <w:t xml:space="preserve">: </w:t>
      </w:r>
      <w:r w:rsidRPr="00384480">
        <w:t xml:space="preserve">Corresponsales y ubicación de </w:t>
      </w:r>
      <w:proofErr w:type="gramStart"/>
      <w:r w:rsidRPr="00384480">
        <w:t>los mismos</w:t>
      </w:r>
      <w:proofErr w:type="gramEnd"/>
      <w:r w:rsidRPr="00384480">
        <w:t xml:space="preserve">, datos sobre el uso de los corresponsales y la distancia </w:t>
      </w:r>
    </w:p>
    <w:p w14:paraId="14FE3E20" w14:textId="77777777" w:rsidR="001256CB" w:rsidRDefault="00094DF3" w:rsidP="001256CB">
      <w:pPr>
        <w:pBdr>
          <w:bottom w:val="single" w:sz="12" w:space="1" w:color="auto"/>
        </w:pBdr>
        <w:jc w:val="both"/>
        <w:rPr>
          <w:i/>
          <w:iCs/>
        </w:rPr>
      </w:pPr>
      <w:r>
        <w:rPr>
          <w:i/>
          <w:iCs/>
        </w:rPr>
        <w:t>“</w:t>
      </w:r>
      <w:r w:rsidRPr="00807D79">
        <w:rPr>
          <w:i/>
          <w:iCs/>
        </w:rPr>
        <w:t xml:space="preserve">Sin embargo, las minorías que viven en las zonas más apartadas de los cascos urbanos colombianos no tienen disponibilidad para acceder a la red de corresponsalía. Entre algunos </w:t>
      </w:r>
      <w:r w:rsidRPr="00807D79">
        <w:rPr>
          <w:i/>
          <w:iCs/>
        </w:rPr>
        <w:lastRenderedPageBreak/>
        <w:t>resultados destacables se encuentra que la mitad de la población en departamentos como el Vichada y el Amazonas cuentan con un punto de acceso a menos de 3,6 km y 11,3 km, respectivamente. A esto se agrega que, en 10 de los 33 departamentos del país, la distancia máxima que tiene que recorrer una persona para llegar a un corresponsal es de 45 km, trayecto que aumenta a 10 km en cinco de ellos. A su vez, en Chocó, Arauca, Vaupés, Guainía, Vichada y Amazonas menos del 70 % vive a 5 km a la redonda de un corresponsal bancario, proporción se reduce a 35 % en el último de ellos.</w:t>
      </w:r>
      <w:r>
        <w:rPr>
          <w:i/>
          <w:iCs/>
        </w:rPr>
        <w:t>”</w:t>
      </w:r>
    </w:p>
    <w:p w14:paraId="4C1BC33E" w14:textId="39E77C3F" w:rsidR="00C97C2B" w:rsidRDefault="00CE2D48" w:rsidP="001256CB">
      <w:pPr>
        <w:pBdr>
          <w:bottom w:val="single" w:sz="12" w:space="1" w:color="auto"/>
        </w:pBdr>
        <w:jc w:val="both"/>
        <w:rPr>
          <w:i/>
          <w:iCs/>
        </w:rPr>
      </w:pPr>
      <w:r>
        <w:rPr>
          <w:i/>
          <w:iCs/>
        </w:rPr>
        <w:t xml:space="preserve">Apuntes: </w:t>
      </w:r>
    </w:p>
    <w:p w14:paraId="7C3D8E0E" w14:textId="77777777" w:rsidR="00C97C2B" w:rsidRDefault="00C97C2B" w:rsidP="001256CB">
      <w:pPr>
        <w:pBdr>
          <w:bottom w:val="single" w:sz="12" w:space="1" w:color="auto"/>
        </w:pBdr>
        <w:jc w:val="both"/>
        <w:rPr>
          <w:i/>
          <w:iCs/>
        </w:rPr>
      </w:pPr>
    </w:p>
    <w:p w14:paraId="3E19CC06" w14:textId="34F4A30F" w:rsidR="00CB42F9" w:rsidRPr="00CB42F9" w:rsidRDefault="001256CB" w:rsidP="00CB42F9">
      <w:pPr>
        <w:pStyle w:val="Prrafodelista"/>
        <w:numPr>
          <w:ilvl w:val="0"/>
          <w:numId w:val="6"/>
        </w:numPr>
        <w:pBdr>
          <w:bottom w:val="single" w:sz="12" w:space="1" w:color="auto"/>
        </w:pBdr>
        <w:ind w:left="426"/>
        <w:jc w:val="both"/>
        <w:rPr>
          <w:b/>
          <w:bCs/>
          <w:highlight w:val="yellow"/>
        </w:rPr>
      </w:pPr>
      <w:r w:rsidRPr="00F64CEA">
        <w:rPr>
          <w:b/>
          <w:bCs/>
          <w:highlight w:val="yellow"/>
        </w:rPr>
        <w:t>PROGRAMA DE CORRESPONSALES MOVILES Y DIGITALES</w:t>
      </w:r>
      <w:r w:rsidR="0049227C">
        <w:rPr>
          <w:b/>
          <w:bCs/>
          <w:highlight w:val="yellow"/>
        </w:rPr>
        <w:t xml:space="preserve"> – Documento técnico “</w:t>
      </w:r>
      <w:r w:rsidR="0049227C" w:rsidRPr="0049227C">
        <w:rPr>
          <w:b/>
          <w:bCs/>
          <w:highlight w:val="yellow"/>
        </w:rPr>
        <w:t>Canales y productos financieros digitales e inclusivos</w:t>
      </w:r>
      <w:r w:rsidR="0049227C">
        <w:rPr>
          <w:b/>
          <w:bCs/>
          <w:highlight w:val="yellow"/>
        </w:rPr>
        <w:t>”</w:t>
      </w:r>
    </w:p>
    <w:p w14:paraId="0A963631" w14:textId="7C5759B7" w:rsidR="00CB42F9" w:rsidRDefault="00CB42F9" w:rsidP="00CB42F9">
      <w:pPr>
        <w:pBdr>
          <w:bottom w:val="single" w:sz="12" w:space="1" w:color="auto"/>
        </w:pBdr>
        <w:ind w:left="66"/>
        <w:jc w:val="both"/>
      </w:pPr>
      <w:r w:rsidRPr="00CB42F9">
        <w:rPr>
          <w:b/>
          <w:bCs/>
        </w:rPr>
        <w:t xml:space="preserve">Fuente: </w:t>
      </w:r>
      <w:r>
        <w:t>Banca de las oportunidades</w:t>
      </w:r>
    </w:p>
    <w:p w14:paraId="7CAFF0D6" w14:textId="70D9EA9C" w:rsidR="001256CB" w:rsidRDefault="00CB42F9" w:rsidP="00CB42F9">
      <w:pPr>
        <w:pBdr>
          <w:bottom w:val="single" w:sz="12" w:space="1" w:color="auto"/>
        </w:pBdr>
        <w:ind w:left="66"/>
        <w:jc w:val="both"/>
        <w:rPr>
          <w:b/>
        </w:rPr>
      </w:pPr>
      <w:proofErr w:type="gramStart"/>
      <w:r w:rsidRPr="00E527A9">
        <w:rPr>
          <w:b/>
        </w:rPr>
        <w:t>Link</w:t>
      </w:r>
      <w:proofErr w:type="gramEnd"/>
      <w:r>
        <w:rPr>
          <w:b/>
        </w:rPr>
        <w:t xml:space="preserve">: </w:t>
      </w:r>
      <w:hyperlink r:id="rId14" w:anchor="_ftn1" w:history="1">
        <w:r w:rsidRPr="00CB42F9">
          <w:rPr>
            <w:rStyle w:val="Hipervnculo"/>
            <w:b/>
          </w:rPr>
          <w:t>PROGRAMA DE CORRESPONSALES MOVILES Y DIGITALES (bancadelasoportunidades.gov.co)</w:t>
        </w:r>
      </w:hyperlink>
    </w:p>
    <w:p w14:paraId="0E5E5498" w14:textId="5E5ADE42" w:rsidR="0049227C" w:rsidRDefault="00000000" w:rsidP="00CB42F9">
      <w:pPr>
        <w:pBdr>
          <w:bottom w:val="single" w:sz="12" w:space="1" w:color="auto"/>
        </w:pBdr>
        <w:ind w:left="66"/>
        <w:jc w:val="both"/>
        <w:rPr>
          <w:b/>
        </w:rPr>
      </w:pPr>
      <w:hyperlink r:id="rId15" w:anchor="page11" w:history="1">
        <w:proofErr w:type="spellStart"/>
        <w:r w:rsidR="0049227C" w:rsidRPr="0049227C">
          <w:rPr>
            <w:rStyle w:val="Hipervnculo"/>
            <w:b/>
          </w:rPr>
          <w:t>ShowProperty</w:t>
        </w:r>
        <w:proofErr w:type="spellEnd"/>
        <w:r w:rsidR="0049227C" w:rsidRPr="0049227C">
          <w:rPr>
            <w:rStyle w:val="Hipervnculo"/>
            <w:b/>
          </w:rPr>
          <w:t xml:space="preserve"> (urf.gov.co)</w:t>
        </w:r>
      </w:hyperlink>
    </w:p>
    <w:p w14:paraId="2683FDE0" w14:textId="30AF3425" w:rsidR="0049227C" w:rsidRDefault="0049227C" w:rsidP="00CB42F9">
      <w:pPr>
        <w:pBdr>
          <w:bottom w:val="single" w:sz="12" w:space="1" w:color="auto"/>
        </w:pBdr>
        <w:ind w:left="66"/>
        <w:jc w:val="both"/>
        <w:rPr>
          <w:b/>
          <w:bCs/>
        </w:rPr>
      </w:pPr>
      <w:r w:rsidRPr="003D7281">
        <w:rPr>
          <w:b/>
          <w:bCs/>
        </w:rPr>
        <w:t>Contenido</w:t>
      </w:r>
      <w:r>
        <w:rPr>
          <w:b/>
          <w:bCs/>
        </w:rPr>
        <w:t>:</w:t>
      </w:r>
    </w:p>
    <w:p w14:paraId="50C84EDE" w14:textId="77777777" w:rsidR="003D25FC" w:rsidRDefault="003D25FC" w:rsidP="003D25FC">
      <w:pPr>
        <w:pBdr>
          <w:bottom w:val="single" w:sz="12" w:space="1" w:color="auto"/>
        </w:pBdr>
        <w:ind w:left="66"/>
        <w:jc w:val="both"/>
      </w:pPr>
      <w:r>
        <w:t xml:space="preserve">Sept 2019, la Unidad de Proyección Normativa y de Estudios de Regulación Financiera URF, publicó documento técnico sobre canales y productos </w:t>
      </w:r>
      <w:proofErr w:type="spellStart"/>
      <w:r>
        <w:t>fcieros</w:t>
      </w:r>
      <w:proofErr w:type="spellEnd"/>
      <w:r>
        <w:t xml:space="preserve"> digitales inclusivos. </w:t>
      </w:r>
    </w:p>
    <w:p w14:paraId="2F8686D9" w14:textId="77777777" w:rsidR="003D25FC" w:rsidRDefault="003D25FC" w:rsidP="003D25FC">
      <w:pPr>
        <w:pBdr>
          <w:bottom w:val="single" w:sz="12" w:space="1" w:color="auto"/>
        </w:pBdr>
        <w:ind w:left="66"/>
        <w:jc w:val="both"/>
      </w:pPr>
      <w:r>
        <w:t>Propone las modificaciones propuestas al marco regulatorio de los corresponsales, productos de depósito con trámites de apertura simplificados y crédito de bajo monto. (alcance, calidad, eficiencia de los servicios y canales financieros, en zonas rurales, apalancado de nuevas tecnologías).</w:t>
      </w:r>
    </w:p>
    <w:p w14:paraId="56EFFCDC" w14:textId="77777777" w:rsidR="003D25FC" w:rsidRDefault="003D25FC" w:rsidP="003D25FC">
      <w:pPr>
        <w:pBdr>
          <w:bottom w:val="single" w:sz="12" w:space="1" w:color="auto"/>
        </w:pBdr>
        <w:ind w:left="66"/>
        <w:jc w:val="both"/>
        <w:rPr>
          <w:color w:val="FF0000"/>
        </w:rPr>
      </w:pPr>
      <w:r w:rsidRPr="00D35799">
        <w:t xml:space="preserve">Como resultado, en febrero de 2020, el Ministerio de Hacienda y Crédito Público (MHCP) expidió el </w:t>
      </w:r>
      <w:r w:rsidRPr="00D35799">
        <w:rPr>
          <w:color w:val="FF0000"/>
        </w:rPr>
        <w:t>Decreto 222</w:t>
      </w:r>
      <w:r>
        <w:rPr>
          <w:color w:val="FF0000"/>
        </w:rPr>
        <w:t xml:space="preserve">, </w:t>
      </w:r>
      <w:r w:rsidRPr="00D35799">
        <w:rPr>
          <w:color w:val="FF0000"/>
        </w:rPr>
        <w:t>que modifica el Decreto 2555 de 2010</w:t>
      </w:r>
      <w:r>
        <w:rPr>
          <w:color w:val="FF0000"/>
        </w:rPr>
        <w:t xml:space="preserve"> </w:t>
      </w:r>
      <w:r w:rsidRPr="00D35799">
        <w:rPr>
          <w:color w:val="FF0000"/>
        </w:rPr>
        <w:t>en lo relacionado con los corresponsales, las cuentas de ahorro electrónicas, los depósitos electrónicos y el crédito de bajo monto. </w:t>
      </w:r>
    </w:p>
    <w:p w14:paraId="4FC46F71" w14:textId="77777777" w:rsidR="003D25FC" w:rsidRPr="00D35799" w:rsidRDefault="003D25FC" w:rsidP="003D25FC">
      <w:pPr>
        <w:pBdr>
          <w:bottom w:val="single" w:sz="12" w:space="1" w:color="auto"/>
        </w:pBdr>
        <w:ind w:left="66"/>
        <w:jc w:val="both"/>
      </w:pPr>
      <w:r w:rsidRPr="00D35799">
        <w:t>En particular, se definió que los establecimientos de crédito, las sociedades especialidad en depósitos y pagos electrónicos (SEDPE), las sociedades administradoras de inversión, las sociedades comisionistas de bolsa, las sociedades administradoras de fondos de pensiones, las sociedades fiduciarias, los intermediarios del mercado cambiarios y las entidades aseguradoras, podrán prestar los servicios de corresponsalía autorizados no solo en instalaciones físicas fijas, sino también de manera móvil y digital.</w:t>
      </w:r>
    </w:p>
    <w:p w14:paraId="3DF434FE" w14:textId="77777777" w:rsidR="003D25FC" w:rsidRPr="00D35799" w:rsidRDefault="003D25FC" w:rsidP="003D25FC">
      <w:pPr>
        <w:pBdr>
          <w:bottom w:val="single" w:sz="12" w:space="1" w:color="auto"/>
        </w:pBdr>
        <w:ind w:left="66"/>
        <w:jc w:val="both"/>
      </w:pPr>
      <w:r w:rsidRPr="00D35799">
        <w:t xml:space="preserve">Mediante la </w:t>
      </w:r>
      <w:r w:rsidRPr="00D35799">
        <w:rPr>
          <w:color w:val="FF0000"/>
        </w:rPr>
        <w:t>corresponsalía móvil y digital</w:t>
      </w:r>
      <w:r w:rsidRPr="00D35799">
        <w:t xml:space="preserve"> sería posible complementar la red tradicional de corresponsales con modelos de terceros que ofrezcan servicios no financieros mediante aplicaciones o plataformas digitales con las cuales se pueda acceder a los servicios de una entidad financiera. De igual </w:t>
      </w:r>
      <w:proofErr w:type="spellStart"/>
      <w:r w:rsidRPr="00D35799">
        <w:t>formal</w:t>
      </w:r>
      <w:proofErr w:type="spellEnd"/>
      <w:r w:rsidRPr="00D35799">
        <w:t>, se podría apalancar la capacidad de desplazamiento de terceros para que actúen como puntos de atención financiera, facilitando transacciones en zonas con baja presencia financiera. </w:t>
      </w:r>
    </w:p>
    <w:p w14:paraId="5CA1C02D" w14:textId="77777777" w:rsidR="003D25FC" w:rsidRPr="00D35799" w:rsidRDefault="003D25FC" w:rsidP="003D25FC">
      <w:pPr>
        <w:pBdr>
          <w:bottom w:val="single" w:sz="12" w:space="1" w:color="auto"/>
        </w:pBdr>
        <w:ind w:left="66"/>
        <w:jc w:val="both"/>
      </w:pPr>
      <w:r w:rsidRPr="00D35799">
        <w:lastRenderedPageBreak/>
        <w:t>El Decreto 222 de 2020 señala también que la Superintendencia Financiera de Colombia (SFC) emitirá instrucciones generales relacionadas con la administración de riesgos operativos y de lavado de activos en la prestación de servicios con corresponsales móviles y digitales. Además, la SFC indicará las especificaciones mínimas de los medios tecnológicos utilizados en cuanto a la transmisión de la información y los terminales electrónicos.</w:t>
      </w:r>
    </w:p>
    <w:p w14:paraId="44565843" w14:textId="77777777" w:rsidR="003D25FC" w:rsidRPr="00D35799" w:rsidRDefault="003D25FC" w:rsidP="003D25FC">
      <w:pPr>
        <w:pBdr>
          <w:bottom w:val="single" w:sz="12" w:space="1" w:color="auto"/>
        </w:pBdr>
        <w:ind w:left="66"/>
        <w:jc w:val="both"/>
      </w:pPr>
      <w:r w:rsidRPr="00D35799">
        <w:t xml:space="preserve">Por otra parte, el Consejo Nacional de Política Económica y Social (CONPES) del Departamento Nacional de Planeación aprobó el </w:t>
      </w:r>
      <w:r w:rsidRPr="00D35799">
        <w:rPr>
          <w:color w:val="FF0000"/>
        </w:rPr>
        <w:t>Documento CONPES 4005 de 2020</w:t>
      </w:r>
      <w:r w:rsidRPr="00D35799">
        <w:t xml:space="preserve">, mediante el cual se formula una política nacional para la </w:t>
      </w:r>
      <w:r w:rsidRPr="00D35799">
        <w:rPr>
          <w:color w:val="FF0000"/>
        </w:rPr>
        <w:t>inclusión y la educación económica y financiera</w:t>
      </w:r>
      <w:r w:rsidRPr="00D35799">
        <w:t xml:space="preserve">. </w:t>
      </w:r>
      <w:r w:rsidRPr="00D35799">
        <w:rPr>
          <w:color w:val="FF0000"/>
        </w:rPr>
        <w:t>El objetivo de la política es integrar los servicios financieros formales a la cotidianidad de los ciudadanos y empresas.</w:t>
      </w:r>
    </w:p>
    <w:p w14:paraId="3F84DAFB" w14:textId="77777777" w:rsidR="003D25FC" w:rsidRPr="00D35799" w:rsidRDefault="003D25FC" w:rsidP="003D25FC">
      <w:pPr>
        <w:pBdr>
          <w:bottom w:val="single" w:sz="12" w:space="1" w:color="auto"/>
        </w:pBdr>
        <w:ind w:left="66"/>
        <w:jc w:val="both"/>
      </w:pPr>
      <w:r w:rsidRPr="00D35799">
        <w:t>En su primera línea de acción, relacionada con la promoción del acceso de personas y empresas a más y mejores productos y servicios financieros, se estableció que el MHCP</w:t>
      </w:r>
      <w:r>
        <w:t xml:space="preserve"> (</w:t>
      </w:r>
      <w:r w:rsidRPr="00AB7409">
        <w:t>Ministerio de Hacienda y Crédito Público de Colombia</w:t>
      </w:r>
      <w:r>
        <w:t>)</w:t>
      </w:r>
      <w:r w:rsidRPr="00D35799">
        <w:t>, a través de Banca de las Oportunidades, diseñará e implementará un programa de acompañamiento y fortalecimiento del modelo de corresponsales móviles y digitales definidos en el Decreto 222 de 2020, que incluya la participación del sector financiero. </w:t>
      </w:r>
    </w:p>
    <w:p w14:paraId="66D1A473" w14:textId="77777777" w:rsidR="003D25FC" w:rsidRPr="00D35799" w:rsidRDefault="003D25FC" w:rsidP="003D25FC">
      <w:pPr>
        <w:pBdr>
          <w:bottom w:val="single" w:sz="12" w:space="1" w:color="auto"/>
        </w:pBdr>
        <w:ind w:left="66"/>
        <w:jc w:val="both"/>
      </w:pPr>
      <w:r w:rsidRPr="00D35799">
        <w:rPr>
          <w:b/>
          <w:bCs/>
          <w:lang w:val="es-ES"/>
        </w:rPr>
        <w:t>Alianza con la Iniciativa de Finanzas Rurales de USAID</w:t>
      </w:r>
    </w:p>
    <w:p w14:paraId="139EC4BE" w14:textId="77777777" w:rsidR="003D25FC" w:rsidRPr="00D35799" w:rsidRDefault="003D25FC" w:rsidP="003D25FC">
      <w:pPr>
        <w:pBdr>
          <w:bottom w:val="single" w:sz="12" w:space="1" w:color="auto"/>
        </w:pBdr>
        <w:ind w:left="66"/>
        <w:jc w:val="both"/>
      </w:pPr>
      <w:r w:rsidRPr="00D35799">
        <w:t>La Iniciativa de Finanzas Rurales (IFR) de la Agencia de los Estados Unidos para el Desarrollo Internacional (USAID, por sus siglas en inglés) tiene como objetivo mejorar la intermediación financiera inclusiva en áreas priorizadas. Después de sus primeros cuatro años de implementación, la IFR ha consolidado importantes alianzas con el sector financiero colombiano para vincular a las familias y empresarios rurales con los servicios financieros. </w:t>
      </w:r>
    </w:p>
    <w:p w14:paraId="4CEE7541" w14:textId="77777777" w:rsidR="003D25FC" w:rsidRPr="00D35799" w:rsidRDefault="003D25FC" w:rsidP="003D25FC">
      <w:pPr>
        <w:pBdr>
          <w:bottom w:val="single" w:sz="12" w:space="1" w:color="auto"/>
        </w:pBdr>
        <w:ind w:left="66"/>
        <w:jc w:val="both"/>
      </w:pPr>
      <w:r w:rsidRPr="00D35799">
        <w:t>Durante su fase de extensión, que irá hasta 2021, y recogiendo la experiencia previa, la IFR propondrá estrategias que faciliten la integración al sistema financiero y a la economía de los colombianos que viven en zonas rurales y municipios pertenecientes a los Programas de Desarrollo con Enfoque Territorial (PDET). </w:t>
      </w:r>
    </w:p>
    <w:p w14:paraId="73151C59" w14:textId="77777777" w:rsidR="003D25FC" w:rsidRPr="00D35799" w:rsidRDefault="003D25FC" w:rsidP="003D25FC">
      <w:pPr>
        <w:pBdr>
          <w:bottom w:val="single" w:sz="12" w:space="1" w:color="auto"/>
        </w:pBdr>
        <w:ind w:left="66"/>
        <w:jc w:val="both"/>
      </w:pPr>
      <w:r w:rsidRPr="00D35799">
        <w:t>La IFR ha priorizado el desarrollo de nuevos modelos de corresponsalía móvil y digital, según lo dispuesto en el Decreto 222 de 2020, como una acción que contribuiría a la reducción de barreras a la intermediación financiera en las regiones previamente mencionadas.</w:t>
      </w:r>
    </w:p>
    <w:p w14:paraId="0BED6517" w14:textId="77777777" w:rsidR="003D25FC" w:rsidRPr="00D35799" w:rsidRDefault="003D25FC" w:rsidP="003D25FC">
      <w:pPr>
        <w:pBdr>
          <w:bottom w:val="single" w:sz="12" w:space="1" w:color="auto"/>
        </w:pBdr>
        <w:ind w:left="66"/>
        <w:jc w:val="both"/>
      </w:pPr>
      <w:r w:rsidRPr="00D35799">
        <w:t xml:space="preserve">Para esto, en </w:t>
      </w:r>
      <w:r w:rsidRPr="00D35799">
        <w:rPr>
          <w:color w:val="FF0000"/>
        </w:rPr>
        <w:t xml:space="preserve">febrero de 2021 se suscribió el memorando de entendimiento IFR-2021-MOU-046 entre Banca de las Oportunidades y la Iniciativa de Finanzas Rurales (USAID) </w:t>
      </w:r>
      <w:r w:rsidRPr="00D35799">
        <w:t xml:space="preserve">para diseñar y adelantar el proyecto que impulse la creación de nuevos modelos de corresponsalía móvil y digital en el </w:t>
      </w:r>
      <w:proofErr w:type="spellStart"/>
      <w:r w:rsidRPr="00D35799">
        <w:t>pais</w:t>
      </w:r>
      <w:proofErr w:type="spellEnd"/>
      <w:r w:rsidRPr="00D35799">
        <w:t>.</w:t>
      </w:r>
    </w:p>
    <w:p w14:paraId="2D4BE66B" w14:textId="77777777" w:rsidR="003D25FC" w:rsidRPr="00D35799" w:rsidRDefault="003D25FC" w:rsidP="003D25FC">
      <w:pPr>
        <w:pBdr>
          <w:bottom w:val="single" w:sz="12" w:space="1" w:color="auto"/>
        </w:pBdr>
        <w:ind w:left="66"/>
        <w:jc w:val="both"/>
      </w:pPr>
      <w:r w:rsidRPr="00D35799">
        <w:t> </w:t>
      </w:r>
    </w:p>
    <w:p w14:paraId="53D36026" w14:textId="77777777" w:rsidR="003D25FC" w:rsidRPr="00D35799" w:rsidRDefault="003D25FC" w:rsidP="003D25FC">
      <w:pPr>
        <w:pBdr>
          <w:bottom w:val="single" w:sz="12" w:space="1" w:color="auto"/>
        </w:pBdr>
        <w:ind w:left="66"/>
        <w:jc w:val="both"/>
      </w:pPr>
      <w:r w:rsidRPr="00D35799">
        <w:rPr>
          <w:b/>
          <w:bCs/>
          <w:lang w:val="es-ES"/>
        </w:rPr>
        <w:t>Etapa de acompañamiento técnico</w:t>
      </w:r>
    </w:p>
    <w:p w14:paraId="6F1C845E" w14:textId="77777777" w:rsidR="003D25FC" w:rsidRPr="00D35799" w:rsidRDefault="003D25FC" w:rsidP="003D25FC">
      <w:pPr>
        <w:pBdr>
          <w:bottom w:val="single" w:sz="12" w:space="1" w:color="auto"/>
        </w:pBdr>
        <w:ind w:left="66"/>
        <w:jc w:val="both"/>
        <w:rPr>
          <w:color w:val="FF0000"/>
        </w:rPr>
      </w:pPr>
      <w:r w:rsidRPr="00D35799">
        <w:rPr>
          <w:color w:val="FF0000"/>
        </w:rPr>
        <w:t>En abril 14 de 2021, Banca de las oportunidades abrió la convocatoria No. 103 para Invitar a entidades financieras para participar en el programa. Dicha convocatorita cerró el 14 de mayo de 2021.</w:t>
      </w:r>
    </w:p>
    <w:p w14:paraId="340EFFF0" w14:textId="77777777" w:rsidR="003D25FC" w:rsidRPr="00D35799" w:rsidRDefault="003D25FC" w:rsidP="003D25FC">
      <w:pPr>
        <w:pBdr>
          <w:bottom w:val="single" w:sz="12" w:space="1" w:color="auto"/>
        </w:pBdr>
        <w:ind w:left="66"/>
        <w:jc w:val="both"/>
        <w:rPr>
          <w:color w:val="FF0000"/>
        </w:rPr>
      </w:pPr>
      <w:r w:rsidRPr="00D35799">
        <w:rPr>
          <w:color w:val="FF0000"/>
        </w:rPr>
        <w:lastRenderedPageBreak/>
        <w:t xml:space="preserve">Después de un proceso de evaluación y calificación se seleccionaron cuatro (4) instituciones financieras: Bancolombia S.A., Banco W S.A., Bancamía S.A. y </w:t>
      </w:r>
      <w:proofErr w:type="spellStart"/>
      <w:r w:rsidRPr="00D35799">
        <w:rPr>
          <w:color w:val="FF0000"/>
        </w:rPr>
        <w:t>Mibanco</w:t>
      </w:r>
      <w:proofErr w:type="spellEnd"/>
      <w:r w:rsidRPr="00D35799">
        <w:rPr>
          <w:color w:val="FF0000"/>
        </w:rPr>
        <w:t xml:space="preserve"> S.A</w:t>
      </w:r>
    </w:p>
    <w:p w14:paraId="3E7D6258" w14:textId="77777777" w:rsidR="003D25FC" w:rsidRPr="00D35799" w:rsidRDefault="003D25FC" w:rsidP="003D25FC">
      <w:pPr>
        <w:pBdr>
          <w:bottom w:val="single" w:sz="12" w:space="1" w:color="auto"/>
        </w:pBdr>
        <w:ind w:left="66"/>
        <w:jc w:val="both"/>
      </w:pPr>
      <w:r w:rsidRPr="00D35799">
        <w:t xml:space="preserve">Para adelantar el acompañamiento técnico estas entidades </w:t>
      </w:r>
      <w:r w:rsidRPr="00D35799">
        <w:rPr>
          <w:color w:val="FF0000"/>
        </w:rPr>
        <w:t>suscribieron un acuerdo con IFR</w:t>
      </w:r>
      <w:r w:rsidRPr="00D35799">
        <w:t>. En desarrollo de esta fase, se analizaron las capacidades de los bancos para emprender el proyecto piloto en sus aspectos operativos, tecnológicos, de riesgos y regulatorios.</w:t>
      </w:r>
    </w:p>
    <w:p w14:paraId="6B32A0BC" w14:textId="77777777" w:rsidR="003D25FC" w:rsidRPr="00D35799" w:rsidRDefault="003D25FC" w:rsidP="003D25FC">
      <w:pPr>
        <w:pBdr>
          <w:bottom w:val="single" w:sz="12" w:space="1" w:color="auto"/>
        </w:pBdr>
        <w:ind w:left="66"/>
        <w:jc w:val="both"/>
      </w:pPr>
      <w:r w:rsidRPr="00D35799">
        <w:t> </w:t>
      </w:r>
    </w:p>
    <w:p w14:paraId="104D332D" w14:textId="77777777" w:rsidR="003D25FC" w:rsidRPr="00D35799" w:rsidRDefault="003D25FC" w:rsidP="003D25FC">
      <w:pPr>
        <w:pBdr>
          <w:bottom w:val="single" w:sz="12" w:space="1" w:color="auto"/>
        </w:pBdr>
        <w:ind w:left="66"/>
        <w:jc w:val="both"/>
      </w:pPr>
      <w:r w:rsidRPr="00D35799">
        <w:rPr>
          <w:b/>
          <w:bCs/>
          <w:lang w:val="es-ES"/>
        </w:rPr>
        <w:t>Etapa de cofinanciación:</w:t>
      </w:r>
    </w:p>
    <w:p w14:paraId="7CB107F5" w14:textId="77777777" w:rsidR="003D25FC" w:rsidRPr="00D35799" w:rsidRDefault="003D25FC" w:rsidP="003D25FC">
      <w:pPr>
        <w:pBdr>
          <w:bottom w:val="single" w:sz="12" w:space="1" w:color="auto"/>
        </w:pBdr>
        <w:ind w:left="66"/>
        <w:jc w:val="both"/>
      </w:pPr>
      <w:r w:rsidRPr="00D35799">
        <w:t>Con base en la certificación de la Iniciativa de Finanzas Rurales del acompañamiento técnico realizado a los bancos, Banca de las Oportunidades suscribió los contratos de cofinanciación con tres (3) de las cuatro (4) entidades participantes para implementar el modelo de corresponsalía móvil que facilite el acceso a servicios financieros integrales y oportunos a comunidades alejadas del sistema financiero, incluyendo pobladores rurales.</w:t>
      </w:r>
    </w:p>
    <w:p w14:paraId="2E8B2E34" w14:textId="77777777" w:rsidR="003D25FC" w:rsidRPr="00D35799" w:rsidRDefault="003D25FC" w:rsidP="003D25FC">
      <w:pPr>
        <w:pBdr>
          <w:bottom w:val="single" w:sz="12" w:space="1" w:color="auto"/>
        </w:pBdr>
        <w:ind w:left="66"/>
        <w:jc w:val="both"/>
      </w:pPr>
      <w:r w:rsidRPr="00D35799">
        <w:t>Para este incentivo se estableció un tope de hasta $500 millones por entidad financiera.</w:t>
      </w:r>
    </w:p>
    <w:p w14:paraId="2C783F75" w14:textId="77777777" w:rsidR="003D25FC" w:rsidRPr="00D35799" w:rsidRDefault="003D25FC" w:rsidP="003D25FC">
      <w:pPr>
        <w:pBdr>
          <w:bottom w:val="single" w:sz="12" w:space="1" w:color="auto"/>
        </w:pBdr>
        <w:ind w:left="66"/>
        <w:jc w:val="both"/>
      </w:pPr>
      <w:r w:rsidRPr="00D35799">
        <w:t>Así mismo se determinó una cofinanciación de hasta el 50% de los costos de implementación de los modelos de corresponsalía establecidos en la etapa de acompañamiento técnico.</w:t>
      </w:r>
    </w:p>
    <w:p w14:paraId="1C2738AF" w14:textId="77777777" w:rsidR="003D25FC" w:rsidRPr="00FA141E" w:rsidRDefault="003D25FC" w:rsidP="003D25FC">
      <w:pPr>
        <w:pBdr>
          <w:bottom w:val="single" w:sz="12" w:space="1" w:color="auto"/>
        </w:pBdr>
        <w:tabs>
          <w:tab w:val="num" w:pos="720"/>
        </w:tabs>
        <w:ind w:left="66"/>
        <w:jc w:val="both"/>
        <w:rPr>
          <w:color w:val="FF0000"/>
        </w:rPr>
      </w:pPr>
      <w:r w:rsidRPr="00D35799">
        <w:rPr>
          <w:color w:val="FF0000"/>
        </w:rPr>
        <w:t>Las tres entidades que actualmente están implementando los pilotos son:</w:t>
      </w:r>
    </w:p>
    <w:p w14:paraId="27B64880" w14:textId="77777777" w:rsidR="003D25FC" w:rsidRPr="00FA141E" w:rsidRDefault="003D25FC" w:rsidP="003D25FC">
      <w:pPr>
        <w:pBdr>
          <w:bottom w:val="single" w:sz="12" w:space="1" w:color="auto"/>
        </w:pBdr>
        <w:tabs>
          <w:tab w:val="num" w:pos="720"/>
        </w:tabs>
        <w:ind w:left="66"/>
        <w:jc w:val="both"/>
        <w:rPr>
          <w:color w:val="FF0000"/>
        </w:rPr>
      </w:pPr>
      <w:proofErr w:type="spellStart"/>
      <w:r w:rsidRPr="00D35799">
        <w:rPr>
          <w:color w:val="FF0000"/>
        </w:rPr>
        <w:t>Mibanco</w:t>
      </w:r>
      <w:proofErr w:type="spellEnd"/>
    </w:p>
    <w:p w14:paraId="17080F73" w14:textId="77777777" w:rsidR="003D25FC" w:rsidRPr="00FA141E" w:rsidRDefault="003D25FC" w:rsidP="003D25FC">
      <w:pPr>
        <w:pBdr>
          <w:bottom w:val="single" w:sz="12" w:space="1" w:color="auto"/>
        </w:pBdr>
        <w:tabs>
          <w:tab w:val="num" w:pos="720"/>
        </w:tabs>
        <w:ind w:left="66"/>
        <w:jc w:val="both"/>
        <w:rPr>
          <w:color w:val="FF0000"/>
        </w:rPr>
      </w:pPr>
      <w:r w:rsidRPr="00D35799">
        <w:rPr>
          <w:color w:val="FF0000"/>
        </w:rPr>
        <w:t xml:space="preserve">Bancolombia con </w:t>
      </w:r>
      <w:proofErr w:type="spellStart"/>
      <w:r w:rsidRPr="00D35799">
        <w:rPr>
          <w:color w:val="FF0000"/>
        </w:rPr>
        <w:t>Nequi</w:t>
      </w:r>
      <w:proofErr w:type="spellEnd"/>
    </w:p>
    <w:p w14:paraId="2B45640E" w14:textId="77777777" w:rsidR="003D25FC" w:rsidRPr="00FA141E" w:rsidRDefault="003D25FC" w:rsidP="003D25FC">
      <w:pPr>
        <w:pBdr>
          <w:bottom w:val="single" w:sz="12" w:space="1" w:color="auto"/>
        </w:pBdr>
        <w:tabs>
          <w:tab w:val="num" w:pos="720"/>
        </w:tabs>
        <w:ind w:left="66"/>
        <w:jc w:val="both"/>
        <w:rPr>
          <w:color w:val="FF0000"/>
        </w:rPr>
      </w:pPr>
      <w:proofErr w:type="spellStart"/>
      <w:r w:rsidRPr="00D35799">
        <w:rPr>
          <w:color w:val="FF0000"/>
        </w:rPr>
        <w:t>Bancamia</w:t>
      </w:r>
      <w:proofErr w:type="spellEnd"/>
    </w:p>
    <w:p w14:paraId="201C262F" w14:textId="77777777" w:rsidR="003D25FC" w:rsidRDefault="003D25FC" w:rsidP="003D25FC">
      <w:pPr>
        <w:pBdr>
          <w:bottom w:val="single" w:sz="12" w:space="1" w:color="auto"/>
        </w:pBdr>
        <w:tabs>
          <w:tab w:val="num" w:pos="720"/>
        </w:tabs>
        <w:ind w:left="66"/>
        <w:jc w:val="both"/>
      </w:pPr>
      <w:r w:rsidRPr="00D35799">
        <w:t>A junio de 2023 las tres (3) entidades están en la fase de implementación de los desarrollos e inversiones en infraestructura tecnológica, Seguridad y ciberseguridad, Flujos de aplicativos y avances en la definición de los módulos de educación financiera, reconocimiento de los municipios y preselección de los potenciales corresponsales</w:t>
      </w:r>
      <w:r>
        <w:t>.</w:t>
      </w:r>
    </w:p>
    <w:p w14:paraId="72F19C48" w14:textId="77777777" w:rsidR="003D25FC" w:rsidRPr="00D35799" w:rsidRDefault="00000000" w:rsidP="003D25FC">
      <w:pPr>
        <w:pBdr>
          <w:bottom w:val="single" w:sz="12" w:space="1" w:color="auto"/>
        </w:pBdr>
        <w:tabs>
          <w:tab w:val="num" w:pos="720"/>
        </w:tabs>
        <w:ind w:left="66"/>
        <w:jc w:val="both"/>
      </w:pPr>
      <w:hyperlink r:id="rId16" w:anchor="_ftnref1" w:history="1">
        <w:r w:rsidR="003D25FC" w:rsidRPr="00D35799">
          <w:rPr>
            <w:rStyle w:val="Hipervnculo"/>
          </w:rPr>
          <w:t>[1]</w:t>
        </w:r>
      </w:hyperlink>
      <w:r w:rsidR="003D25FC" w:rsidRPr="00D35799">
        <w:t> </w:t>
      </w:r>
      <w:r w:rsidR="003D25FC" w:rsidRPr="00D35799">
        <w:rPr>
          <w:lang w:val="es-ES"/>
        </w:rPr>
        <w:t>Ver: URF (2019). Documento técnico: canales y productos financieros digitales e inclusivos. Enlace: </w:t>
      </w:r>
      <w:hyperlink r:id="rId17" w:anchor="page11" w:history="1">
        <w:r w:rsidR="003D25FC" w:rsidRPr="00D35799">
          <w:rPr>
            <w:rStyle w:val="Hipervnculo"/>
            <w:lang w:val="es-ES"/>
          </w:rPr>
          <w:t>http://www.urf.gov.co/webcenter/ShowProperty?nodeId=%2FConexionContent%2FWCC_CLUSTER-115991%2F%2FidcPrimaryFile&amp;revision=latestreleased#page11</w:t>
        </w:r>
      </w:hyperlink>
    </w:p>
    <w:p w14:paraId="7B1C0270" w14:textId="77777777" w:rsidR="00CB42F9" w:rsidRDefault="00CB42F9" w:rsidP="00CB42F9">
      <w:pPr>
        <w:pBdr>
          <w:bottom w:val="single" w:sz="12" w:space="1" w:color="auto"/>
        </w:pBdr>
        <w:ind w:left="66"/>
        <w:jc w:val="both"/>
        <w:rPr>
          <w:i/>
          <w:iCs/>
        </w:rPr>
      </w:pPr>
    </w:p>
    <w:p w14:paraId="45B0F83D" w14:textId="77777777" w:rsidR="00765977" w:rsidRPr="008C5686" w:rsidRDefault="00765977" w:rsidP="008C5686">
      <w:pPr>
        <w:pStyle w:val="Prrafodelista"/>
        <w:numPr>
          <w:ilvl w:val="0"/>
          <w:numId w:val="6"/>
        </w:numPr>
        <w:ind w:left="426"/>
        <w:rPr>
          <w:b/>
          <w:bCs/>
          <w:highlight w:val="yellow"/>
        </w:rPr>
      </w:pPr>
      <w:r w:rsidRPr="008C5686">
        <w:rPr>
          <w:b/>
          <w:bCs/>
          <w:highlight w:val="yellow"/>
        </w:rPr>
        <w:t>Título: Estudio Experimental de Género</w:t>
      </w:r>
    </w:p>
    <w:p w14:paraId="31300B10" w14:textId="77777777" w:rsidR="00765977" w:rsidRDefault="00765977" w:rsidP="00765977">
      <w:r w:rsidRPr="003D7281">
        <w:rPr>
          <w:b/>
          <w:bCs/>
        </w:rPr>
        <w:t>Fuente:</w:t>
      </w:r>
      <w:r w:rsidRPr="003D7281">
        <w:t xml:space="preserve"> </w:t>
      </w:r>
      <w:r>
        <w:t>Banca de las oportunidades</w:t>
      </w:r>
    </w:p>
    <w:p w14:paraId="1B25228E" w14:textId="77777777" w:rsidR="00765977" w:rsidRPr="003D7281" w:rsidRDefault="00765977" w:rsidP="00765977">
      <w:r w:rsidRPr="0092307D">
        <w:rPr>
          <w:b/>
          <w:bCs/>
        </w:rPr>
        <w:t>País</w:t>
      </w:r>
      <w:r>
        <w:t>: Colombia</w:t>
      </w:r>
    </w:p>
    <w:p w14:paraId="7AAB6ED5" w14:textId="77777777" w:rsidR="00765977" w:rsidRPr="00CD3E8F" w:rsidRDefault="00765977" w:rsidP="00765977">
      <w:pPr>
        <w:rPr>
          <w:b/>
        </w:rPr>
      </w:pPr>
      <w:proofErr w:type="gramStart"/>
      <w:r w:rsidRPr="00CD3E8F">
        <w:rPr>
          <w:b/>
        </w:rPr>
        <w:t>Link</w:t>
      </w:r>
      <w:proofErr w:type="gramEnd"/>
      <w:r w:rsidRPr="00CD3E8F">
        <w:rPr>
          <w:b/>
        </w:rPr>
        <w:t xml:space="preserve">: </w:t>
      </w:r>
      <w:hyperlink r:id="rId18" w:history="1">
        <w:r w:rsidRPr="00CD3E8F">
          <w:rPr>
            <w:rStyle w:val="Hipervnculo"/>
            <w:b/>
          </w:rPr>
          <w:t>Publicaciones generales (bancadelasoportunidades.gov.co)</w:t>
        </w:r>
      </w:hyperlink>
    </w:p>
    <w:p w14:paraId="1DC7EC00" w14:textId="77777777" w:rsidR="00765977" w:rsidRDefault="00765977" w:rsidP="00765977">
      <w:pPr>
        <w:pBdr>
          <w:bottom w:val="single" w:sz="12" w:space="1" w:color="auto"/>
        </w:pBdr>
        <w:rPr>
          <w:b/>
          <w:bCs/>
        </w:rPr>
      </w:pPr>
      <w:r w:rsidRPr="003D7281">
        <w:rPr>
          <w:b/>
          <w:bCs/>
        </w:rPr>
        <w:t>Contenido</w:t>
      </w:r>
      <w:r>
        <w:rPr>
          <w:b/>
          <w:bCs/>
        </w:rPr>
        <w:t xml:space="preserve">: Presentación: </w:t>
      </w:r>
      <w:hyperlink r:id="rId19" w:history="1">
        <w:r w:rsidRPr="006776EE">
          <w:rPr>
            <w:rStyle w:val="Hipervnculo"/>
            <w:b/>
            <w:bCs/>
          </w:rPr>
          <w:t>Presentación Estudio experimental de género.pdf (bancadelasoportunidades.gov.co)</w:t>
        </w:r>
      </w:hyperlink>
    </w:p>
    <w:p w14:paraId="19B570FA" w14:textId="77777777" w:rsidR="00765977" w:rsidRDefault="00765977" w:rsidP="00765977">
      <w:pPr>
        <w:pBdr>
          <w:bottom w:val="single" w:sz="12" w:space="1" w:color="auto"/>
        </w:pBdr>
        <w:rPr>
          <w:b/>
          <w:bCs/>
        </w:rPr>
      </w:pPr>
      <w:r>
        <w:rPr>
          <w:b/>
          <w:bCs/>
        </w:rPr>
        <w:t xml:space="preserve">Artículo: </w:t>
      </w:r>
      <w:hyperlink r:id="rId20" w:history="1">
        <w:r w:rsidRPr="005E1BBD">
          <w:rPr>
            <w:rStyle w:val="Hipervnculo"/>
            <w:b/>
            <w:bCs/>
          </w:rPr>
          <w:t>ESTUDIO EXPERIMENTAL DE GÉNERO.pdf (bancadelasoportunidades.gov.co)</w:t>
        </w:r>
      </w:hyperlink>
    </w:p>
    <w:p w14:paraId="676752BB" w14:textId="77777777" w:rsidR="00765977" w:rsidRDefault="00765977" w:rsidP="00765977">
      <w:pPr>
        <w:pBdr>
          <w:bottom w:val="single" w:sz="12" w:space="1" w:color="auto"/>
        </w:pBdr>
        <w:rPr>
          <w:b/>
          <w:bCs/>
        </w:rPr>
      </w:pPr>
    </w:p>
    <w:p w14:paraId="6EF193BA" w14:textId="77777777" w:rsidR="00AA339D" w:rsidRPr="008C5686" w:rsidRDefault="00AA339D" w:rsidP="008C5686">
      <w:pPr>
        <w:rPr>
          <w:b/>
          <w:bCs/>
        </w:rPr>
      </w:pPr>
    </w:p>
    <w:p w14:paraId="01A4FBF1" w14:textId="406DF411" w:rsidR="00FB4BED" w:rsidRPr="008C5686" w:rsidRDefault="00817842" w:rsidP="008C5686">
      <w:pPr>
        <w:pStyle w:val="Prrafodelista"/>
        <w:numPr>
          <w:ilvl w:val="0"/>
          <w:numId w:val="6"/>
        </w:numPr>
        <w:ind w:left="426"/>
        <w:rPr>
          <w:b/>
          <w:bCs/>
          <w:highlight w:val="yellow"/>
        </w:rPr>
      </w:pPr>
      <w:r w:rsidRPr="008C5686">
        <w:rPr>
          <w:b/>
          <w:bCs/>
          <w:highlight w:val="yellow"/>
        </w:rPr>
        <w:t xml:space="preserve">Título: </w:t>
      </w:r>
      <w:r w:rsidR="00FB4BED" w:rsidRPr="008C5686">
        <w:rPr>
          <w:b/>
          <w:bCs/>
          <w:highlight w:val="yellow"/>
        </w:rPr>
        <w:t>Corresponsales bancarios e inclusión financiera en México</w:t>
      </w:r>
    </w:p>
    <w:p w14:paraId="4B9D3F74" w14:textId="4ADE4EE2" w:rsidR="00817842" w:rsidRPr="003D7281" w:rsidRDefault="00817842" w:rsidP="00817842">
      <w:r w:rsidRPr="003D7281">
        <w:rPr>
          <w:b/>
          <w:bCs/>
        </w:rPr>
        <w:t>Fuente:</w:t>
      </w:r>
      <w:r w:rsidRPr="003D7281">
        <w:t xml:space="preserve"> </w:t>
      </w:r>
      <w:r w:rsidR="00DA3F1B" w:rsidRPr="00DA3F1B">
        <w:t>Documentos económicos</w:t>
      </w:r>
    </w:p>
    <w:p w14:paraId="5355AC38" w14:textId="336421A2" w:rsidR="006A5359" w:rsidRPr="003D7281" w:rsidRDefault="006A5359" w:rsidP="006A5359">
      <w:r w:rsidRPr="0092307D">
        <w:rPr>
          <w:b/>
          <w:bCs/>
        </w:rPr>
        <w:t>País</w:t>
      </w:r>
      <w:r>
        <w:t>: México</w:t>
      </w:r>
    </w:p>
    <w:p w14:paraId="0DBFD1FD" w14:textId="5EF86A62" w:rsidR="00110972" w:rsidRPr="003D25FC" w:rsidRDefault="00817842" w:rsidP="00110972">
      <w:proofErr w:type="gramStart"/>
      <w:r w:rsidRPr="003D25FC">
        <w:rPr>
          <w:b/>
        </w:rPr>
        <w:t>Link</w:t>
      </w:r>
      <w:proofErr w:type="gramEnd"/>
      <w:r w:rsidR="00110972" w:rsidRPr="003D25FC">
        <w:rPr>
          <w:b/>
        </w:rPr>
        <w:t xml:space="preserve">: </w:t>
      </w:r>
      <w:r w:rsidR="00110972" w:rsidRPr="003D25FC">
        <w:t>Sitio</w:t>
      </w:r>
      <w:r w:rsidR="00110972" w:rsidRPr="003D25FC">
        <w:rPr>
          <w:b/>
        </w:rPr>
        <w:t xml:space="preserve"> </w:t>
      </w:r>
      <w:hyperlink r:id="rId21" w:history="1">
        <w:r w:rsidR="00110972" w:rsidRPr="003D25FC">
          <w:rPr>
            <w:rStyle w:val="Hipervnculo"/>
          </w:rPr>
          <w:t>http</w:t>
        </w:r>
        <w:bookmarkStart w:id="0" w:name="_Hlt174810912"/>
        <w:bookmarkStart w:id="1" w:name="_Hlt174810913"/>
        <w:r w:rsidR="00110972" w:rsidRPr="003D25FC">
          <w:rPr>
            <w:rStyle w:val="Hipervnculo"/>
          </w:rPr>
          <w:t>s</w:t>
        </w:r>
        <w:bookmarkEnd w:id="0"/>
        <w:bookmarkEnd w:id="1"/>
        <w:r w:rsidR="00110972" w:rsidRPr="003D25FC">
          <w:rPr>
            <w:rStyle w:val="Hipervnculo"/>
          </w:rPr>
          <w:t>://econpapers.repec.org/bookchap/cmlincocp/7sp-12.htm</w:t>
        </w:r>
      </w:hyperlink>
      <w:r w:rsidR="00110972" w:rsidRPr="003D25FC">
        <w:t xml:space="preserve"> </w:t>
      </w:r>
    </w:p>
    <w:p w14:paraId="6A981623" w14:textId="050AD151" w:rsidR="00817842" w:rsidRDefault="00110972" w:rsidP="00110972">
      <w:r w:rsidRPr="00110972">
        <w:t xml:space="preserve">documento: </w:t>
      </w:r>
      <w:hyperlink r:id="rId22" w:history="1">
        <w:r w:rsidRPr="007F714E">
          <w:rPr>
            <w:rStyle w:val="Hipervnculo"/>
          </w:rPr>
          <w:t>https://www.cemla.org/PDF/ic/ic-2016/ic-2016-12.pdf</w:t>
        </w:r>
      </w:hyperlink>
    </w:p>
    <w:p w14:paraId="6796241D" w14:textId="77777777" w:rsidR="00817842" w:rsidRDefault="00817842" w:rsidP="00817842">
      <w:pPr>
        <w:pBdr>
          <w:bottom w:val="single" w:sz="12" w:space="1" w:color="auto"/>
        </w:pBdr>
        <w:rPr>
          <w:b/>
          <w:bCs/>
        </w:rPr>
      </w:pPr>
      <w:r w:rsidRPr="003D7281">
        <w:rPr>
          <w:b/>
          <w:bCs/>
        </w:rPr>
        <w:t>Contenido</w:t>
      </w:r>
      <w:r>
        <w:rPr>
          <w:b/>
          <w:bCs/>
        </w:rPr>
        <w:t>:</w:t>
      </w:r>
    </w:p>
    <w:p w14:paraId="6FC8B20E" w14:textId="77777777" w:rsidR="00D81FED" w:rsidRDefault="00D81FED" w:rsidP="00817842">
      <w:pPr>
        <w:pBdr>
          <w:bottom w:val="single" w:sz="12" w:space="1" w:color="auto"/>
        </w:pBdr>
        <w:rPr>
          <w:b/>
          <w:bCs/>
        </w:rPr>
      </w:pPr>
    </w:p>
    <w:p w14:paraId="4ADAE26B" w14:textId="7B0AF6F9" w:rsidR="009B41E9" w:rsidRPr="008C5686" w:rsidRDefault="009B41E9" w:rsidP="008C5686">
      <w:pPr>
        <w:pStyle w:val="Prrafodelista"/>
        <w:numPr>
          <w:ilvl w:val="0"/>
          <w:numId w:val="6"/>
        </w:numPr>
        <w:ind w:left="426"/>
        <w:rPr>
          <w:b/>
          <w:bCs/>
          <w:highlight w:val="yellow"/>
        </w:rPr>
      </w:pPr>
      <w:r w:rsidRPr="008C5686">
        <w:rPr>
          <w:b/>
          <w:bCs/>
          <w:highlight w:val="yellow"/>
        </w:rPr>
        <w:t xml:space="preserve">Título: </w:t>
      </w:r>
      <w:r w:rsidR="000818CD" w:rsidRPr="008C5686">
        <w:rPr>
          <w:b/>
          <w:bCs/>
          <w:highlight w:val="yellow"/>
        </w:rPr>
        <w:t>EL APORTE DE LOS CORRESPONSALES NO BANCARIOS (CNB) A LA INCLUSIÓN FINANCIERA</w:t>
      </w:r>
    </w:p>
    <w:p w14:paraId="482514AC" w14:textId="59839F7D" w:rsidR="009B41E9" w:rsidRPr="003D7281" w:rsidRDefault="009B41E9" w:rsidP="009B41E9">
      <w:r w:rsidRPr="009B41E9">
        <w:rPr>
          <w:b/>
          <w:bCs/>
        </w:rPr>
        <w:t>Fuente:</w:t>
      </w:r>
      <w:r w:rsidRPr="003D7281">
        <w:t xml:space="preserve"> </w:t>
      </w:r>
      <w:r w:rsidR="006D5FC7" w:rsidRPr="006D5FC7">
        <w:t>revistapublicando.org</w:t>
      </w:r>
    </w:p>
    <w:p w14:paraId="4B0D304D" w14:textId="6D46B02A" w:rsidR="00C3682B" w:rsidRPr="003D7281" w:rsidRDefault="00C3682B" w:rsidP="00C3682B">
      <w:r w:rsidRPr="0092307D">
        <w:rPr>
          <w:b/>
          <w:bCs/>
        </w:rPr>
        <w:t>País</w:t>
      </w:r>
      <w:r>
        <w:t>: Cantón Jama, Ecuador</w:t>
      </w:r>
    </w:p>
    <w:p w14:paraId="5196D3B0" w14:textId="67837A74" w:rsidR="009B41E9" w:rsidRPr="00E527A9" w:rsidRDefault="009B41E9" w:rsidP="009B41E9">
      <w:pPr>
        <w:rPr>
          <w:lang w:val="en-US"/>
        </w:rPr>
      </w:pPr>
      <w:r w:rsidRPr="00E527A9">
        <w:rPr>
          <w:b/>
          <w:lang w:val="en-US"/>
        </w:rPr>
        <w:t xml:space="preserve">Link: </w:t>
      </w:r>
      <w:r w:rsidRPr="00E527A9">
        <w:rPr>
          <w:lang w:val="en-US"/>
        </w:rPr>
        <w:t>Sitio</w:t>
      </w:r>
      <w:r w:rsidRPr="00E527A9">
        <w:rPr>
          <w:b/>
          <w:lang w:val="en-US"/>
        </w:rPr>
        <w:t xml:space="preserve"> </w:t>
      </w:r>
      <w:r w:rsidR="000D1E47" w:rsidRPr="00E527A9">
        <w:rPr>
          <w:lang w:val="en-US"/>
        </w:rPr>
        <w:t>https://revistapublicando.org/revista/index.php/crv/article/view/2252</w:t>
      </w:r>
    </w:p>
    <w:p w14:paraId="2243F289" w14:textId="27439FAB" w:rsidR="009B41E9" w:rsidRDefault="009B41E9" w:rsidP="009B41E9">
      <w:r w:rsidRPr="00110972">
        <w:t xml:space="preserve">documento: </w:t>
      </w:r>
      <w:r w:rsidR="007E6F71" w:rsidRPr="007E6F71">
        <w:t>https://revistapublicando.org/revista/index.php/crv/article/view/2252/2459</w:t>
      </w:r>
    </w:p>
    <w:p w14:paraId="23BC4551" w14:textId="77777777" w:rsidR="009B41E9" w:rsidRDefault="009B41E9" w:rsidP="009B41E9">
      <w:pPr>
        <w:pBdr>
          <w:bottom w:val="single" w:sz="12" w:space="1" w:color="auto"/>
        </w:pBdr>
        <w:rPr>
          <w:b/>
          <w:bCs/>
        </w:rPr>
      </w:pPr>
      <w:r w:rsidRPr="003D7281">
        <w:rPr>
          <w:b/>
          <w:bCs/>
        </w:rPr>
        <w:t>Contenido</w:t>
      </w:r>
      <w:r>
        <w:rPr>
          <w:b/>
          <w:bCs/>
        </w:rPr>
        <w:t>:</w:t>
      </w:r>
    </w:p>
    <w:p w14:paraId="6A114D98" w14:textId="77777777" w:rsidR="00D81FED" w:rsidRDefault="00D81FED" w:rsidP="009B41E9">
      <w:pPr>
        <w:pBdr>
          <w:bottom w:val="single" w:sz="12" w:space="1" w:color="auto"/>
        </w:pBdr>
        <w:rPr>
          <w:b/>
          <w:bCs/>
        </w:rPr>
      </w:pPr>
    </w:p>
    <w:p w14:paraId="6A4BF718" w14:textId="053BCAD3" w:rsidR="00CD5E13" w:rsidRPr="008C5686" w:rsidRDefault="00CD5E13" w:rsidP="008C5686">
      <w:pPr>
        <w:pStyle w:val="Prrafodelista"/>
        <w:numPr>
          <w:ilvl w:val="0"/>
          <w:numId w:val="6"/>
        </w:numPr>
        <w:ind w:left="426"/>
        <w:rPr>
          <w:b/>
          <w:bCs/>
          <w:highlight w:val="yellow"/>
        </w:rPr>
      </w:pPr>
      <w:r w:rsidRPr="008C5686">
        <w:rPr>
          <w:b/>
          <w:bCs/>
          <w:highlight w:val="yellow"/>
        </w:rPr>
        <w:t xml:space="preserve">Título: </w:t>
      </w:r>
      <w:r w:rsidR="00202EA4" w:rsidRPr="008C5686">
        <w:rPr>
          <w:b/>
          <w:bCs/>
          <w:highlight w:val="yellow"/>
        </w:rPr>
        <w:t>Estudio de la bancarización mediante el uso de corresponsales no bancarios</w:t>
      </w:r>
    </w:p>
    <w:p w14:paraId="7F533293" w14:textId="45F85E17" w:rsidR="00CD5E13" w:rsidRPr="003D7281" w:rsidRDefault="00CD5E13" w:rsidP="00CD5E13">
      <w:r w:rsidRPr="003D7281">
        <w:rPr>
          <w:b/>
          <w:bCs/>
        </w:rPr>
        <w:t>Fuente:</w:t>
      </w:r>
      <w:r w:rsidRPr="003D7281">
        <w:t xml:space="preserve"> </w:t>
      </w:r>
      <w:r w:rsidR="00FE2E51">
        <w:t xml:space="preserve">Repositorio </w:t>
      </w:r>
      <w:proofErr w:type="spellStart"/>
      <w:r w:rsidR="00FE2E51">
        <w:t>Unitec</w:t>
      </w:r>
      <w:proofErr w:type="spellEnd"/>
    </w:p>
    <w:p w14:paraId="75CD992F" w14:textId="77777777" w:rsidR="00E227CD" w:rsidRPr="003D7281" w:rsidRDefault="00E227CD" w:rsidP="00E227CD">
      <w:r w:rsidRPr="0092307D">
        <w:rPr>
          <w:b/>
          <w:bCs/>
        </w:rPr>
        <w:t>País</w:t>
      </w:r>
      <w:r>
        <w:t>: Ecuador</w:t>
      </w:r>
    </w:p>
    <w:p w14:paraId="35C82FF5" w14:textId="418E4A75" w:rsidR="00CD5E13" w:rsidRPr="006D5FC7" w:rsidRDefault="00CD5E13" w:rsidP="00CD5E13">
      <w:proofErr w:type="gramStart"/>
      <w:r w:rsidRPr="006D5FC7">
        <w:rPr>
          <w:b/>
        </w:rPr>
        <w:t>Link</w:t>
      </w:r>
      <w:proofErr w:type="gramEnd"/>
      <w:r w:rsidRPr="006D5FC7">
        <w:rPr>
          <w:b/>
        </w:rPr>
        <w:t xml:space="preserve">: </w:t>
      </w:r>
      <w:r w:rsidRPr="006D5FC7">
        <w:t>Sitio</w:t>
      </w:r>
      <w:r w:rsidR="001768B8">
        <w:t xml:space="preserve">: </w:t>
      </w:r>
      <w:r w:rsidRPr="006D5FC7">
        <w:rPr>
          <w:b/>
        </w:rPr>
        <w:t xml:space="preserve"> </w:t>
      </w:r>
      <w:hyperlink r:id="rId23" w:history="1">
        <w:r w:rsidR="001768B8" w:rsidRPr="001768B8">
          <w:rPr>
            <w:rStyle w:val="Hipervnculo"/>
            <w:b/>
          </w:rPr>
          <w:t>Estudio de la bancarización mediante el uso de corresponsales no bancarios (unitec.edu)</w:t>
        </w:r>
      </w:hyperlink>
    </w:p>
    <w:p w14:paraId="5BE49BE6" w14:textId="397C038B" w:rsidR="00CD5E13" w:rsidRDefault="0085300E" w:rsidP="00CD5E13">
      <w:r w:rsidRPr="00110972">
        <w:t>D</w:t>
      </w:r>
      <w:r w:rsidR="00CD5E13" w:rsidRPr="00110972">
        <w:t>ocumento</w:t>
      </w:r>
      <w:r>
        <w:t xml:space="preserve">: </w:t>
      </w:r>
      <w:hyperlink r:id="rId24" w:history="1">
        <w:r w:rsidR="00D00C3D" w:rsidRPr="00D00C3D">
          <w:rPr>
            <w:rStyle w:val="Hipervnculo"/>
          </w:rPr>
          <w:t>11343018-julio2015-m09-t.pdf (unitec.edu)</w:t>
        </w:r>
      </w:hyperlink>
    </w:p>
    <w:p w14:paraId="6C3DB4D9" w14:textId="77777777" w:rsidR="00CD5E13" w:rsidRDefault="00CD5E13" w:rsidP="00CD5E13">
      <w:pPr>
        <w:pBdr>
          <w:bottom w:val="single" w:sz="12" w:space="1" w:color="auto"/>
        </w:pBdr>
        <w:rPr>
          <w:b/>
          <w:bCs/>
        </w:rPr>
      </w:pPr>
      <w:r w:rsidRPr="003D7281">
        <w:rPr>
          <w:b/>
          <w:bCs/>
        </w:rPr>
        <w:t>Contenido</w:t>
      </w:r>
      <w:r>
        <w:rPr>
          <w:b/>
          <w:bCs/>
        </w:rPr>
        <w:t>:</w:t>
      </w:r>
    </w:p>
    <w:p w14:paraId="43A353E4" w14:textId="2147AF2C" w:rsidR="00386751" w:rsidRPr="008C5686" w:rsidRDefault="00386751" w:rsidP="008C5686">
      <w:pPr>
        <w:pStyle w:val="Prrafodelista"/>
        <w:numPr>
          <w:ilvl w:val="0"/>
          <w:numId w:val="6"/>
        </w:numPr>
        <w:ind w:left="426"/>
        <w:rPr>
          <w:b/>
          <w:bCs/>
          <w:highlight w:val="yellow"/>
        </w:rPr>
      </w:pPr>
      <w:r w:rsidRPr="008C5686">
        <w:rPr>
          <w:b/>
          <w:bCs/>
          <w:highlight w:val="yellow"/>
        </w:rPr>
        <w:t xml:space="preserve">Título: </w:t>
      </w:r>
      <w:r w:rsidR="00D36BBD" w:rsidRPr="008C5686">
        <w:rPr>
          <w:b/>
          <w:bCs/>
          <w:highlight w:val="yellow"/>
        </w:rPr>
        <w:t>El aporte de los Corresponsales No Bancarios CNB a la inclusión financiera</w:t>
      </w:r>
    </w:p>
    <w:p w14:paraId="6BD63601" w14:textId="08E5F4D6" w:rsidR="00386751" w:rsidRPr="003D7281" w:rsidRDefault="00386751" w:rsidP="00386751">
      <w:r w:rsidRPr="003D7281">
        <w:rPr>
          <w:b/>
          <w:bCs/>
        </w:rPr>
        <w:t>Fuente:</w:t>
      </w:r>
      <w:r w:rsidRPr="003D7281">
        <w:t xml:space="preserve"> </w:t>
      </w:r>
      <w:r w:rsidR="00E607F7" w:rsidRPr="00E607F7">
        <w:t xml:space="preserve">revistas.unisimon.edu.co </w:t>
      </w:r>
      <w:r w:rsidR="009E59FE">
        <w:t xml:space="preserve">– </w:t>
      </w:r>
      <w:r w:rsidR="00E607F7">
        <w:t>Desarrollo Gerencial</w:t>
      </w:r>
    </w:p>
    <w:p w14:paraId="5D051838" w14:textId="3D0B1C2B" w:rsidR="0092307D" w:rsidRPr="003D7281" w:rsidRDefault="0092307D" w:rsidP="00386751">
      <w:r w:rsidRPr="0092307D">
        <w:rPr>
          <w:b/>
          <w:bCs/>
        </w:rPr>
        <w:t>País</w:t>
      </w:r>
      <w:r>
        <w:t>: Ecuador</w:t>
      </w:r>
    </w:p>
    <w:p w14:paraId="13E2BEF3" w14:textId="6B8C485D" w:rsidR="00386751" w:rsidRPr="003D25FC" w:rsidRDefault="00386751" w:rsidP="00386751">
      <w:pPr>
        <w:rPr>
          <w:b/>
        </w:rPr>
      </w:pPr>
      <w:proofErr w:type="gramStart"/>
      <w:r w:rsidRPr="003D25FC">
        <w:rPr>
          <w:b/>
        </w:rPr>
        <w:t>Link</w:t>
      </w:r>
      <w:proofErr w:type="gramEnd"/>
      <w:r w:rsidRPr="003D25FC">
        <w:rPr>
          <w:b/>
        </w:rPr>
        <w:t xml:space="preserve">: </w:t>
      </w:r>
      <w:r w:rsidRPr="003D25FC">
        <w:t>Sitio:</w:t>
      </w:r>
      <w:r w:rsidR="00D565D8" w:rsidRPr="003D25FC">
        <w:t xml:space="preserve"> </w:t>
      </w:r>
      <w:hyperlink r:id="rId25" w:history="1">
        <w:r w:rsidR="00D565D8" w:rsidRPr="003D25FC">
          <w:rPr>
            <w:rStyle w:val="Hipervnculo"/>
            <w:b/>
          </w:rPr>
          <w:t>https://revistas.unisimon.edu.co/index.php/desarrollogerencial/article/view/3599</w:t>
        </w:r>
      </w:hyperlink>
    </w:p>
    <w:p w14:paraId="26137F49" w14:textId="599BB5C1" w:rsidR="00E665CB" w:rsidRDefault="00386751" w:rsidP="00E665CB">
      <w:r w:rsidRPr="00110972">
        <w:lastRenderedPageBreak/>
        <w:t>Documento</w:t>
      </w:r>
      <w:r>
        <w:t>:</w:t>
      </w:r>
      <w:r w:rsidR="00E665CB">
        <w:t xml:space="preserve"> </w:t>
      </w:r>
      <w:hyperlink r:id="rId26" w:history="1">
        <w:r w:rsidR="00E665CB" w:rsidRPr="00D626A2">
          <w:rPr>
            <w:rStyle w:val="Hipervnculo"/>
          </w:rPr>
          <w:t>https://revistas.unisimon.edu.co/index.php/desarrollogerencial/article/view/3599/4720</w:t>
        </w:r>
      </w:hyperlink>
    </w:p>
    <w:p w14:paraId="0C8DE9ED" w14:textId="73DDFBD8" w:rsidR="00386751" w:rsidRDefault="00386751" w:rsidP="00E665CB">
      <w:pPr>
        <w:pBdr>
          <w:bottom w:val="single" w:sz="12" w:space="1" w:color="auto"/>
        </w:pBdr>
        <w:rPr>
          <w:b/>
          <w:bCs/>
        </w:rPr>
      </w:pPr>
      <w:r w:rsidRPr="003D7281">
        <w:rPr>
          <w:b/>
          <w:bCs/>
        </w:rPr>
        <w:t>Contenido</w:t>
      </w:r>
      <w:r>
        <w:rPr>
          <w:b/>
          <w:bCs/>
        </w:rPr>
        <w:t>:</w:t>
      </w:r>
    </w:p>
    <w:p w14:paraId="0FD68C6A" w14:textId="14EE79EB" w:rsidR="00243251" w:rsidRPr="008C5686" w:rsidRDefault="00243251" w:rsidP="008C5686">
      <w:pPr>
        <w:pStyle w:val="Prrafodelista"/>
        <w:numPr>
          <w:ilvl w:val="0"/>
          <w:numId w:val="6"/>
        </w:numPr>
        <w:ind w:left="426"/>
        <w:rPr>
          <w:b/>
          <w:bCs/>
          <w:highlight w:val="yellow"/>
        </w:rPr>
      </w:pPr>
      <w:r w:rsidRPr="008C5686">
        <w:rPr>
          <w:b/>
          <w:bCs/>
          <w:highlight w:val="yellow"/>
        </w:rPr>
        <w:t xml:space="preserve">Título: </w:t>
      </w:r>
      <w:r w:rsidR="0097600E" w:rsidRPr="008C5686">
        <w:rPr>
          <w:b/>
          <w:bCs/>
          <w:highlight w:val="yellow"/>
        </w:rPr>
        <w:t>Inclusión financiera en las poblaciones rurales de México a través de corresponsales bancarios</w:t>
      </w:r>
    </w:p>
    <w:p w14:paraId="34D57F19" w14:textId="75763452" w:rsidR="00243251" w:rsidRDefault="00243251" w:rsidP="00243251">
      <w:r w:rsidRPr="003D7281">
        <w:rPr>
          <w:b/>
          <w:bCs/>
        </w:rPr>
        <w:t>Fuente:</w:t>
      </w:r>
      <w:r w:rsidRPr="003D7281">
        <w:t xml:space="preserve"> </w:t>
      </w:r>
      <w:r w:rsidR="000954EA">
        <w:t>FUNDACIÓN DIALNET</w:t>
      </w:r>
    </w:p>
    <w:p w14:paraId="7D79AB95" w14:textId="75B120C9" w:rsidR="00243251" w:rsidRPr="003D7281" w:rsidRDefault="00243251" w:rsidP="00243251">
      <w:r w:rsidRPr="0092307D">
        <w:rPr>
          <w:b/>
          <w:bCs/>
        </w:rPr>
        <w:t>País</w:t>
      </w:r>
      <w:r>
        <w:t xml:space="preserve">: </w:t>
      </w:r>
      <w:r w:rsidR="003C317B">
        <w:t>México</w:t>
      </w:r>
    </w:p>
    <w:p w14:paraId="3FB87A99" w14:textId="08B2837E" w:rsidR="00243251" w:rsidRPr="003C317B" w:rsidRDefault="00243251" w:rsidP="00243251">
      <w:pPr>
        <w:rPr>
          <w:b/>
        </w:rPr>
      </w:pPr>
      <w:proofErr w:type="gramStart"/>
      <w:r w:rsidRPr="003C317B">
        <w:rPr>
          <w:b/>
        </w:rPr>
        <w:t>Link</w:t>
      </w:r>
      <w:proofErr w:type="gramEnd"/>
      <w:r w:rsidRPr="003C317B">
        <w:rPr>
          <w:b/>
        </w:rPr>
        <w:t xml:space="preserve">: </w:t>
      </w:r>
      <w:r w:rsidRPr="003C317B">
        <w:t xml:space="preserve">Sitio: </w:t>
      </w:r>
      <w:r w:rsidR="00FE754F" w:rsidRPr="003C317B">
        <w:t>https://dialnet.unirioja.es/servlet/articulo?codigo=9268686</w:t>
      </w:r>
    </w:p>
    <w:p w14:paraId="08E5FB03" w14:textId="77777777" w:rsidR="00243251" w:rsidRDefault="00243251" w:rsidP="00243251">
      <w:pPr>
        <w:pBdr>
          <w:bottom w:val="single" w:sz="12" w:space="1" w:color="auto"/>
        </w:pBdr>
        <w:rPr>
          <w:b/>
          <w:bCs/>
        </w:rPr>
      </w:pPr>
      <w:r w:rsidRPr="003D7281">
        <w:rPr>
          <w:b/>
          <w:bCs/>
        </w:rPr>
        <w:t>Contenido</w:t>
      </w:r>
      <w:r>
        <w:rPr>
          <w:b/>
          <w:bCs/>
        </w:rPr>
        <w:t>:</w:t>
      </w:r>
    </w:p>
    <w:p w14:paraId="5F24F96A" w14:textId="4026A155" w:rsidR="00EB5FF6" w:rsidRPr="008C5686" w:rsidRDefault="00EB5FF6" w:rsidP="008C5686">
      <w:pPr>
        <w:pStyle w:val="Prrafodelista"/>
        <w:numPr>
          <w:ilvl w:val="0"/>
          <w:numId w:val="6"/>
        </w:numPr>
        <w:ind w:left="426"/>
        <w:rPr>
          <w:b/>
          <w:bCs/>
          <w:highlight w:val="yellow"/>
        </w:rPr>
      </w:pPr>
      <w:r w:rsidRPr="008C5686">
        <w:rPr>
          <w:b/>
          <w:bCs/>
          <w:highlight w:val="yellow"/>
        </w:rPr>
        <w:t xml:space="preserve">Título: </w:t>
      </w:r>
      <w:r w:rsidR="00B2049E" w:rsidRPr="008C5686">
        <w:rPr>
          <w:b/>
          <w:bCs/>
          <w:highlight w:val="yellow"/>
        </w:rPr>
        <w:t>Influencia de los corresponsales bancarios en el proceso de inclusión financiera en Colombia Caso de estudio Girardota - Antioquia</w:t>
      </w:r>
    </w:p>
    <w:p w14:paraId="28815145" w14:textId="341F0C62" w:rsidR="00EB5FF6" w:rsidRDefault="00EB5FF6" w:rsidP="00EB5FF6">
      <w:r w:rsidRPr="003D7281">
        <w:rPr>
          <w:b/>
          <w:bCs/>
        </w:rPr>
        <w:t>Fuente:</w:t>
      </w:r>
      <w:r w:rsidRPr="003D7281">
        <w:t xml:space="preserve"> </w:t>
      </w:r>
      <w:r w:rsidR="00F16A83" w:rsidRPr="00F16A83">
        <w:t xml:space="preserve">UNIVERSIDAD EIA INGENIERÍA FINANCIERA </w:t>
      </w:r>
    </w:p>
    <w:p w14:paraId="04177DEA" w14:textId="6CFD9A93" w:rsidR="00EB5FF6" w:rsidRPr="003D7281" w:rsidRDefault="00EB5FF6" w:rsidP="00EB5FF6">
      <w:r w:rsidRPr="0092307D">
        <w:rPr>
          <w:b/>
          <w:bCs/>
        </w:rPr>
        <w:t>País</w:t>
      </w:r>
      <w:r>
        <w:t xml:space="preserve">: </w:t>
      </w:r>
      <w:r w:rsidR="00F16A83">
        <w:t>Colombia, 2023</w:t>
      </w:r>
    </w:p>
    <w:p w14:paraId="1446362E" w14:textId="295EC86B" w:rsidR="00EB5FF6" w:rsidRPr="00C9605A" w:rsidRDefault="00EB5FF6" w:rsidP="00EB5FF6">
      <w:pPr>
        <w:rPr>
          <w:b/>
          <w:lang w:val="en-US"/>
        </w:rPr>
      </w:pPr>
      <w:r w:rsidRPr="00C9605A">
        <w:rPr>
          <w:b/>
          <w:lang w:val="en-US"/>
        </w:rPr>
        <w:t xml:space="preserve">Link: </w:t>
      </w:r>
      <w:r w:rsidR="00C9605A" w:rsidRPr="00C9605A">
        <w:rPr>
          <w:b/>
          <w:lang w:val="en-US"/>
        </w:rPr>
        <w:t>https://repository.eia.edu.co/server/api/core/bitstreams/0fe7fcb2-3887-43dd-ac0e-61640a138438/content</w:t>
      </w:r>
    </w:p>
    <w:p w14:paraId="3AD26221" w14:textId="4DF81FE5" w:rsidR="00817842" w:rsidRPr="006D5FC7" w:rsidRDefault="00EB5FF6" w:rsidP="00817842">
      <w:pPr>
        <w:pBdr>
          <w:bottom w:val="single" w:sz="12" w:space="1" w:color="auto"/>
        </w:pBdr>
        <w:rPr>
          <w:b/>
        </w:rPr>
      </w:pPr>
      <w:r w:rsidRPr="003D7281">
        <w:rPr>
          <w:b/>
          <w:bCs/>
        </w:rPr>
        <w:t>Contenido</w:t>
      </w:r>
      <w:r>
        <w:rPr>
          <w:b/>
          <w:bCs/>
        </w:rPr>
        <w:t>:</w:t>
      </w:r>
    </w:p>
    <w:p w14:paraId="6C7F4786" w14:textId="77777777" w:rsidR="00F16A83" w:rsidRDefault="00F16A83" w:rsidP="00F16A83">
      <w:pPr>
        <w:pBdr>
          <w:bottom w:val="single" w:sz="12" w:space="1" w:color="auto"/>
        </w:pBdr>
        <w:rPr>
          <w:b/>
          <w:bCs/>
        </w:rPr>
      </w:pPr>
    </w:p>
    <w:p w14:paraId="329407C1" w14:textId="2F105B3F" w:rsidR="00877286" w:rsidRPr="008C5686" w:rsidRDefault="00877286" w:rsidP="008C5686">
      <w:pPr>
        <w:pStyle w:val="Prrafodelista"/>
        <w:numPr>
          <w:ilvl w:val="0"/>
          <w:numId w:val="6"/>
        </w:numPr>
        <w:ind w:left="426"/>
        <w:rPr>
          <w:b/>
          <w:bCs/>
          <w:highlight w:val="yellow"/>
        </w:rPr>
      </w:pPr>
      <w:r w:rsidRPr="008C5686">
        <w:rPr>
          <w:b/>
          <w:bCs/>
          <w:highlight w:val="yellow"/>
        </w:rPr>
        <w:t xml:space="preserve">Título: </w:t>
      </w:r>
      <w:r w:rsidR="003C7528" w:rsidRPr="008C5686">
        <w:rPr>
          <w:b/>
          <w:bCs/>
          <w:highlight w:val="yellow"/>
        </w:rPr>
        <w:t>influencia de los corresponsales no bancarios en la inclusión financiera de nuevos usuarios periodo 2023</w:t>
      </w:r>
    </w:p>
    <w:p w14:paraId="73FA335A" w14:textId="79C15E37" w:rsidR="00877286" w:rsidRDefault="00877286" w:rsidP="00877286">
      <w:r w:rsidRPr="003D7281">
        <w:rPr>
          <w:b/>
          <w:bCs/>
        </w:rPr>
        <w:t>Fuente:</w:t>
      </w:r>
      <w:r w:rsidRPr="003D7281">
        <w:t xml:space="preserve"> </w:t>
      </w:r>
      <w:proofErr w:type="spellStart"/>
      <w:r w:rsidR="00C86F33">
        <w:t>Journal</w:t>
      </w:r>
      <w:proofErr w:type="spellEnd"/>
      <w:r w:rsidR="00C86F33">
        <w:t xml:space="preserve"> Business </w:t>
      </w:r>
      <w:proofErr w:type="spellStart"/>
      <w:r w:rsidR="00C86F33">
        <w:t>Science</w:t>
      </w:r>
      <w:proofErr w:type="spellEnd"/>
    </w:p>
    <w:p w14:paraId="60910565" w14:textId="7BF8D2AE" w:rsidR="00877286" w:rsidRPr="003D7281" w:rsidRDefault="00877286" w:rsidP="00877286">
      <w:r w:rsidRPr="0092307D">
        <w:rPr>
          <w:b/>
          <w:bCs/>
        </w:rPr>
        <w:t>País</w:t>
      </w:r>
      <w:r>
        <w:t xml:space="preserve">: </w:t>
      </w:r>
      <w:r w:rsidR="006771FA">
        <w:t>Ecuador</w:t>
      </w:r>
    </w:p>
    <w:p w14:paraId="3688DDB7" w14:textId="362F8FFA" w:rsidR="00877286" w:rsidRPr="00E527A9" w:rsidRDefault="00877286" w:rsidP="00877286">
      <w:pPr>
        <w:rPr>
          <w:b/>
        </w:rPr>
      </w:pPr>
      <w:proofErr w:type="gramStart"/>
      <w:r w:rsidRPr="00E527A9">
        <w:rPr>
          <w:b/>
        </w:rPr>
        <w:t>Link</w:t>
      </w:r>
      <w:proofErr w:type="gramEnd"/>
      <w:r w:rsidRPr="00E527A9">
        <w:rPr>
          <w:b/>
        </w:rPr>
        <w:t xml:space="preserve">: </w:t>
      </w:r>
      <w:hyperlink r:id="rId27" w:history="1">
        <w:r w:rsidR="006771FA" w:rsidRPr="006771FA">
          <w:rPr>
            <w:rStyle w:val="Hipervnculo"/>
            <w:b/>
          </w:rPr>
          <w:t>Vista de Influencia de los corresponsales no bancarios en la inclusión financiera de nuevos usuarios periodo 2023 (uleam.edu.ec)</w:t>
        </w:r>
      </w:hyperlink>
    </w:p>
    <w:p w14:paraId="3BAE9025" w14:textId="77777777" w:rsidR="00877286" w:rsidRDefault="00877286" w:rsidP="00877286">
      <w:pPr>
        <w:rPr>
          <w:b/>
          <w:bCs/>
        </w:rPr>
      </w:pPr>
      <w:r w:rsidRPr="003D7281">
        <w:rPr>
          <w:b/>
          <w:bCs/>
        </w:rPr>
        <w:t>Contenido</w:t>
      </w:r>
      <w:r>
        <w:rPr>
          <w:b/>
          <w:bCs/>
        </w:rPr>
        <w:t>:</w:t>
      </w:r>
    </w:p>
    <w:p w14:paraId="511358BB" w14:textId="5A1E8FED" w:rsidR="008C5686" w:rsidRDefault="008C5686" w:rsidP="00F16A83">
      <w:pPr>
        <w:pBdr>
          <w:top w:val="single" w:sz="12" w:space="1" w:color="auto"/>
          <w:bottom w:val="single" w:sz="12" w:space="1" w:color="auto"/>
        </w:pBdr>
        <w:rPr>
          <w:b/>
          <w:bCs/>
        </w:rPr>
      </w:pPr>
    </w:p>
    <w:p w14:paraId="2F2CBEAA" w14:textId="77777777" w:rsidR="000563C0" w:rsidRPr="008C5686" w:rsidRDefault="000563C0" w:rsidP="000563C0">
      <w:pPr>
        <w:pStyle w:val="Prrafodelista"/>
        <w:numPr>
          <w:ilvl w:val="0"/>
          <w:numId w:val="6"/>
        </w:numPr>
        <w:rPr>
          <w:b/>
          <w:bCs/>
          <w:highlight w:val="yellow"/>
        </w:rPr>
      </w:pPr>
      <w:r w:rsidRPr="008C5686">
        <w:rPr>
          <w:b/>
          <w:bCs/>
          <w:highlight w:val="yellow"/>
        </w:rPr>
        <w:t>Título: influencia de los corresponsales no bancarios en la inclusión financiera de nuevos usuarios periodo 2023</w:t>
      </w:r>
    </w:p>
    <w:p w14:paraId="629B5AF2" w14:textId="5AC75623" w:rsidR="000563C0" w:rsidRDefault="000563C0" w:rsidP="000563C0">
      <w:r w:rsidRPr="003D7281">
        <w:rPr>
          <w:b/>
          <w:bCs/>
        </w:rPr>
        <w:t>Fuente:</w:t>
      </w:r>
      <w:r w:rsidRPr="003D7281">
        <w:t xml:space="preserve"> </w:t>
      </w:r>
      <w:proofErr w:type="spellStart"/>
      <w:r w:rsidR="002F4CF9">
        <w:t>Banrep</w:t>
      </w:r>
      <w:proofErr w:type="spellEnd"/>
      <w:r w:rsidR="002F4CF9">
        <w:t xml:space="preserve"> </w:t>
      </w:r>
    </w:p>
    <w:p w14:paraId="7CFCD1EC" w14:textId="50063C70" w:rsidR="000563C0" w:rsidRPr="003D7281" w:rsidRDefault="000563C0" w:rsidP="000563C0">
      <w:r w:rsidRPr="0092307D">
        <w:rPr>
          <w:b/>
          <w:bCs/>
        </w:rPr>
        <w:t>País</w:t>
      </w:r>
      <w:r>
        <w:t xml:space="preserve">: </w:t>
      </w:r>
      <w:r w:rsidR="00D96182">
        <w:t>Colombia</w:t>
      </w:r>
    </w:p>
    <w:p w14:paraId="0A0E4D0A" w14:textId="5AA1C8EE" w:rsidR="000563C0" w:rsidRPr="00696D6F" w:rsidRDefault="00696D6F" w:rsidP="000563C0">
      <w:pPr>
        <w:rPr>
          <w:b/>
        </w:rPr>
      </w:pPr>
      <w:r w:rsidRPr="00696D6F">
        <w:rPr>
          <w:b/>
        </w:rPr>
        <w:t>https://www.banrep.gov.co/sites/default/files/eventos/archivos/sem_357.pdf</w:t>
      </w:r>
    </w:p>
    <w:p w14:paraId="61AE2750" w14:textId="1F0DB326" w:rsidR="000563C0" w:rsidRDefault="000563C0" w:rsidP="000563C0">
      <w:r w:rsidRPr="003D7281">
        <w:rPr>
          <w:b/>
          <w:bCs/>
        </w:rPr>
        <w:t>Contenido</w:t>
      </w:r>
      <w:r>
        <w:rPr>
          <w:b/>
          <w:bCs/>
        </w:rPr>
        <w:t>:</w:t>
      </w:r>
      <w:r w:rsidR="00D96182">
        <w:rPr>
          <w:b/>
          <w:bCs/>
        </w:rPr>
        <w:t xml:space="preserve"> </w:t>
      </w:r>
      <w:r w:rsidR="00D96182" w:rsidRPr="00717289">
        <w:t>bibliografía sobre inclusión financiera</w:t>
      </w:r>
    </w:p>
    <w:p w14:paraId="26A2B1C2" w14:textId="77777777" w:rsidR="5CFA7580" w:rsidRDefault="5CFA7580" w:rsidP="5CFA7580">
      <w:pPr>
        <w:pStyle w:val="Prrafodelista"/>
      </w:pPr>
    </w:p>
    <w:p w14:paraId="47A3F09E" w14:textId="77777777" w:rsidR="5CFA7580" w:rsidRDefault="5CFA7580" w:rsidP="5CFA7580">
      <w:pPr>
        <w:pBdr>
          <w:top w:val="single" w:sz="12" w:space="1" w:color="auto"/>
          <w:bottom w:val="single" w:sz="12" w:space="1" w:color="auto"/>
        </w:pBdr>
        <w:rPr>
          <w:b/>
          <w:bCs/>
        </w:rPr>
      </w:pPr>
    </w:p>
    <w:p w14:paraId="08FFA5F4" w14:textId="77777777" w:rsidR="7D7EA8D8" w:rsidRDefault="7D7EA8D8" w:rsidP="5CFA7580">
      <w:pPr>
        <w:pStyle w:val="Prrafodelista"/>
        <w:numPr>
          <w:ilvl w:val="0"/>
          <w:numId w:val="6"/>
        </w:numPr>
      </w:pPr>
      <w:r w:rsidRPr="5CFA7580">
        <w:rPr>
          <w:b/>
          <w:bCs/>
        </w:rPr>
        <w:t xml:space="preserve">Tendencias y avances de investigación sobre Inclusión Financiera: un análisis bibliométrico </w:t>
      </w:r>
    </w:p>
    <w:p w14:paraId="01B3625D" w14:textId="189855E8" w:rsidR="7D7EA8D8" w:rsidRDefault="7D7EA8D8" w:rsidP="5CFA7580">
      <w:pPr>
        <w:rPr>
          <w:b/>
          <w:bCs/>
        </w:rPr>
      </w:pPr>
      <w:r w:rsidRPr="5CFA7580">
        <w:rPr>
          <w:b/>
          <w:bCs/>
        </w:rPr>
        <w:t xml:space="preserve">Fuente: Tendencias y avances | Revista </w:t>
      </w:r>
      <w:proofErr w:type="spellStart"/>
      <w:r w:rsidRPr="5CFA7580">
        <w:rPr>
          <w:b/>
          <w:bCs/>
        </w:rPr>
        <w:t>VirtualUniversidad</w:t>
      </w:r>
      <w:proofErr w:type="spellEnd"/>
      <w:r w:rsidRPr="5CFA7580">
        <w:rPr>
          <w:b/>
          <w:bCs/>
        </w:rPr>
        <w:t xml:space="preserve"> Católica del Norte, 71, 276-305 ISSN: 0124-5821 (En línea)</w:t>
      </w:r>
      <w:r>
        <w:t xml:space="preserve"> </w:t>
      </w:r>
    </w:p>
    <w:p w14:paraId="6BE8DA50" w14:textId="3DBD4352" w:rsidR="7D7EA8D8" w:rsidRDefault="7D7EA8D8">
      <w:r w:rsidRPr="5CFA7580">
        <w:rPr>
          <w:b/>
          <w:bCs/>
        </w:rPr>
        <w:t>País</w:t>
      </w:r>
      <w:r>
        <w:t>: Ecuador, 2023</w:t>
      </w:r>
    </w:p>
    <w:p w14:paraId="148B5BD0" w14:textId="665E2139" w:rsidR="7D7EA8D8" w:rsidRDefault="7D7EA8D8" w:rsidP="5CFA7580">
      <w:pPr>
        <w:rPr>
          <w:b/>
          <w:bCs/>
        </w:rPr>
      </w:pPr>
      <w:r w:rsidRPr="5CFA7580">
        <w:rPr>
          <w:b/>
          <w:bCs/>
        </w:rPr>
        <w:t xml:space="preserve">https: base de datos </w:t>
      </w:r>
      <w:proofErr w:type="spellStart"/>
      <w:r w:rsidRPr="5CFA7580">
        <w:rPr>
          <w:b/>
          <w:bCs/>
        </w:rPr>
        <w:t>ebscohost</w:t>
      </w:r>
      <w:proofErr w:type="spellEnd"/>
    </w:p>
    <w:p w14:paraId="463D8708" w14:textId="77777777" w:rsidR="7D7EA8D8" w:rsidRDefault="7D7EA8D8">
      <w:r w:rsidRPr="5CFA7580">
        <w:rPr>
          <w:b/>
          <w:bCs/>
        </w:rPr>
        <w:t xml:space="preserve">Contenido: </w:t>
      </w:r>
      <w:r>
        <w:t>bibliografía sobre inclusión financiera</w:t>
      </w:r>
    </w:p>
    <w:p w14:paraId="41707F02" w14:textId="0753AA1E" w:rsidR="00BD6EAA" w:rsidRDefault="7D7EA8D8" w:rsidP="00BD6EAA">
      <w:pPr>
        <w:pBdr>
          <w:bottom w:val="single" w:sz="12" w:space="1" w:color="auto"/>
        </w:pBdr>
        <w:rPr>
          <w:b/>
          <w:bCs/>
        </w:rPr>
      </w:pPr>
      <w:r w:rsidRPr="5CFA7580">
        <w:rPr>
          <w:rFonts w:ascii="Aptos" w:eastAsia="Aptos" w:hAnsi="Aptos" w:cs="Aptos"/>
          <w:color w:val="000000" w:themeColor="text1"/>
        </w:rPr>
        <w:t xml:space="preserve"> </w:t>
      </w:r>
      <w:r w:rsidRPr="5CFA7580">
        <w:rPr>
          <w:rFonts w:ascii="Aptos" w:eastAsia="Aptos" w:hAnsi="Aptos" w:cs="Aptos"/>
        </w:rPr>
        <w:t xml:space="preserve"> </w:t>
      </w:r>
    </w:p>
    <w:p w14:paraId="6AB3323B" w14:textId="77777777" w:rsidR="00BD6EAA" w:rsidRPr="001B3D5F" w:rsidRDefault="00BD6EAA" w:rsidP="00BD6EAA">
      <w:pPr>
        <w:pStyle w:val="Prrafodelista"/>
        <w:ind w:left="426"/>
      </w:pPr>
    </w:p>
    <w:p w14:paraId="1352E3B7" w14:textId="0CF48977" w:rsidR="00C80C3E" w:rsidRPr="00C80C3E" w:rsidRDefault="00EF2BE8" w:rsidP="003A266D">
      <w:pPr>
        <w:pStyle w:val="Prrafodelista"/>
        <w:numPr>
          <w:ilvl w:val="0"/>
          <w:numId w:val="6"/>
        </w:numPr>
      </w:pPr>
      <w:r>
        <w:t>G</w:t>
      </w:r>
      <w:r w:rsidRPr="00EF2BE8">
        <w:t>énero</w:t>
      </w:r>
      <w:r>
        <w:t xml:space="preserve"> </w:t>
      </w:r>
      <w:r w:rsidRPr="00EF2BE8">
        <w:t>e</w:t>
      </w:r>
      <w:r>
        <w:t xml:space="preserve"> </w:t>
      </w:r>
      <w:r w:rsidRPr="00EF2BE8">
        <w:t>inclusión</w:t>
      </w:r>
      <w:r>
        <w:t xml:space="preserve"> </w:t>
      </w:r>
      <w:r w:rsidRPr="00EF2BE8">
        <w:t>financiera</w:t>
      </w:r>
      <w:r>
        <w:t xml:space="preserve"> </w:t>
      </w:r>
      <w:r w:rsidRPr="00EF2BE8">
        <w:t xml:space="preserve">en </w:t>
      </w:r>
      <w:proofErr w:type="spellStart"/>
      <w:r w:rsidRPr="00EF2BE8">
        <w:t>colombia</w:t>
      </w:r>
      <w:proofErr w:type="spellEnd"/>
    </w:p>
    <w:p w14:paraId="10339959" w14:textId="4BBA6B0C" w:rsidR="003A266D" w:rsidRPr="007E01D8" w:rsidRDefault="003A266D" w:rsidP="007E01D8">
      <w:pPr>
        <w:rPr>
          <w:b/>
          <w:bCs/>
        </w:rPr>
      </w:pPr>
      <w:r w:rsidRPr="00C80C3E">
        <w:rPr>
          <w:b/>
          <w:bCs/>
        </w:rPr>
        <w:t>Fuente:</w:t>
      </w:r>
      <w:r w:rsidR="007E01D8">
        <w:rPr>
          <w:b/>
          <w:bCs/>
        </w:rPr>
        <w:t xml:space="preserve"> </w:t>
      </w:r>
      <w:r w:rsidR="002B5242" w:rsidRPr="002B5242">
        <w:rPr>
          <w:b/>
          <w:bCs/>
        </w:rPr>
        <w:t>https://research-ebscocom.ezproxy.eafit.edu.co/c/7pr3vo/viewer/pdf/7ttga6lmhf</w:t>
      </w:r>
    </w:p>
    <w:p w14:paraId="268E9D50" w14:textId="13CE5ED0" w:rsidR="003A266D" w:rsidRPr="003D7281" w:rsidRDefault="003A266D" w:rsidP="00C80C3E">
      <w:r w:rsidRPr="00C80C3E">
        <w:rPr>
          <w:b/>
          <w:bCs/>
        </w:rPr>
        <w:t>País</w:t>
      </w:r>
      <w:r>
        <w:t xml:space="preserve">: </w:t>
      </w:r>
    </w:p>
    <w:p w14:paraId="4835BF75" w14:textId="73E84E21" w:rsidR="003A266D" w:rsidRPr="00C80C3E" w:rsidRDefault="003A266D" w:rsidP="00C80C3E">
      <w:pPr>
        <w:rPr>
          <w:b/>
        </w:rPr>
      </w:pPr>
      <w:r w:rsidRPr="00C80C3E">
        <w:rPr>
          <w:b/>
        </w:rPr>
        <w:t>https:</w:t>
      </w:r>
      <w:r w:rsidR="008C702E">
        <w:rPr>
          <w:b/>
        </w:rPr>
        <w:t xml:space="preserve"> base de datos </w:t>
      </w:r>
      <w:proofErr w:type="spellStart"/>
      <w:r w:rsidR="008C702E" w:rsidRPr="008C702E">
        <w:rPr>
          <w:b/>
        </w:rPr>
        <w:t>ebscohost</w:t>
      </w:r>
      <w:proofErr w:type="spellEnd"/>
      <w:r w:rsidR="009C442E">
        <w:rPr>
          <w:b/>
        </w:rPr>
        <w:t xml:space="preserve"> – Ecos de Economía 2018</w:t>
      </w:r>
    </w:p>
    <w:p w14:paraId="50FECA96" w14:textId="77777777" w:rsidR="003A266D" w:rsidRDefault="003A266D" w:rsidP="00C80C3E">
      <w:r w:rsidRPr="00C80C3E">
        <w:rPr>
          <w:b/>
          <w:bCs/>
        </w:rPr>
        <w:t xml:space="preserve">Contenido: </w:t>
      </w:r>
      <w:r w:rsidRPr="00717289">
        <w:t>bibliografía sobre inclusión financiera</w:t>
      </w:r>
    </w:p>
    <w:p w14:paraId="21CB3531" w14:textId="48DD8E9B" w:rsidR="003A266D" w:rsidRPr="00717289" w:rsidRDefault="002B5242" w:rsidP="002B5242">
      <w:r>
        <w:t>Cita: OK en Mendeley</w:t>
      </w:r>
    </w:p>
    <w:p w14:paraId="4351AB7D" w14:textId="77777777" w:rsidR="00CB51BE" w:rsidRPr="00CB51BE" w:rsidRDefault="00CB51BE" w:rsidP="00CB51BE">
      <w:pPr>
        <w:pBdr>
          <w:top w:val="single" w:sz="12" w:space="1" w:color="auto"/>
          <w:bottom w:val="single" w:sz="12" w:space="1" w:color="auto"/>
        </w:pBdr>
        <w:rPr>
          <w:b/>
          <w:bCs/>
        </w:rPr>
      </w:pPr>
    </w:p>
    <w:p w14:paraId="6347F212" w14:textId="77777777" w:rsidR="00D83BA9" w:rsidRDefault="00D83BA9" w:rsidP="00F16A83">
      <w:pPr>
        <w:rPr>
          <w:b/>
          <w:bCs/>
        </w:rPr>
      </w:pPr>
    </w:p>
    <w:p w14:paraId="13EE443E" w14:textId="36F100ED" w:rsidR="00F16A83" w:rsidRPr="008C5686" w:rsidRDefault="008C5686" w:rsidP="008C5686">
      <w:pPr>
        <w:jc w:val="center"/>
        <w:rPr>
          <w:b/>
          <w:bCs/>
          <w:color w:val="FF0000"/>
        </w:rPr>
      </w:pPr>
      <w:r w:rsidRPr="008C5686">
        <w:rPr>
          <w:b/>
          <w:bCs/>
          <w:color w:val="FF0000"/>
        </w:rPr>
        <w:t>CARPETA DOCUMENTOS</w:t>
      </w:r>
    </w:p>
    <w:p w14:paraId="750ECE7C" w14:textId="31F058F8" w:rsidR="003D7281" w:rsidRPr="003D7281" w:rsidRDefault="003D7281" w:rsidP="008C5686">
      <w:pPr>
        <w:pStyle w:val="Prrafodelista"/>
        <w:numPr>
          <w:ilvl w:val="0"/>
          <w:numId w:val="8"/>
        </w:numPr>
      </w:pPr>
      <w:r w:rsidRPr="008C5686">
        <w:rPr>
          <w:b/>
          <w:bCs/>
        </w:rPr>
        <w:t>Título:</w:t>
      </w:r>
      <w:r w:rsidRPr="003D7281">
        <w:t xml:space="preserve"> Ensayo sobre la inclusión financiera en Colombia – Volumen II</w:t>
      </w:r>
    </w:p>
    <w:p w14:paraId="7DE13CD1" w14:textId="2CF8B837" w:rsidR="003D7281" w:rsidRPr="003D7281" w:rsidRDefault="003D7281">
      <w:r w:rsidRPr="003D7281">
        <w:rPr>
          <w:b/>
          <w:bCs/>
        </w:rPr>
        <w:t>Fuente:</w:t>
      </w:r>
      <w:r w:rsidRPr="003D7281">
        <w:t xml:space="preserve"> Asobancaria - 2022</w:t>
      </w:r>
    </w:p>
    <w:p w14:paraId="02A4E928" w14:textId="759BBF6E" w:rsidR="003D7281" w:rsidRPr="003D25FC" w:rsidRDefault="003D7281">
      <w:proofErr w:type="gramStart"/>
      <w:r w:rsidRPr="003D25FC">
        <w:rPr>
          <w:b/>
          <w:bCs/>
        </w:rPr>
        <w:t>Link</w:t>
      </w:r>
      <w:proofErr w:type="gramEnd"/>
      <w:r w:rsidRPr="003D25FC">
        <w:rPr>
          <w:b/>
          <w:bCs/>
        </w:rPr>
        <w:t>:</w:t>
      </w:r>
      <w:r w:rsidRPr="003D25FC">
        <w:t xml:space="preserve"> https://asobancaria.com/wp-content/uploads/Ensayos_sobre_Inclusion_Financiera_en_Colombia-II.pdf</w:t>
      </w:r>
    </w:p>
    <w:p w14:paraId="2319601B" w14:textId="77777777" w:rsidR="003D7281" w:rsidRDefault="003D7281">
      <w:pPr>
        <w:rPr>
          <w:b/>
          <w:bCs/>
        </w:rPr>
      </w:pPr>
      <w:r w:rsidRPr="003D7281">
        <w:rPr>
          <w:b/>
          <w:bCs/>
        </w:rPr>
        <w:t>Contenido</w:t>
      </w:r>
      <w:r>
        <w:rPr>
          <w:b/>
          <w:bCs/>
        </w:rPr>
        <w:t>:</w:t>
      </w:r>
    </w:p>
    <w:p w14:paraId="2B1105AB" w14:textId="64D447BE" w:rsidR="003D7281" w:rsidRDefault="003D7281" w:rsidP="00202EA4">
      <w:pPr>
        <w:numPr>
          <w:ilvl w:val="0"/>
          <w:numId w:val="1"/>
        </w:numPr>
      </w:pPr>
      <w:r>
        <w:t>Capítulo 4: Brechas de género en la inclusión financiera en Colombia</w:t>
      </w:r>
    </w:p>
    <w:p w14:paraId="48EEAB8B" w14:textId="358B0E96" w:rsidR="003D7281" w:rsidRDefault="003D7281" w:rsidP="00202EA4">
      <w:pPr>
        <w:numPr>
          <w:ilvl w:val="0"/>
          <w:numId w:val="1"/>
        </w:numPr>
      </w:pPr>
      <w:r>
        <w:t>Capítulo 6: Análisis de la inclusión financiera en áreas rurales en Colombia</w:t>
      </w:r>
    </w:p>
    <w:p w14:paraId="56E5FED9" w14:textId="683BF2CE" w:rsidR="003D7281" w:rsidRDefault="003D7281" w:rsidP="00202EA4">
      <w:pPr>
        <w:numPr>
          <w:ilvl w:val="0"/>
          <w:numId w:val="1"/>
        </w:numPr>
      </w:pPr>
      <w:r>
        <w:t>Capítulo 7: Estrategias para la profundización de los pagos electrónicos en economías emergentes.</w:t>
      </w:r>
    </w:p>
    <w:p w14:paraId="1E9212D5" w14:textId="7DD9A509" w:rsidR="003D7281" w:rsidRDefault="003D7281" w:rsidP="00202EA4">
      <w:pPr>
        <w:numPr>
          <w:ilvl w:val="0"/>
          <w:numId w:val="1"/>
        </w:numPr>
      </w:pPr>
      <w:r>
        <w:t>Capítulo 9: Inclusión financiera del sector Fintech en Colombia</w:t>
      </w:r>
    </w:p>
    <w:p w14:paraId="261B4F00" w14:textId="347909DE" w:rsidR="00D453E8" w:rsidRDefault="00D453E8" w:rsidP="003D7281">
      <w:pPr>
        <w:pBdr>
          <w:bottom w:val="single" w:sz="12" w:space="1" w:color="auto"/>
        </w:pBdr>
      </w:pPr>
    </w:p>
    <w:p w14:paraId="378C855E" w14:textId="3B3AC434" w:rsidR="007523E2" w:rsidRPr="003D7281" w:rsidRDefault="007523E2" w:rsidP="008C5686">
      <w:pPr>
        <w:pStyle w:val="Prrafodelista"/>
        <w:numPr>
          <w:ilvl w:val="0"/>
          <w:numId w:val="8"/>
        </w:numPr>
      </w:pPr>
      <w:r w:rsidRPr="00263987">
        <w:rPr>
          <w:b/>
          <w:bCs/>
        </w:rPr>
        <w:t>Título:</w:t>
      </w:r>
      <w:r w:rsidRPr="003D7281">
        <w:t xml:space="preserve"> </w:t>
      </w:r>
      <w:r w:rsidR="008A3115" w:rsidRPr="008A3115">
        <w:t>La COVID-19 impulsó la adopción de los servicios financieros digitales</w:t>
      </w:r>
    </w:p>
    <w:p w14:paraId="24E541BD" w14:textId="36D0AEC4" w:rsidR="007523E2" w:rsidRPr="003D7281" w:rsidRDefault="007523E2" w:rsidP="007523E2">
      <w:r w:rsidRPr="003D7281">
        <w:rPr>
          <w:b/>
          <w:bCs/>
        </w:rPr>
        <w:t>Fuente:</w:t>
      </w:r>
      <w:r w:rsidRPr="003D7281">
        <w:t xml:space="preserve"> </w:t>
      </w:r>
      <w:r w:rsidR="008A3115">
        <w:t>Banco Mundial – Julio 2022</w:t>
      </w:r>
    </w:p>
    <w:p w14:paraId="0A17BA4B" w14:textId="5D5D7C9D" w:rsidR="007523E2" w:rsidRPr="003D25FC" w:rsidRDefault="007523E2" w:rsidP="007523E2">
      <w:proofErr w:type="gramStart"/>
      <w:r w:rsidRPr="003D25FC">
        <w:rPr>
          <w:b/>
          <w:bCs/>
        </w:rPr>
        <w:t>Link</w:t>
      </w:r>
      <w:proofErr w:type="gramEnd"/>
      <w:r w:rsidRPr="003D25FC">
        <w:rPr>
          <w:b/>
          <w:bCs/>
        </w:rPr>
        <w:t>:</w:t>
      </w:r>
      <w:r w:rsidRPr="003D25FC">
        <w:t xml:space="preserve"> </w:t>
      </w:r>
      <w:r w:rsidR="008A3115" w:rsidRPr="003D25FC">
        <w:t>https://www.bancomundial.org/es/news/feature/2022/07/21/covid-19-boosted-the-adoption-of-digital-financial-services</w:t>
      </w:r>
    </w:p>
    <w:p w14:paraId="04FDAC2F" w14:textId="29240725" w:rsidR="001938D0" w:rsidRDefault="007523E2" w:rsidP="007523E2">
      <w:r w:rsidRPr="003D7281">
        <w:rPr>
          <w:b/>
          <w:bCs/>
        </w:rPr>
        <w:t>Contenido</w:t>
      </w:r>
      <w:r>
        <w:rPr>
          <w:b/>
          <w:bCs/>
        </w:rPr>
        <w:t>:</w:t>
      </w:r>
      <w:r w:rsidR="008878C9">
        <w:rPr>
          <w:b/>
          <w:bCs/>
        </w:rPr>
        <w:t xml:space="preserve"> </w:t>
      </w:r>
      <w:r w:rsidR="008878C9">
        <w:t xml:space="preserve">Análisis de cifras de Global </w:t>
      </w:r>
      <w:proofErr w:type="spellStart"/>
      <w:r w:rsidR="008878C9">
        <w:t>Findex</w:t>
      </w:r>
      <w:proofErr w:type="spellEnd"/>
      <w:r w:rsidR="008878C9">
        <w:t xml:space="preserve"> 2021</w:t>
      </w:r>
      <w:r w:rsidR="001938D0">
        <w:t xml:space="preserve"> – aumento de inclusión financiera mundial, </w:t>
      </w:r>
      <w:r w:rsidR="003E2446">
        <w:t>digitalización de servicios financieros</w:t>
      </w:r>
      <w:r w:rsidR="00354BD8">
        <w:t>, 1.400 MM de adultos sin bancarizar</w:t>
      </w:r>
      <w:r w:rsidR="003E2446">
        <w:t xml:space="preserve"> en el mundo</w:t>
      </w:r>
      <w:r w:rsidR="00160DA0">
        <w:t>.</w:t>
      </w:r>
    </w:p>
    <w:p w14:paraId="632E705C" w14:textId="230F71F9" w:rsidR="00160DA0" w:rsidRDefault="00EA1BCB" w:rsidP="0042620C">
      <w:pPr>
        <w:pBdr>
          <w:bottom w:val="single" w:sz="12" w:space="1" w:color="auto"/>
        </w:pBdr>
        <w:jc w:val="both"/>
        <w:rPr>
          <w:i/>
          <w:iCs/>
        </w:rPr>
      </w:pPr>
      <w:r w:rsidRPr="00AD295A">
        <w:rPr>
          <w:i/>
          <w:iCs/>
        </w:rPr>
        <w:t>“</w:t>
      </w:r>
      <w:r w:rsidR="00165CB6" w:rsidRPr="00AD295A">
        <w:rPr>
          <w:i/>
          <w:iCs/>
        </w:rPr>
        <w:t>En </w:t>
      </w:r>
      <w:r w:rsidR="00165CB6" w:rsidRPr="00AD295A">
        <w:rPr>
          <w:b/>
          <w:bCs/>
          <w:i/>
          <w:iCs/>
        </w:rPr>
        <w:t>América Latina y el Caribe</w:t>
      </w:r>
      <w:r w:rsidR="00165CB6" w:rsidRPr="00AD295A">
        <w:rPr>
          <w:i/>
          <w:iCs/>
        </w:rPr>
        <w:t>, se observó un aumento de 18 puntos porcentuales en la tenencia de cuentas desde 2017, el mayor aumento de todas las regiones en desarrollo a nivel mundial, lo que resultó en que un 73</w:t>
      </w:r>
      <w:r w:rsidR="00165CB6" w:rsidRPr="00AD295A">
        <w:rPr>
          <w:rFonts w:ascii="Arial" w:hAnsi="Arial" w:cs="Arial"/>
          <w:i/>
          <w:iCs/>
        </w:rPr>
        <w:t> </w:t>
      </w:r>
      <w:r w:rsidR="00165CB6" w:rsidRPr="00AD295A">
        <w:rPr>
          <w:i/>
          <w:iCs/>
        </w:rPr>
        <w:t>% de la poblaci</w:t>
      </w:r>
      <w:r w:rsidR="00165CB6" w:rsidRPr="00AD295A">
        <w:rPr>
          <w:rFonts w:ascii="Aptos" w:hAnsi="Aptos" w:cs="Aptos"/>
          <w:i/>
          <w:iCs/>
        </w:rPr>
        <w:t>ó</w:t>
      </w:r>
      <w:r w:rsidR="00165CB6" w:rsidRPr="00AD295A">
        <w:rPr>
          <w:i/>
          <w:iCs/>
        </w:rPr>
        <w:t>n adulta sea titular de una cuenta. Los pagos digitales son de una importancia clave, dado que el 40</w:t>
      </w:r>
      <w:r w:rsidR="00165CB6" w:rsidRPr="00AD295A">
        <w:rPr>
          <w:rFonts w:ascii="Arial" w:hAnsi="Arial" w:cs="Arial"/>
          <w:i/>
          <w:iCs/>
        </w:rPr>
        <w:t> </w:t>
      </w:r>
      <w:r w:rsidR="00165CB6" w:rsidRPr="00AD295A">
        <w:rPr>
          <w:i/>
          <w:iCs/>
        </w:rPr>
        <w:t>% de los adultos realizaron pagos digitales a comercios minoristas, incluido el 14</w:t>
      </w:r>
      <w:r w:rsidR="00165CB6" w:rsidRPr="00AD295A">
        <w:rPr>
          <w:rFonts w:ascii="Arial" w:hAnsi="Arial" w:cs="Arial"/>
          <w:i/>
          <w:iCs/>
        </w:rPr>
        <w:t> </w:t>
      </w:r>
      <w:r w:rsidR="00165CB6" w:rsidRPr="00AD295A">
        <w:rPr>
          <w:i/>
          <w:iCs/>
        </w:rPr>
        <w:t>% de adultos que realizaron dichas operaciones por primera vez durante la pandemia. Asimismo, la COVID-19 impuls</w:t>
      </w:r>
      <w:r w:rsidR="00165CB6" w:rsidRPr="00AD295A">
        <w:rPr>
          <w:rFonts w:ascii="Aptos" w:hAnsi="Aptos" w:cs="Aptos"/>
          <w:i/>
          <w:iCs/>
        </w:rPr>
        <w:t>ó</w:t>
      </w:r>
      <w:r w:rsidR="00165CB6" w:rsidRPr="00AD295A">
        <w:rPr>
          <w:i/>
          <w:iCs/>
        </w:rPr>
        <w:t xml:space="preserve"> la adopci</w:t>
      </w:r>
      <w:r w:rsidR="00165CB6" w:rsidRPr="00AD295A">
        <w:rPr>
          <w:rFonts w:ascii="Aptos" w:hAnsi="Aptos" w:cs="Aptos"/>
          <w:i/>
          <w:iCs/>
        </w:rPr>
        <w:t>ó</w:t>
      </w:r>
      <w:r w:rsidR="00165CB6" w:rsidRPr="00AD295A">
        <w:rPr>
          <w:i/>
          <w:iCs/>
        </w:rPr>
        <w:t>n digital para el 15</w:t>
      </w:r>
      <w:r w:rsidR="00165CB6" w:rsidRPr="00AD295A">
        <w:rPr>
          <w:rFonts w:ascii="Arial" w:hAnsi="Arial" w:cs="Arial"/>
          <w:i/>
          <w:iCs/>
        </w:rPr>
        <w:t> </w:t>
      </w:r>
      <w:r w:rsidR="00165CB6" w:rsidRPr="00AD295A">
        <w:rPr>
          <w:i/>
          <w:iCs/>
        </w:rPr>
        <w:t>% de los adultos que realizaron su primer pago de facturas de servicios p</w:t>
      </w:r>
      <w:r w:rsidR="00165CB6" w:rsidRPr="00AD295A">
        <w:rPr>
          <w:rFonts w:ascii="Aptos" w:hAnsi="Aptos" w:cs="Aptos"/>
          <w:i/>
          <w:iCs/>
        </w:rPr>
        <w:t>ú</w:t>
      </w:r>
      <w:r w:rsidR="00165CB6" w:rsidRPr="00AD295A">
        <w:rPr>
          <w:i/>
          <w:iCs/>
        </w:rPr>
        <w:t>blicos directamente desde su cuenta por primera vez durante la pandemia, m</w:t>
      </w:r>
      <w:r w:rsidR="00165CB6" w:rsidRPr="00AD295A">
        <w:rPr>
          <w:rFonts w:ascii="Aptos" w:hAnsi="Aptos" w:cs="Aptos"/>
          <w:i/>
          <w:iCs/>
        </w:rPr>
        <w:t>á</w:t>
      </w:r>
      <w:r w:rsidR="00165CB6" w:rsidRPr="00AD295A">
        <w:rPr>
          <w:i/>
          <w:iCs/>
        </w:rPr>
        <w:t>s del doble con respecto al promedio en pa</w:t>
      </w:r>
      <w:r w:rsidR="00165CB6" w:rsidRPr="00AD295A">
        <w:rPr>
          <w:rFonts w:ascii="Aptos" w:hAnsi="Aptos" w:cs="Aptos"/>
          <w:i/>
          <w:iCs/>
        </w:rPr>
        <w:t>í</w:t>
      </w:r>
      <w:r w:rsidR="00165CB6" w:rsidRPr="00AD295A">
        <w:rPr>
          <w:i/>
          <w:iCs/>
        </w:rPr>
        <w:t>ses en desarrollo. A</w:t>
      </w:r>
      <w:r w:rsidR="00165CB6" w:rsidRPr="00AD295A">
        <w:rPr>
          <w:rFonts w:ascii="Aptos" w:hAnsi="Aptos" w:cs="Aptos"/>
          <w:i/>
          <w:iCs/>
        </w:rPr>
        <w:t>ú</w:t>
      </w:r>
      <w:r w:rsidR="00165CB6" w:rsidRPr="00AD295A">
        <w:rPr>
          <w:i/>
          <w:iCs/>
        </w:rPr>
        <w:t>n existen oportunidades para un uso a</w:t>
      </w:r>
      <w:r w:rsidR="00165CB6" w:rsidRPr="00AD295A">
        <w:rPr>
          <w:rFonts w:ascii="Aptos" w:hAnsi="Aptos" w:cs="Aptos"/>
          <w:i/>
          <w:iCs/>
        </w:rPr>
        <w:t>ú</w:t>
      </w:r>
      <w:r w:rsidR="00165CB6" w:rsidRPr="00AD295A">
        <w:rPr>
          <w:i/>
          <w:iCs/>
        </w:rPr>
        <w:t>n mayor de los pagos digitales, dado que 150</w:t>
      </w:r>
      <w:r w:rsidR="00165CB6" w:rsidRPr="00AD295A">
        <w:rPr>
          <w:rFonts w:ascii="Arial" w:hAnsi="Arial" w:cs="Arial"/>
          <w:i/>
          <w:iCs/>
        </w:rPr>
        <w:t> </w:t>
      </w:r>
      <w:r w:rsidR="00165CB6" w:rsidRPr="00AD295A">
        <w:rPr>
          <w:i/>
          <w:iCs/>
        </w:rPr>
        <w:t>millones de adultos bancarizados realizaron pagos a comercios minoristas solo en efectivo, incluidos m</w:t>
      </w:r>
      <w:r w:rsidR="00165CB6" w:rsidRPr="00AD295A">
        <w:rPr>
          <w:rFonts w:ascii="Aptos" w:hAnsi="Aptos" w:cs="Aptos"/>
          <w:i/>
          <w:iCs/>
        </w:rPr>
        <w:t>á</w:t>
      </w:r>
      <w:r w:rsidR="00165CB6" w:rsidRPr="00AD295A">
        <w:rPr>
          <w:i/>
          <w:iCs/>
        </w:rPr>
        <w:t>s de 50</w:t>
      </w:r>
      <w:r w:rsidR="00165CB6" w:rsidRPr="00AD295A">
        <w:rPr>
          <w:rFonts w:ascii="Arial" w:hAnsi="Arial" w:cs="Arial"/>
          <w:i/>
          <w:iCs/>
        </w:rPr>
        <w:t> </w:t>
      </w:r>
      <w:r w:rsidR="00165CB6" w:rsidRPr="00AD295A">
        <w:rPr>
          <w:i/>
          <w:iCs/>
        </w:rPr>
        <w:t>millones de adultos bancarizados en Brasil y 16</w:t>
      </w:r>
      <w:r w:rsidR="00165CB6" w:rsidRPr="00AD295A">
        <w:rPr>
          <w:rFonts w:ascii="Arial" w:hAnsi="Arial" w:cs="Arial"/>
          <w:i/>
          <w:iCs/>
        </w:rPr>
        <w:t> </w:t>
      </w:r>
      <w:r w:rsidR="00165CB6" w:rsidRPr="00AD295A">
        <w:rPr>
          <w:i/>
          <w:iCs/>
        </w:rPr>
        <w:t>millones de adultos bancarizados en Colombia.</w:t>
      </w:r>
      <w:r w:rsidR="003046FC" w:rsidRPr="00AD295A">
        <w:rPr>
          <w:i/>
          <w:iCs/>
        </w:rPr>
        <w:t>”</w:t>
      </w:r>
    </w:p>
    <w:p w14:paraId="054B05EB" w14:textId="77777777" w:rsidR="00D453E8" w:rsidRDefault="00D453E8" w:rsidP="0042620C">
      <w:pPr>
        <w:pBdr>
          <w:bottom w:val="single" w:sz="12" w:space="1" w:color="auto"/>
        </w:pBdr>
        <w:jc w:val="both"/>
        <w:rPr>
          <w:i/>
          <w:iCs/>
        </w:rPr>
      </w:pPr>
    </w:p>
    <w:p w14:paraId="262D95CE" w14:textId="77777777" w:rsidR="00D453E8" w:rsidRPr="00AD295A" w:rsidRDefault="00D453E8" w:rsidP="0042620C">
      <w:pPr>
        <w:jc w:val="both"/>
        <w:rPr>
          <w:i/>
          <w:iCs/>
        </w:rPr>
      </w:pPr>
    </w:p>
    <w:p w14:paraId="7B5A385A" w14:textId="77777777" w:rsidR="00ED4BCF" w:rsidRDefault="00ED4BCF" w:rsidP="00160DA0">
      <w:pPr>
        <w:rPr>
          <w:b/>
          <w:bCs/>
        </w:rPr>
      </w:pPr>
    </w:p>
    <w:p w14:paraId="375330D8" w14:textId="4F30D1C0" w:rsidR="00160DA0" w:rsidRPr="003D7281" w:rsidRDefault="00160DA0" w:rsidP="008C5686">
      <w:pPr>
        <w:pStyle w:val="Prrafodelista"/>
        <w:numPr>
          <w:ilvl w:val="0"/>
          <w:numId w:val="8"/>
        </w:numPr>
      </w:pPr>
      <w:r w:rsidRPr="00263987">
        <w:rPr>
          <w:b/>
          <w:bCs/>
        </w:rPr>
        <w:t>Título:</w:t>
      </w:r>
      <w:r w:rsidRPr="003D7281">
        <w:t xml:space="preserve"> </w:t>
      </w:r>
      <w:r w:rsidR="00820433">
        <w:t>Economía digital para América Latina y El Caribe</w:t>
      </w:r>
      <w:r w:rsidR="00FB4752">
        <w:t xml:space="preserve"> – </w:t>
      </w:r>
      <w:r w:rsidR="003046FE">
        <w:t>Diagnóstico</w:t>
      </w:r>
      <w:r w:rsidR="00FB4752">
        <w:t xml:space="preserve"> de país: Colombia</w:t>
      </w:r>
    </w:p>
    <w:p w14:paraId="0D859EF2" w14:textId="621AE1F9" w:rsidR="00160DA0" w:rsidRPr="003D7281" w:rsidRDefault="00160DA0" w:rsidP="00160DA0">
      <w:r w:rsidRPr="003D7281">
        <w:rPr>
          <w:b/>
          <w:bCs/>
        </w:rPr>
        <w:t>Fuente:</w:t>
      </w:r>
      <w:r w:rsidRPr="003D7281">
        <w:t xml:space="preserve"> </w:t>
      </w:r>
      <w:r w:rsidR="00226E58">
        <w:t xml:space="preserve">Banco Mundial – </w:t>
      </w:r>
      <w:r w:rsidR="001B149B">
        <w:t>junio</w:t>
      </w:r>
      <w:r w:rsidR="00226E58">
        <w:t xml:space="preserve"> 202</w:t>
      </w:r>
      <w:r w:rsidR="001B149B">
        <w:t>3</w:t>
      </w:r>
    </w:p>
    <w:p w14:paraId="5A2F6089" w14:textId="2BD66D94" w:rsidR="00160DA0" w:rsidRPr="003D25FC" w:rsidRDefault="00160DA0" w:rsidP="00160DA0">
      <w:proofErr w:type="gramStart"/>
      <w:r w:rsidRPr="003D25FC">
        <w:rPr>
          <w:b/>
          <w:bCs/>
        </w:rPr>
        <w:t>Link</w:t>
      </w:r>
      <w:proofErr w:type="gramEnd"/>
      <w:r w:rsidRPr="003D25FC">
        <w:rPr>
          <w:b/>
          <w:bCs/>
        </w:rPr>
        <w:t>:</w:t>
      </w:r>
      <w:r w:rsidRPr="003D25FC">
        <w:t xml:space="preserve"> </w:t>
      </w:r>
      <w:r w:rsidR="00226E58" w:rsidRPr="003D25FC">
        <w:t>https://openknowledge.worldbank.org/entities/publication/88948415-77f6-41fb-a8c0-5d8d415134b5</w:t>
      </w:r>
    </w:p>
    <w:p w14:paraId="47EE91B8" w14:textId="6EF00C89" w:rsidR="00160DA0" w:rsidRDefault="00160DA0" w:rsidP="00160DA0">
      <w:pPr>
        <w:pBdr>
          <w:bottom w:val="single" w:sz="12" w:space="1" w:color="auto"/>
        </w:pBdr>
      </w:pPr>
      <w:r w:rsidRPr="003D7281">
        <w:rPr>
          <w:b/>
          <w:bCs/>
        </w:rPr>
        <w:t>Contenido</w:t>
      </w:r>
      <w:r>
        <w:rPr>
          <w:b/>
          <w:bCs/>
        </w:rPr>
        <w:t>:</w:t>
      </w:r>
      <w:r w:rsidR="00062AFE">
        <w:rPr>
          <w:b/>
          <w:bCs/>
        </w:rPr>
        <w:t xml:space="preserve"> </w:t>
      </w:r>
      <w:r w:rsidR="00062AFE">
        <w:t>Inclusión financiera y transacciones digitales</w:t>
      </w:r>
    </w:p>
    <w:p w14:paraId="55043A53" w14:textId="77777777" w:rsidR="00D453E8" w:rsidRPr="00062AFE" w:rsidRDefault="00D453E8" w:rsidP="00160DA0">
      <w:pPr>
        <w:pBdr>
          <w:bottom w:val="single" w:sz="12" w:space="1" w:color="auto"/>
        </w:pBdr>
      </w:pPr>
    </w:p>
    <w:p w14:paraId="3847118D" w14:textId="4064AF8B" w:rsidR="00160DA0" w:rsidRPr="003D7281" w:rsidRDefault="00160DA0" w:rsidP="008C5686">
      <w:pPr>
        <w:pStyle w:val="Prrafodelista"/>
        <w:numPr>
          <w:ilvl w:val="0"/>
          <w:numId w:val="8"/>
        </w:numPr>
      </w:pPr>
      <w:r w:rsidRPr="00263987">
        <w:rPr>
          <w:b/>
          <w:bCs/>
        </w:rPr>
        <w:t>Título:</w:t>
      </w:r>
      <w:r w:rsidRPr="003D7281">
        <w:t xml:space="preserve"> </w:t>
      </w:r>
      <w:r w:rsidR="00502DE3" w:rsidRPr="00502DE3">
        <w:t>POLÍTICA NACIONAL DE INCLUSIÓN Y EDUCACIÓN ECONÓMICA Y FINANCIERA</w:t>
      </w:r>
      <w:r w:rsidR="0071195A">
        <w:t xml:space="preserve"> (</w:t>
      </w:r>
      <w:r w:rsidR="008C1742">
        <w:t>CON</w:t>
      </w:r>
      <w:r w:rsidR="002C45CD">
        <w:t>PES</w:t>
      </w:r>
      <w:r w:rsidR="00720B7F">
        <w:t>)</w:t>
      </w:r>
    </w:p>
    <w:p w14:paraId="19791B7A" w14:textId="32EB5C4C" w:rsidR="00160DA0" w:rsidRPr="003D7281" w:rsidRDefault="00160DA0" w:rsidP="00160DA0">
      <w:r w:rsidRPr="003D7281">
        <w:rPr>
          <w:b/>
          <w:bCs/>
        </w:rPr>
        <w:t>Fuente:</w:t>
      </w:r>
      <w:r w:rsidRPr="003D7281">
        <w:t xml:space="preserve"> </w:t>
      </w:r>
      <w:proofErr w:type="spellStart"/>
      <w:r w:rsidR="00BC75E4">
        <w:t>M</w:t>
      </w:r>
      <w:r w:rsidR="00C815E2">
        <w:t>incit</w:t>
      </w:r>
      <w:proofErr w:type="spellEnd"/>
      <w:r w:rsidR="00C815E2">
        <w:t>, septiembre 2020</w:t>
      </w:r>
    </w:p>
    <w:p w14:paraId="561FD536" w14:textId="6F83FE20" w:rsidR="00160DA0" w:rsidRPr="00C97C2B" w:rsidRDefault="00160DA0" w:rsidP="00160DA0">
      <w:proofErr w:type="gramStart"/>
      <w:r w:rsidRPr="00C97C2B">
        <w:rPr>
          <w:b/>
          <w:bCs/>
        </w:rPr>
        <w:t>Link</w:t>
      </w:r>
      <w:proofErr w:type="gramEnd"/>
      <w:r w:rsidRPr="00C97C2B">
        <w:rPr>
          <w:b/>
          <w:bCs/>
        </w:rPr>
        <w:t>:</w:t>
      </w:r>
      <w:r w:rsidRPr="00C97C2B">
        <w:t xml:space="preserve"> </w:t>
      </w:r>
      <w:r w:rsidR="00F277B9" w:rsidRPr="00C97C2B">
        <w:t>https://www.mincit.gov.co/getattachment/minindustria/viceministerio/documentos-de-consulta/politica-nacional-de-inclusion-y-educacion-financi/conpes-4005.pdf.aspx</w:t>
      </w:r>
    </w:p>
    <w:p w14:paraId="1E4353CF" w14:textId="1B5FB158" w:rsidR="00160DA0" w:rsidRDefault="00160DA0" w:rsidP="00160DA0">
      <w:pPr>
        <w:pBdr>
          <w:bottom w:val="single" w:sz="12" w:space="1" w:color="auto"/>
        </w:pBdr>
      </w:pPr>
      <w:r w:rsidRPr="003D7281">
        <w:rPr>
          <w:b/>
          <w:bCs/>
        </w:rPr>
        <w:lastRenderedPageBreak/>
        <w:t>Contenido</w:t>
      </w:r>
      <w:r>
        <w:rPr>
          <w:b/>
          <w:bCs/>
        </w:rPr>
        <w:t>:</w:t>
      </w:r>
      <w:r w:rsidR="00AE6C80">
        <w:rPr>
          <w:b/>
          <w:bCs/>
        </w:rPr>
        <w:t xml:space="preserve"> </w:t>
      </w:r>
      <w:r w:rsidR="00AE6C80" w:rsidRPr="006D43AC">
        <w:t>An</w:t>
      </w:r>
      <w:r w:rsidR="005B517D" w:rsidRPr="006D43AC">
        <w:t>tecede</w:t>
      </w:r>
      <w:r w:rsidR="00FF5B63" w:rsidRPr="006D43AC">
        <w:t xml:space="preserve">ntes </w:t>
      </w:r>
      <w:r w:rsidR="00A8348B" w:rsidRPr="006D43AC">
        <w:t>personas</w:t>
      </w:r>
      <w:r w:rsidR="00987506" w:rsidRPr="006D43AC">
        <w:t>, empre</w:t>
      </w:r>
      <w:r w:rsidR="00974CE5" w:rsidRPr="006D43AC">
        <w:t>sas,</w:t>
      </w:r>
      <w:r w:rsidR="001D6E42" w:rsidRPr="006D43AC">
        <w:t xml:space="preserve"> </w:t>
      </w:r>
      <w:r w:rsidR="00CE6F08" w:rsidRPr="006D43AC">
        <w:t>enfoque</w:t>
      </w:r>
      <w:r w:rsidR="00373A5A" w:rsidRPr="006D43AC">
        <w:t xml:space="preserve"> rural</w:t>
      </w:r>
      <w:r w:rsidR="00813B2A" w:rsidRPr="006D43AC">
        <w:t xml:space="preserve">, indicadores </w:t>
      </w:r>
      <w:r w:rsidR="00FF28DE" w:rsidRPr="006D43AC">
        <w:t xml:space="preserve">de </w:t>
      </w:r>
      <w:r w:rsidR="00B42CA2" w:rsidRPr="006D43AC">
        <w:t>inclusión f</w:t>
      </w:r>
      <w:r w:rsidR="005932A8" w:rsidRPr="006D43AC">
        <w:t>inancier</w:t>
      </w:r>
      <w:r w:rsidR="00E62A55" w:rsidRPr="006D43AC">
        <w:t>a</w:t>
      </w:r>
      <w:r w:rsidR="00D453E8">
        <w:t>.</w:t>
      </w:r>
    </w:p>
    <w:p w14:paraId="5D760722" w14:textId="77777777" w:rsidR="00D453E8" w:rsidRDefault="00D453E8" w:rsidP="00160DA0">
      <w:pPr>
        <w:pBdr>
          <w:bottom w:val="single" w:sz="12" w:space="1" w:color="auto"/>
        </w:pBdr>
      </w:pPr>
    </w:p>
    <w:p w14:paraId="1DE98A64" w14:textId="228A1320" w:rsidR="008820AC" w:rsidRPr="003D7281" w:rsidRDefault="008820AC" w:rsidP="008C5686">
      <w:pPr>
        <w:pStyle w:val="Prrafodelista"/>
        <w:numPr>
          <w:ilvl w:val="0"/>
          <w:numId w:val="8"/>
        </w:numPr>
      </w:pPr>
      <w:r w:rsidRPr="00263987">
        <w:rPr>
          <w:b/>
          <w:bCs/>
        </w:rPr>
        <w:t>Título:</w:t>
      </w:r>
      <w:r w:rsidRPr="003D7281">
        <w:t xml:space="preserve"> </w:t>
      </w:r>
      <w:r w:rsidR="00C90458" w:rsidRPr="00C90458">
        <w:t>El estado mundial de la inclusión financiera y la protección del consumidor</w:t>
      </w:r>
    </w:p>
    <w:p w14:paraId="236EE9B5" w14:textId="3B3BE7C1" w:rsidR="008820AC" w:rsidRPr="003D7281" w:rsidRDefault="008820AC" w:rsidP="008820AC">
      <w:r w:rsidRPr="003D7281">
        <w:rPr>
          <w:b/>
          <w:bCs/>
        </w:rPr>
        <w:t>Fuente:</w:t>
      </w:r>
      <w:r w:rsidRPr="003D7281">
        <w:t xml:space="preserve"> </w:t>
      </w:r>
      <w:r w:rsidR="00C90458" w:rsidRPr="00C90458">
        <w:t xml:space="preserve">Banco </w:t>
      </w:r>
      <w:proofErr w:type="gramStart"/>
      <w:r w:rsidR="00C90458" w:rsidRPr="00C90458">
        <w:t>Mundial .</w:t>
      </w:r>
      <w:proofErr w:type="gramEnd"/>
      <w:r w:rsidR="00C90458" w:rsidRPr="00C90458">
        <w:t xml:space="preserve"> 2024</w:t>
      </w:r>
    </w:p>
    <w:p w14:paraId="71089440" w14:textId="44ED0E4B" w:rsidR="008820AC" w:rsidRPr="00C97C2B" w:rsidRDefault="008820AC" w:rsidP="008820AC">
      <w:proofErr w:type="gramStart"/>
      <w:r w:rsidRPr="00C97C2B">
        <w:rPr>
          <w:b/>
          <w:bCs/>
        </w:rPr>
        <w:t>Link</w:t>
      </w:r>
      <w:proofErr w:type="gramEnd"/>
      <w:r w:rsidRPr="00C97C2B">
        <w:rPr>
          <w:b/>
          <w:bCs/>
        </w:rPr>
        <w:t>:</w:t>
      </w:r>
      <w:r w:rsidRPr="00C97C2B">
        <w:t xml:space="preserve"> </w:t>
      </w:r>
      <w:r w:rsidR="00C90458" w:rsidRPr="00C97C2B">
        <w:t>https://openknowledge.worldbank.org/entities/publication/a9c5836e-894f-46f7-8f99-ac3ec5e1d361</w:t>
      </w:r>
    </w:p>
    <w:p w14:paraId="712C50BC" w14:textId="60692CDE" w:rsidR="008820AC" w:rsidRDefault="008820AC" w:rsidP="008820AC">
      <w:pPr>
        <w:pBdr>
          <w:bottom w:val="single" w:sz="12" w:space="1" w:color="auto"/>
        </w:pBdr>
      </w:pPr>
      <w:r w:rsidRPr="003D7281">
        <w:rPr>
          <w:b/>
          <w:bCs/>
        </w:rPr>
        <w:t>Contenido</w:t>
      </w:r>
      <w:r>
        <w:rPr>
          <w:b/>
          <w:bCs/>
        </w:rPr>
        <w:t>:</w:t>
      </w:r>
      <w:r w:rsidR="00AA1663">
        <w:rPr>
          <w:b/>
          <w:bCs/>
        </w:rPr>
        <w:t xml:space="preserve"> </w:t>
      </w:r>
      <w:r w:rsidR="001D51F2" w:rsidRPr="00385ECE">
        <w:t>Estrate</w:t>
      </w:r>
      <w:r w:rsidR="00A25092" w:rsidRPr="00385ECE">
        <w:t xml:space="preserve">gias </w:t>
      </w:r>
      <w:r w:rsidR="00AD520E" w:rsidRPr="00385ECE">
        <w:t xml:space="preserve">de </w:t>
      </w:r>
      <w:r w:rsidR="0086590E" w:rsidRPr="00385ECE">
        <w:t xml:space="preserve">inclusión </w:t>
      </w:r>
      <w:r w:rsidR="00DD44A3" w:rsidRPr="00385ECE">
        <w:t>financi</w:t>
      </w:r>
      <w:r w:rsidR="00DF59D1" w:rsidRPr="00385ECE">
        <w:t>era</w:t>
      </w:r>
      <w:r w:rsidR="008741D6" w:rsidRPr="00385ECE">
        <w:t xml:space="preserve">, </w:t>
      </w:r>
      <w:r w:rsidR="00B90242" w:rsidRPr="00385ECE">
        <w:t xml:space="preserve">políticas para la </w:t>
      </w:r>
      <w:r w:rsidR="00900603" w:rsidRPr="00385ECE">
        <w:t xml:space="preserve">promoción de </w:t>
      </w:r>
      <w:r w:rsidR="007B0AAA" w:rsidRPr="00385ECE">
        <w:t>inclusión finan</w:t>
      </w:r>
      <w:r w:rsidR="00932230" w:rsidRPr="00385ECE">
        <w:t xml:space="preserve">ciera </w:t>
      </w:r>
    </w:p>
    <w:p w14:paraId="71EC11A3" w14:textId="77777777" w:rsidR="00D453E8" w:rsidRPr="00385ECE" w:rsidRDefault="00D453E8" w:rsidP="008820AC">
      <w:pPr>
        <w:pBdr>
          <w:bottom w:val="single" w:sz="12" w:space="1" w:color="auto"/>
        </w:pBdr>
      </w:pPr>
    </w:p>
    <w:p w14:paraId="1AC8A187" w14:textId="6EA4A3C7" w:rsidR="00160DA0" w:rsidRDefault="00C20D7A" w:rsidP="008C5686">
      <w:pPr>
        <w:pStyle w:val="Prrafodelista"/>
        <w:numPr>
          <w:ilvl w:val="0"/>
          <w:numId w:val="8"/>
        </w:numPr>
      </w:pPr>
      <w:r w:rsidRPr="00263987">
        <w:rPr>
          <w:b/>
          <w:bCs/>
        </w:rPr>
        <w:t>Título:</w:t>
      </w:r>
      <w:r w:rsidRPr="003D7281">
        <w:t xml:space="preserve"> </w:t>
      </w:r>
      <w:r>
        <w:t xml:space="preserve"> </w:t>
      </w:r>
      <w:proofErr w:type="gramStart"/>
      <w:r w:rsidRPr="00C20D7A">
        <w:t>Educación financiera y bienestar financiero</w:t>
      </w:r>
      <w:proofErr w:type="gramEnd"/>
      <w:r w:rsidRPr="00C20D7A">
        <w:t>: evidencia de Colombia en un entorno de alta inflación</w:t>
      </w:r>
      <w:r w:rsidR="00341133">
        <w:t>.</w:t>
      </w:r>
    </w:p>
    <w:p w14:paraId="7855F1F4" w14:textId="7996D5E2" w:rsidR="00C20D7A" w:rsidRPr="00C20D7A" w:rsidRDefault="00C20D7A" w:rsidP="003D7281">
      <w:r w:rsidRPr="003D7281">
        <w:rPr>
          <w:b/>
          <w:bCs/>
        </w:rPr>
        <w:t>Fuente:</w:t>
      </w:r>
      <w:r>
        <w:rPr>
          <w:b/>
          <w:bCs/>
        </w:rPr>
        <w:t xml:space="preserve"> </w:t>
      </w:r>
      <w:r>
        <w:t>Banco de la República de Colombia 2024</w:t>
      </w:r>
    </w:p>
    <w:p w14:paraId="6F7D06B7" w14:textId="689F31C9" w:rsidR="00AD6880" w:rsidRPr="00C20D7A" w:rsidRDefault="00C20D7A" w:rsidP="003D7281">
      <w:pPr>
        <w:rPr>
          <w:lang w:val="en-US"/>
        </w:rPr>
      </w:pPr>
      <w:r w:rsidRPr="00C20D7A">
        <w:rPr>
          <w:b/>
          <w:bCs/>
          <w:lang w:val="en-US"/>
        </w:rPr>
        <w:t>Link:</w:t>
      </w:r>
      <w:r w:rsidRPr="00C20D7A">
        <w:rPr>
          <w:lang w:val="en-US"/>
        </w:rPr>
        <w:t xml:space="preserve"> </w:t>
      </w:r>
      <w:r w:rsidR="00AD6880" w:rsidRPr="00C20D7A">
        <w:rPr>
          <w:lang w:val="en-US"/>
        </w:rPr>
        <w:t>https://repositorio.banrep.gov.co/server/api/core/bitstreams/3552dad8-bf61-4716-8c1a-cbeb82a0314e/content</w:t>
      </w:r>
    </w:p>
    <w:p w14:paraId="7ED2AE72" w14:textId="2AC08967" w:rsidR="00C20D7A" w:rsidRDefault="00C20D7A" w:rsidP="00C20D7A">
      <w:r w:rsidRPr="003D7281">
        <w:rPr>
          <w:b/>
          <w:bCs/>
        </w:rPr>
        <w:t>Contenido</w:t>
      </w:r>
      <w:r>
        <w:rPr>
          <w:b/>
          <w:bCs/>
        </w:rPr>
        <w:t>:</w:t>
      </w:r>
      <w:r w:rsidR="00B02C7F">
        <w:rPr>
          <w:b/>
          <w:bCs/>
        </w:rPr>
        <w:t xml:space="preserve"> </w:t>
      </w:r>
      <w:r w:rsidR="00B02C7F">
        <w:t xml:space="preserve">Estudio de encuesta </w:t>
      </w:r>
      <w:r w:rsidR="00A920A5">
        <w:t>realizada a nivel nacional para evaluar el conocimiento financiero de los individuos</w:t>
      </w:r>
      <w:r w:rsidR="00625CF0">
        <w:t>.</w:t>
      </w:r>
    </w:p>
    <w:p w14:paraId="1139918B" w14:textId="473A34D0" w:rsidR="00625CF0" w:rsidRPr="003B76C9" w:rsidRDefault="00625CF0" w:rsidP="00C20D7A">
      <w:pPr>
        <w:rPr>
          <w:i/>
          <w:iCs/>
        </w:rPr>
      </w:pPr>
      <w:r w:rsidRPr="003B76C9">
        <w:rPr>
          <w:i/>
          <w:iCs/>
        </w:rPr>
        <w:t>“La investigación permite concluir la importancia y urgencia de desarrollar políticas dirigidas a incrementar la educación económica y financiera, particularmente en grupos vulnerables, de tal manera que les permita a las personas ahorrar, invertir, endeudarse menos, asegurar su patrimonio y así garantizar menor pobreza y mayor equidad, contribuyendo a un mayor bienestar de la población a lo largo de los distintos ciclos de la vida”.</w:t>
      </w:r>
    </w:p>
    <w:p w14:paraId="73A0E6A7" w14:textId="41A98210" w:rsidR="00E541EA" w:rsidRDefault="003B76C9" w:rsidP="003D7281">
      <w:pPr>
        <w:pBdr>
          <w:bottom w:val="single" w:sz="12" w:space="1" w:color="auto"/>
        </w:pBdr>
        <w:rPr>
          <w:i/>
          <w:iCs/>
        </w:rPr>
      </w:pPr>
      <w:r w:rsidRPr="003B76C9">
        <w:rPr>
          <w:i/>
          <w:iCs/>
        </w:rPr>
        <w:t>“Las mediciones nacionales sobre capacidades financieras de la población son escasas y cuentan con poca continuidad. En 2012, el Banco de la República solicitó apoyo al Banco Mundial para desarrollar y ejecutar una encuesta de capacidades financieras que fuera representativa a nivel nacional (Reddy et al., 2013) y dentro de los resultados se encontró que el 69% de los colombianos respondió correctamente la pregunta que construyeron para medir el conocimiento de la inflación4 y el 26% lo hizo sobre la construida para medir el conocimiento sobre interés compuesto5.”</w:t>
      </w:r>
    </w:p>
    <w:p w14:paraId="1516AD5F" w14:textId="77777777" w:rsidR="00D453E8" w:rsidRDefault="00D453E8" w:rsidP="003D7281">
      <w:pPr>
        <w:pBdr>
          <w:bottom w:val="single" w:sz="12" w:space="1" w:color="auto"/>
        </w:pBdr>
        <w:rPr>
          <w:i/>
          <w:iCs/>
        </w:rPr>
      </w:pPr>
    </w:p>
    <w:p w14:paraId="7BE21E68" w14:textId="77777777" w:rsidR="00D453E8" w:rsidRPr="00AC0E59" w:rsidRDefault="00D453E8" w:rsidP="00AC0E59">
      <w:pPr>
        <w:pBdr>
          <w:bottom w:val="single" w:sz="12" w:space="1" w:color="auto"/>
        </w:pBdr>
      </w:pPr>
    </w:p>
    <w:p w14:paraId="2DE07EAA" w14:textId="23A1E1E0" w:rsidR="0036228A" w:rsidRPr="003D7281" w:rsidRDefault="0036228A" w:rsidP="008C5686">
      <w:pPr>
        <w:pStyle w:val="Prrafodelista"/>
        <w:numPr>
          <w:ilvl w:val="0"/>
          <w:numId w:val="8"/>
        </w:numPr>
      </w:pPr>
      <w:r w:rsidRPr="00263987">
        <w:rPr>
          <w:b/>
          <w:bCs/>
        </w:rPr>
        <w:t>Título:</w:t>
      </w:r>
      <w:r w:rsidRPr="003D7281">
        <w:t xml:space="preserve"> </w:t>
      </w:r>
      <w:r w:rsidR="00AA3921" w:rsidRPr="00AA3921">
        <w:t>Transacciones en línea y bienestar financiero</w:t>
      </w:r>
    </w:p>
    <w:p w14:paraId="186802D2" w14:textId="121EBE23" w:rsidR="0036228A" w:rsidRPr="003D7281" w:rsidRDefault="0036228A" w:rsidP="0036228A">
      <w:r w:rsidRPr="003D7281">
        <w:rPr>
          <w:b/>
          <w:bCs/>
        </w:rPr>
        <w:t>Fuente:</w:t>
      </w:r>
      <w:r w:rsidRPr="003D7281">
        <w:t xml:space="preserve"> </w:t>
      </w:r>
      <w:r w:rsidR="00B5689A">
        <w:t>Departamento nacional de planeación – DNP Dic 2021</w:t>
      </w:r>
    </w:p>
    <w:p w14:paraId="6940FB91" w14:textId="09B312FA" w:rsidR="0036228A" w:rsidRPr="00EC2FE9" w:rsidRDefault="0036228A" w:rsidP="0036228A">
      <w:pPr>
        <w:rPr>
          <w:lang w:val="en-US"/>
        </w:rPr>
      </w:pPr>
      <w:r w:rsidRPr="003F5F18">
        <w:rPr>
          <w:b/>
          <w:lang w:val="en-US"/>
        </w:rPr>
        <w:t>Link:</w:t>
      </w:r>
      <w:r w:rsidRPr="003F5F18">
        <w:rPr>
          <w:lang w:val="en-US"/>
        </w:rPr>
        <w:t xml:space="preserve"> </w:t>
      </w:r>
      <w:r w:rsidR="00B5689A" w:rsidRPr="003F5F18">
        <w:rPr>
          <w:lang w:val="en-US"/>
        </w:rPr>
        <w:t>https://colaboracion.dnp.gov.co/CDT/Estudios%20Econmicos/538.pdf</w:t>
      </w:r>
    </w:p>
    <w:p w14:paraId="71037D08" w14:textId="4A9B5A48" w:rsidR="0036228A" w:rsidRDefault="0036228A" w:rsidP="0036228A">
      <w:r w:rsidRPr="003D7281">
        <w:rPr>
          <w:b/>
          <w:bCs/>
        </w:rPr>
        <w:lastRenderedPageBreak/>
        <w:t>Contenido</w:t>
      </w:r>
      <w:r>
        <w:rPr>
          <w:b/>
          <w:bCs/>
        </w:rPr>
        <w:t>:</w:t>
      </w:r>
      <w:r w:rsidR="002426A9">
        <w:rPr>
          <w:b/>
          <w:bCs/>
        </w:rPr>
        <w:t xml:space="preserve"> </w:t>
      </w:r>
      <w:r w:rsidR="00983093">
        <w:t>A</w:t>
      </w:r>
      <w:r w:rsidR="00983093" w:rsidRPr="00983093">
        <w:t>dopción de transacciones digitales y algunos determinantes del bienestar financiero.</w:t>
      </w:r>
      <w:r w:rsidR="00D516CF">
        <w:t xml:space="preserve"> </w:t>
      </w:r>
      <w:r w:rsidR="00BA41DC">
        <w:t xml:space="preserve">Encuestas sobre uso de efectivo </w:t>
      </w:r>
      <w:r w:rsidR="00AB3A16">
        <w:t>pre y post pandemia</w:t>
      </w:r>
      <w:r w:rsidR="00AF5C75">
        <w:t xml:space="preserve">, tenencia de productos financieros </w:t>
      </w:r>
    </w:p>
    <w:p w14:paraId="6B9824E5" w14:textId="5B1C8FBD" w:rsidR="007821CD" w:rsidRDefault="00B15D4D" w:rsidP="00B15D4D">
      <w:pPr>
        <w:pBdr>
          <w:bottom w:val="single" w:sz="12" w:space="1" w:color="auto"/>
        </w:pBdr>
        <w:jc w:val="both"/>
        <w:rPr>
          <w:i/>
          <w:iCs/>
        </w:rPr>
      </w:pPr>
      <w:r w:rsidRPr="00B15D4D">
        <w:rPr>
          <w:i/>
          <w:iCs/>
        </w:rPr>
        <w:t>“En Colombia la digitalización de las transacciones y el acceso a servicios financieros, principalmente a productos de depósito, tuvieron una dinámica favorable entre 2019 y 2020. El número de transacciones por canales digitales aumentó 141,6% y, entre ellas, aquellas realizadas vía internet aumentaron 30,7% y por telefonía móvil 171,8%. Asimismo, el número de adultos con productos financieros activos se incrementó en 2,9 millones de personas1 (Banca de las Oportunidades &amp; Superintendencia Financiera de Colombia, 2021).”</w:t>
      </w:r>
    </w:p>
    <w:p w14:paraId="325E5030" w14:textId="77777777" w:rsidR="00D453E8" w:rsidRPr="00B15D4D" w:rsidRDefault="00D453E8" w:rsidP="00B15D4D">
      <w:pPr>
        <w:pBdr>
          <w:bottom w:val="single" w:sz="12" w:space="1" w:color="auto"/>
        </w:pBdr>
        <w:jc w:val="both"/>
        <w:rPr>
          <w:i/>
          <w:iCs/>
        </w:rPr>
      </w:pPr>
    </w:p>
    <w:p w14:paraId="31F65F35" w14:textId="0DC1B2ED" w:rsidR="007821CD" w:rsidRPr="003D7281" w:rsidRDefault="007821CD" w:rsidP="008C5686">
      <w:pPr>
        <w:pStyle w:val="Prrafodelista"/>
        <w:numPr>
          <w:ilvl w:val="0"/>
          <w:numId w:val="8"/>
        </w:numPr>
      </w:pPr>
      <w:r w:rsidRPr="00263987">
        <w:rPr>
          <w:b/>
          <w:bCs/>
        </w:rPr>
        <w:t>Título:</w:t>
      </w:r>
      <w:r w:rsidRPr="003D7281">
        <w:t xml:space="preserve"> </w:t>
      </w:r>
      <w:r w:rsidR="008C277A" w:rsidRPr="008C277A">
        <w:t>Más allá de la Inclusión Financiera: Bienestar Financiero</w:t>
      </w:r>
      <w:r w:rsidR="000969CD">
        <w:t xml:space="preserve"> *****</w:t>
      </w:r>
    </w:p>
    <w:p w14:paraId="53AF372A" w14:textId="42A252F0" w:rsidR="007821CD" w:rsidRPr="003D7281" w:rsidRDefault="007821CD" w:rsidP="007821CD">
      <w:r w:rsidRPr="003D7281">
        <w:rPr>
          <w:b/>
          <w:bCs/>
        </w:rPr>
        <w:t>Fuente:</w:t>
      </w:r>
      <w:r w:rsidRPr="003D7281">
        <w:t xml:space="preserve"> </w:t>
      </w:r>
      <w:r w:rsidR="008C277A">
        <w:t>Asobancaria</w:t>
      </w:r>
      <w:r w:rsidR="00867F77">
        <w:t>, 2024.</w:t>
      </w:r>
    </w:p>
    <w:p w14:paraId="03E427F8" w14:textId="244ACA95" w:rsidR="007821CD" w:rsidRPr="003D25FC" w:rsidRDefault="007821CD" w:rsidP="007821CD">
      <w:proofErr w:type="gramStart"/>
      <w:r w:rsidRPr="003D25FC">
        <w:rPr>
          <w:b/>
          <w:bCs/>
        </w:rPr>
        <w:t>Link</w:t>
      </w:r>
      <w:proofErr w:type="gramEnd"/>
      <w:r w:rsidRPr="003D25FC">
        <w:rPr>
          <w:b/>
          <w:bCs/>
        </w:rPr>
        <w:t>:</w:t>
      </w:r>
      <w:r w:rsidRPr="003D25FC">
        <w:t xml:space="preserve"> </w:t>
      </w:r>
      <w:r w:rsidR="000277C4" w:rsidRPr="003D25FC">
        <w:t>https://www.asobancaria.com/wp-content/uploads/2024/02/1414-BE-2.pdf</w:t>
      </w:r>
    </w:p>
    <w:p w14:paraId="62DE032C" w14:textId="3F584A0E" w:rsidR="007821CD" w:rsidRDefault="007821CD" w:rsidP="007821CD">
      <w:pPr>
        <w:rPr>
          <w:b/>
          <w:bCs/>
        </w:rPr>
      </w:pPr>
      <w:r w:rsidRPr="003D7281">
        <w:rPr>
          <w:b/>
          <w:bCs/>
        </w:rPr>
        <w:t>Contenido</w:t>
      </w:r>
      <w:r>
        <w:rPr>
          <w:b/>
          <w:bCs/>
        </w:rPr>
        <w:t xml:space="preserve">: </w:t>
      </w:r>
      <w:r w:rsidR="00C721EF" w:rsidRPr="006767F4">
        <w:t>Bienestar financiero</w:t>
      </w:r>
      <w:r w:rsidR="007D7DF1" w:rsidRPr="006767F4">
        <w:t xml:space="preserve">, puntajes de bienestar financiero en Colombia (esta por </w:t>
      </w:r>
      <w:proofErr w:type="spellStart"/>
      <w:r w:rsidR="007D7DF1" w:rsidRPr="006767F4">
        <w:t>genero</w:t>
      </w:r>
      <w:proofErr w:type="spellEnd"/>
      <w:r w:rsidR="00E02270" w:rsidRPr="006767F4">
        <w:t>, edad, nivel educativo</w:t>
      </w:r>
      <w:r w:rsidR="00982D0E" w:rsidRPr="006767F4">
        <w:t>, área</w:t>
      </w:r>
    </w:p>
    <w:p w14:paraId="40BCE22E" w14:textId="68AC553A" w:rsidR="000255EF" w:rsidRPr="000255EF" w:rsidRDefault="000255EF" w:rsidP="000255EF">
      <w:pPr>
        <w:jc w:val="both"/>
        <w:rPr>
          <w:bCs/>
          <w:i/>
          <w:iCs/>
        </w:rPr>
      </w:pPr>
      <w:r>
        <w:rPr>
          <w:bCs/>
          <w:i/>
          <w:iCs/>
        </w:rPr>
        <w:t>“</w:t>
      </w:r>
      <w:r w:rsidRPr="000255EF">
        <w:rPr>
          <w:bCs/>
          <w:i/>
          <w:iCs/>
        </w:rPr>
        <w:t>La inclusión financiera es entendida ampliamente por la academia y los gobiernos nacionales como un determinante clave en el desarrollo y la disminución de la pobreza de los países. De hecho, es considerada como una herramienta fundamental para alcanzar cinco de los diecisiete ODS planteados por las Naciones Unidas</w:t>
      </w:r>
      <w:proofErr w:type="gramStart"/>
      <w:r w:rsidRPr="000255EF">
        <w:rPr>
          <w:bCs/>
          <w:i/>
          <w:iCs/>
        </w:rPr>
        <w:t>2 .</w:t>
      </w:r>
      <w:proofErr w:type="gramEnd"/>
      <w:r w:rsidRPr="000255EF">
        <w:rPr>
          <w:bCs/>
          <w:i/>
          <w:iCs/>
        </w:rPr>
        <w:t xml:space="preserve"> Sin embargo, el concepto de inclusión financiera suele ser bastante amplio y son diversas las formas en que se evalúa su impacto en el bienestar de las personas.</w:t>
      </w:r>
      <w:r>
        <w:rPr>
          <w:bCs/>
          <w:i/>
          <w:iCs/>
        </w:rPr>
        <w:t>”</w:t>
      </w:r>
    </w:p>
    <w:p w14:paraId="4D9767E2" w14:textId="51B1ECE2" w:rsidR="003F5F18" w:rsidRDefault="00C9126B" w:rsidP="00C9126B">
      <w:pPr>
        <w:pBdr>
          <w:bottom w:val="single" w:sz="12" w:space="1" w:color="auto"/>
        </w:pBdr>
        <w:jc w:val="both"/>
        <w:rPr>
          <w:i/>
          <w:iCs/>
        </w:rPr>
      </w:pPr>
      <w:r w:rsidRPr="00C9126B">
        <w:rPr>
          <w:i/>
          <w:iCs/>
        </w:rPr>
        <w:t>“En 2022, Banca de las Oportunidades (BDO) publicó la Encuesta de Demanda de Inclusión financiera20, cuyo componente de bienestar financiero se basó en el marco teórico y metodología del CFPB. En esta medición, se encontró que en Colombia el índice a nivel nacional fue 51,6. Además, los hombres (52,4) perciben mayor bienestar financiero que las mujeres (50,9). La región con mayor puntuación en este índice fue Centro Oriente (53) y la región Caribe (50,5) la del menor puntaje. Por nivel de ruralidad, en las ciudades y aglomeraciones (52,2) se percibe más bienestar que en los niveles de ruralidad intermedio (49,9), rural (50,8) y rural disperso (50,3).”</w:t>
      </w:r>
    </w:p>
    <w:p w14:paraId="7DBE96AA" w14:textId="77777777" w:rsidR="00D453E8" w:rsidRDefault="00D453E8" w:rsidP="00C9126B">
      <w:pPr>
        <w:pBdr>
          <w:bottom w:val="single" w:sz="12" w:space="1" w:color="auto"/>
        </w:pBdr>
        <w:jc w:val="both"/>
        <w:rPr>
          <w:i/>
          <w:iCs/>
        </w:rPr>
      </w:pPr>
    </w:p>
    <w:p w14:paraId="33A09D8C" w14:textId="77777777" w:rsidR="00556798" w:rsidRPr="00556798" w:rsidRDefault="003F5F18" w:rsidP="008C5686">
      <w:pPr>
        <w:pStyle w:val="Prrafodelista"/>
        <w:numPr>
          <w:ilvl w:val="0"/>
          <w:numId w:val="8"/>
        </w:numPr>
      </w:pPr>
      <w:r w:rsidRPr="00263987">
        <w:rPr>
          <w:b/>
          <w:bCs/>
        </w:rPr>
        <w:t>Título:</w:t>
      </w:r>
      <w:r w:rsidRPr="003D7281">
        <w:t xml:space="preserve"> </w:t>
      </w:r>
      <w:r w:rsidR="00556798" w:rsidRPr="00556798">
        <w:t>Inclusión financiera en América Latina y el Caribe</w:t>
      </w:r>
    </w:p>
    <w:p w14:paraId="2E7E1FBF" w14:textId="287B3B5E" w:rsidR="00D46580" w:rsidRPr="003D7281" w:rsidRDefault="00D46580" w:rsidP="00D46580">
      <w:r w:rsidRPr="003D7281">
        <w:rPr>
          <w:b/>
          <w:bCs/>
        </w:rPr>
        <w:t>Fuente:</w:t>
      </w:r>
      <w:r w:rsidR="00AD19D2">
        <w:rPr>
          <w:b/>
          <w:bCs/>
        </w:rPr>
        <w:t xml:space="preserve"> Verificar si es viable la fuente </w:t>
      </w:r>
    </w:p>
    <w:p w14:paraId="01A6CA6E" w14:textId="68460B17" w:rsidR="00222589" w:rsidRPr="00D453E8" w:rsidRDefault="00D46580" w:rsidP="00D46580">
      <w:pPr>
        <w:rPr>
          <w:lang w:val="en-US"/>
        </w:rPr>
      </w:pPr>
      <w:r w:rsidRPr="00D453E8">
        <w:rPr>
          <w:b/>
          <w:bCs/>
          <w:lang w:val="en-US"/>
        </w:rPr>
        <w:t>Link:</w:t>
      </w:r>
      <w:r w:rsidRPr="00D453E8">
        <w:rPr>
          <w:lang w:val="en-US"/>
        </w:rPr>
        <w:t xml:space="preserve"> </w:t>
      </w:r>
      <w:hyperlink r:id="rId28" w:history="1">
        <w:r w:rsidR="00222589" w:rsidRPr="00D453E8">
          <w:rPr>
            <w:rStyle w:val="Hipervnculo"/>
            <w:lang w:val="en-US"/>
          </w:rPr>
          <w:t>https://www.findevgateway.org/es/region/inclusion-financiera-en-america-latina-y-el-caribe</w:t>
        </w:r>
      </w:hyperlink>
    </w:p>
    <w:p w14:paraId="5B6863E5" w14:textId="77777777" w:rsidR="00D46580" w:rsidRDefault="00D46580" w:rsidP="00D46580">
      <w:pPr>
        <w:pBdr>
          <w:bottom w:val="single" w:sz="12" w:space="1" w:color="auto"/>
        </w:pBdr>
        <w:rPr>
          <w:b/>
          <w:bCs/>
        </w:rPr>
      </w:pPr>
      <w:r w:rsidRPr="003D7281">
        <w:rPr>
          <w:b/>
          <w:bCs/>
        </w:rPr>
        <w:t>Contenido</w:t>
      </w:r>
      <w:r>
        <w:rPr>
          <w:b/>
          <w:bCs/>
        </w:rPr>
        <w:t xml:space="preserve">: </w:t>
      </w:r>
    </w:p>
    <w:p w14:paraId="3135980B" w14:textId="77777777" w:rsidR="00D453E8" w:rsidRDefault="00D453E8" w:rsidP="00D46580">
      <w:pPr>
        <w:pBdr>
          <w:bottom w:val="single" w:sz="12" w:space="1" w:color="auto"/>
        </w:pBdr>
      </w:pPr>
    </w:p>
    <w:p w14:paraId="6083B96B" w14:textId="4270F07E" w:rsidR="003F5F18" w:rsidRPr="003D7281" w:rsidRDefault="003F5F18" w:rsidP="008C5686">
      <w:pPr>
        <w:pStyle w:val="Prrafodelista"/>
        <w:numPr>
          <w:ilvl w:val="0"/>
          <w:numId w:val="8"/>
        </w:numPr>
      </w:pPr>
      <w:r w:rsidRPr="00263987">
        <w:rPr>
          <w:b/>
          <w:bCs/>
        </w:rPr>
        <w:lastRenderedPageBreak/>
        <w:t>Título:</w:t>
      </w:r>
      <w:r w:rsidRPr="003D7281">
        <w:t xml:space="preserve"> </w:t>
      </w:r>
      <w:r w:rsidR="00FE7524" w:rsidRPr="00FE7524">
        <w:t>Inclusión financiera en Colombia</w:t>
      </w:r>
    </w:p>
    <w:p w14:paraId="386D27E5" w14:textId="7FB3A017" w:rsidR="003F5F18" w:rsidRPr="003D7281" w:rsidRDefault="003F5F18" w:rsidP="003F5F18">
      <w:r w:rsidRPr="003D7281">
        <w:rPr>
          <w:b/>
          <w:bCs/>
        </w:rPr>
        <w:t>Fuente:</w:t>
      </w:r>
    </w:p>
    <w:p w14:paraId="41434D84" w14:textId="672051BF" w:rsidR="00DD6A17" w:rsidRPr="00E527A9" w:rsidRDefault="003F5F18" w:rsidP="003F5F18">
      <w:pPr>
        <w:rPr>
          <w:lang w:val="en-US"/>
        </w:rPr>
      </w:pPr>
      <w:r w:rsidRPr="00E527A9">
        <w:rPr>
          <w:b/>
          <w:bCs/>
          <w:lang w:val="en-US"/>
        </w:rPr>
        <w:t>Link:</w:t>
      </w:r>
      <w:r w:rsidRPr="00E527A9">
        <w:rPr>
          <w:lang w:val="en-US"/>
        </w:rPr>
        <w:t xml:space="preserve"> </w:t>
      </w:r>
      <w:hyperlink r:id="rId29" w:history="1">
        <w:r w:rsidR="00DD6A17" w:rsidRPr="00E527A9">
          <w:rPr>
            <w:rStyle w:val="Hipervnculo"/>
            <w:lang w:val="en-US"/>
          </w:rPr>
          <w:t>https://www.findevgateway.org/es/pais/inclusion-financiera-en-colombia</w:t>
        </w:r>
      </w:hyperlink>
    </w:p>
    <w:p w14:paraId="7830E127" w14:textId="77777777" w:rsidR="003F5F18" w:rsidRDefault="003F5F18" w:rsidP="003F5F18">
      <w:r w:rsidRPr="003D7281">
        <w:rPr>
          <w:b/>
          <w:bCs/>
        </w:rPr>
        <w:t>Contenido</w:t>
      </w:r>
      <w:r>
        <w:rPr>
          <w:b/>
          <w:bCs/>
        </w:rPr>
        <w:t xml:space="preserve">: </w:t>
      </w:r>
    </w:p>
    <w:p w14:paraId="74C5BA29" w14:textId="77777777" w:rsidR="003F5F18" w:rsidRDefault="003F5F18" w:rsidP="007821CD">
      <w:pPr>
        <w:pBdr>
          <w:bottom w:val="single" w:sz="12" w:space="1" w:color="auto"/>
        </w:pBdr>
      </w:pPr>
    </w:p>
    <w:p w14:paraId="72DFA8D8" w14:textId="14FFEABA" w:rsidR="00973564" w:rsidRPr="003D7281" w:rsidRDefault="00973564" w:rsidP="008C5686">
      <w:pPr>
        <w:pStyle w:val="Prrafodelista"/>
        <w:numPr>
          <w:ilvl w:val="0"/>
          <w:numId w:val="8"/>
        </w:numPr>
      </w:pPr>
      <w:r w:rsidRPr="00263987">
        <w:rPr>
          <w:b/>
          <w:bCs/>
        </w:rPr>
        <w:t>Título:</w:t>
      </w:r>
      <w:r w:rsidRPr="003D7281">
        <w:t xml:space="preserve"> </w:t>
      </w:r>
      <w:r w:rsidR="00163607">
        <w:t>Replanteando el microscopio global para la inclusión financiera: Informe de hal</w:t>
      </w:r>
      <w:r w:rsidR="00BA6090">
        <w:t>lazgos clave de 2021</w:t>
      </w:r>
    </w:p>
    <w:p w14:paraId="095D5238" w14:textId="4741B627" w:rsidR="00973564" w:rsidRPr="009E2F22" w:rsidRDefault="00973564" w:rsidP="00973564">
      <w:pPr>
        <w:rPr>
          <w:lang w:val="en-US"/>
        </w:rPr>
      </w:pPr>
      <w:r w:rsidRPr="009E2F22">
        <w:rPr>
          <w:b/>
          <w:lang w:val="en-US"/>
        </w:rPr>
        <w:t>Fuente:</w:t>
      </w:r>
      <w:r w:rsidR="00233788" w:rsidRPr="009E2F22">
        <w:rPr>
          <w:b/>
          <w:lang w:val="en-US"/>
        </w:rPr>
        <w:t xml:space="preserve"> BID</w:t>
      </w:r>
    </w:p>
    <w:p w14:paraId="5C27E99C" w14:textId="29BC990C" w:rsidR="00973564" w:rsidRPr="009E2F22" w:rsidRDefault="00973564" w:rsidP="00973564">
      <w:pPr>
        <w:rPr>
          <w:lang w:val="en-US"/>
        </w:rPr>
      </w:pPr>
      <w:r w:rsidRPr="009E2F22">
        <w:rPr>
          <w:b/>
          <w:bCs/>
          <w:lang w:val="en-US"/>
        </w:rPr>
        <w:t>Link:</w:t>
      </w:r>
      <w:r w:rsidRPr="009E2F22">
        <w:rPr>
          <w:lang w:val="en-US"/>
        </w:rPr>
        <w:t xml:space="preserve"> </w:t>
      </w:r>
      <w:hyperlink r:id="rId30" w:history="1">
        <w:r w:rsidR="009E2F22" w:rsidRPr="009E2F22">
          <w:rPr>
            <w:rStyle w:val="Hipervnculo"/>
            <w:lang w:val="en-US"/>
          </w:rPr>
          <w:t>https://www.iadb.org/es/quienes-somos/topicos/inclusion-financiera/personas-y-empresas</w:t>
        </w:r>
      </w:hyperlink>
    </w:p>
    <w:p w14:paraId="13C55EDE" w14:textId="367D7888" w:rsidR="009E2F22" w:rsidRDefault="00000000" w:rsidP="00973564">
      <w:pPr>
        <w:rPr>
          <w:lang w:val="en-US"/>
        </w:rPr>
      </w:pPr>
      <w:hyperlink r:id="rId31" w:history="1">
        <w:r w:rsidR="009E2F22" w:rsidRPr="00F05B9C">
          <w:rPr>
            <w:rStyle w:val="Hipervnculo"/>
            <w:lang w:val="en-US"/>
          </w:rPr>
          <w:t>https://www.iadb.org/es/quienes-somos/topicos/inclusion-financiera/personas-y-empresas</w:t>
        </w:r>
      </w:hyperlink>
    </w:p>
    <w:p w14:paraId="27EDEDD2" w14:textId="6EF6942B" w:rsidR="0026265D" w:rsidRPr="00AC4BF4" w:rsidRDefault="00000000" w:rsidP="00973564">
      <w:hyperlink r:id="rId32" w:history="1">
        <w:r w:rsidR="0026265D" w:rsidRPr="0026265D">
          <w:rPr>
            <w:rStyle w:val="Hipervnculo"/>
          </w:rPr>
          <w:t>BID | Datos (iadb.org)</w:t>
        </w:r>
      </w:hyperlink>
    </w:p>
    <w:p w14:paraId="0239F984" w14:textId="4BC88A58" w:rsidR="00973564" w:rsidRDefault="00973564" w:rsidP="00973564">
      <w:r w:rsidRPr="003D7281">
        <w:rPr>
          <w:b/>
          <w:bCs/>
        </w:rPr>
        <w:t>Contenido</w:t>
      </w:r>
      <w:r>
        <w:rPr>
          <w:b/>
          <w:bCs/>
        </w:rPr>
        <w:t xml:space="preserve">: </w:t>
      </w:r>
      <w:r w:rsidR="00A831FE" w:rsidRPr="004C0049">
        <w:t>Datos de inclusión y barreras financieras</w:t>
      </w:r>
      <w:r w:rsidR="004C0049" w:rsidRPr="004C0049">
        <w:t>, tenencia de productos</w:t>
      </w:r>
    </w:p>
    <w:p w14:paraId="27F66110" w14:textId="77777777" w:rsidR="007821CD" w:rsidRDefault="007821CD" w:rsidP="0036228A">
      <w:pPr>
        <w:pBdr>
          <w:bottom w:val="single" w:sz="12" w:space="1" w:color="auto"/>
        </w:pBdr>
      </w:pPr>
    </w:p>
    <w:p w14:paraId="5F4C95B7" w14:textId="2E6F53BF" w:rsidR="006F1BED" w:rsidRPr="003D7281" w:rsidRDefault="006F1BED" w:rsidP="008C5686">
      <w:pPr>
        <w:pStyle w:val="Prrafodelista"/>
        <w:numPr>
          <w:ilvl w:val="0"/>
          <w:numId w:val="8"/>
        </w:numPr>
      </w:pPr>
      <w:r w:rsidRPr="00263987">
        <w:rPr>
          <w:b/>
          <w:bCs/>
        </w:rPr>
        <w:t>Título:</w:t>
      </w:r>
      <w:r w:rsidRPr="003D7281">
        <w:t xml:space="preserve"> </w:t>
      </w:r>
      <w:r w:rsidR="00DA5FAF">
        <w:t>El impacto de un programa de inclusión financiera en las opciones de pago, el ahorro y el crédito de los hogares</w:t>
      </w:r>
    </w:p>
    <w:p w14:paraId="18187928" w14:textId="77777777" w:rsidR="006F1BED" w:rsidRPr="00263987" w:rsidRDefault="006F1BED" w:rsidP="006F1BED">
      <w:pPr>
        <w:rPr>
          <w:lang w:val="en-US"/>
        </w:rPr>
      </w:pPr>
      <w:r w:rsidRPr="00263987">
        <w:rPr>
          <w:b/>
          <w:lang w:val="en-US"/>
        </w:rPr>
        <w:t>Fuente: BID</w:t>
      </w:r>
    </w:p>
    <w:p w14:paraId="7DECA7AE" w14:textId="77777777" w:rsidR="006F1BED" w:rsidRPr="009E2F22" w:rsidRDefault="006F1BED" w:rsidP="006F1BED">
      <w:pPr>
        <w:rPr>
          <w:lang w:val="en-US"/>
        </w:rPr>
      </w:pPr>
      <w:r w:rsidRPr="009E2F22">
        <w:rPr>
          <w:b/>
          <w:bCs/>
          <w:lang w:val="en-US"/>
        </w:rPr>
        <w:t>Link:</w:t>
      </w:r>
      <w:r w:rsidRPr="009E2F22">
        <w:rPr>
          <w:lang w:val="en-US"/>
        </w:rPr>
        <w:t xml:space="preserve"> </w:t>
      </w:r>
      <w:hyperlink r:id="rId33" w:history="1">
        <w:r w:rsidRPr="009E2F22">
          <w:rPr>
            <w:rStyle w:val="Hipervnculo"/>
            <w:lang w:val="en-US"/>
          </w:rPr>
          <w:t>https://www.iadb.org/es/quienes-somos/topicos/inclusion-financiera/personas-y-empresas</w:t>
        </w:r>
      </w:hyperlink>
    </w:p>
    <w:p w14:paraId="70E7E088" w14:textId="1FA21C8A" w:rsidR="006F1BED" w:rsidRDefault="006F1BED" w:rsidP="006F1BED">
      <w:pPr>
        <w:rPr>
          <w:b/>
        </w:rPr>
      </w:pPr>
      <w:r w:rsidRPr="003D7281">
        <w:rPr>
          <w:b/>
          <w:bCs/>
        </w:rPr>
        <w:t>Contenido</w:t>
      </w:r>
      <w:r>
        <w:rPr>
          <w:b/>
          <w:bCs/>
        </w:rPr>
        <w:t xml:space="preserve">: </w:t>
      </w:r>
      <w:r w:rsidR="0035775D" w:rsidRPr="0035775D">
        <w:t>Inclusión financiera se promueve a través de reducción de puntos en el impuesto de valor agregado, caso Uruguay</w:t>
      </w:r>
    </w:p>
    <w:p w14:paraId="0C0D48DF" w14:textId="77777777" w:rsidR="00ED714C" w:rsidRDefault="00ED714C" w:rsidP="006F1BED">
      <w:pPr>
        <w:pBdr>
          <w:bottom w:val="single" w:sz="12" w:space="1" w:color="auto"/>
        </w:pBdr>
        <w:rPr>
          <w:b/>
          <w:bCs/>
        </w:rPr>
      </w:pPr>
    </w:p>
    <w:p w14:paraId="7769CB66" w14:textId="6A60BFC4" w:rsidR="00253601" w:rsidRPr="00253601" w:rsidRDefault="00AC4BF4" w:rsidP="008C5686">
      <w:pPr>
        <w:pStyle w:val="Prrafodelista"/>
        <w:numPr>
          <w:ilvl w:val="0"/>
          <w:numId w:val="8"/>
        </w:numPr>
      </w:pPr>
      <w:r w:rsidRPr="00263987">
        <w:rPr>
          <w:b/>
          <w:bCs/>
        </w:rPr>
        <w:t>Título:</w:t>
      </w:r>
      <w:r w:rsidRPr="003D7281">
        <w:t xml:space="preserve"> </w:t>
      </w:r>
      <w:r w:rsidR="00253601" w:rsidRPr="00253601">
        <w:t>Publicación: El pequeño libro de datos sobre inclusión financiera 2022</w:t>
      </w:r>
    </w:p>
    <w:p w14:paraId="5426DD3C" w14:textId="2313596B" w:rsidR="00AC4BF4" w:rsidRPr="00253601" w:rsidRDefault="00AC4BF4" w:rsidP="00AC4BF4">
      <w:r w:rsidRPr="00253601">
        <w:rPr>
          <w:b/>
          <w:bCs/>
        </w:rPr>
        <w:t xml:space="preserve">Fuente: </w:t>
      </w:r>
      <w:r w:rsidR="00253601" w:rsidRPr="00253601">
        <w:rPr>
          <w:b/>
          <w:bCs/>
        </w:rPr>
        <w:t>Banco Mundi</w:t>
      </w:r>
      <w:r w:rsidR="00253601">
        <w:rPr>
          <w:b/>
          <w:bCs/>
        </w:rPr>
        <w:t>al, 2022</w:t>
      </w:r>
    </w:p>
    <w:p w14:paraId="72021C23" w14:textId="19720A9A" w:rsidR="00AC4BF4" w:rsidRPr="00253601" w:rsidRDefault="00AC4BF4" w:rsidP="00AC4BF4">
      <w:proofErr w:type="gramStart"/>
      <w:r w:rsidRPr="00253601">
        <w:rPr>
          <w:b/>
        </w:rPr>
        <w:t>Link</w:t>
      </w:r>
      <w:proofErr w:type="gramEnd"/>
      <w:r w:rsidRPr="00253601">
        <w:rPr>
          <w:b/>
        </w:rPr>
        <w:t>:</w:t>
      </w:r>
      <w:r w:rsidRPr="00253601">
        <w:t xml:space="preserve"> </w:t>
      </w:r>
      <w:r w:rsidR="00BD4C20" w:rsidRPr="00253601">
        <w:t>https://openknowledge.worldbank.org/entities/publication/4be9972a-3b1d-5db8-8534-6a885e7bb7bb</w:t>
      </w:r>
    </w:p>
    <w:p w14:paraId="55FE66A5" w14:textId="16D69747" w:rsidR="00AC4BF4" w:rsidRPr="00B231F8" w:rsidRDefault="00AC4BF4" w:rsidP="00AC4BF4">
      <w:r w:rsidRPr="003D7281">
        <w:rPr>
          <w:b/>
          <w:bCs/>
        </w:rPr>
        <w:t>Contenido</w:t>
      </w:r>
      <w:r>
        <w:rPr>
          <w:b/>
          <w:bCs/>
        </w:rPr>
        <w:t xml:space="preserve">: </w:t>
      </w:r>
      <w:r w:rsidR="00C778BC" w:rsidRPr="00B231F8">
        <w:t>Datos de Latinoamérica</w:t>
      </w:r>
      <w:r w:rsidR="00516FE8" w:rsidRPr="00B231F8">
        <w:t xml:space="preserve"> para inclusión, tiene datos de población, ingresos </w:t>
      </w:r>
      <w:r w:rsidR="00D97B7D" w:rsidRPr="00B231F8">
        <w:t xml:space="preserve">GNI per </w:t>
      </w:r>
      <w:proofErr w:type="spellStart"/>
      <w:r w:rsidR="00D97B7D" w:rsidRPr="00B231F8">
        <w:t>capita</w:t>
      </w:r>
      <w:proofErr w:type="spellEnd"/>
      <w:r w:rsidR="00D97B7D" w:rsidRPr="00B231F8">
        <w:t xml:space="preserve">, </w:t>
      </w:r>
      <w:r w:rsidR="00BB21EC" w:rsidRPr="00B231F8">
        <w:t>Productos financieros</w:t>
      </w:r>
      <w:r w:rsidR="00B231F8" w:rsidRPr="00B231F8">
        <w:t>, datos por País.</w:t>
      </w:r>
    </w:p>
    <w:p w14:paraId="4E99AA36" w14:textId="77777777" w:rsidR="00ED714C" w:rsidRDefault="00ED714C" w:rsidP="006F1BED">
      <w:pPr>
        <w:pBdr>
          <w:bottom w:val="single" w:sz="12" w:space="1" w:color="auto"/>
        </w:pBdr>
      </w:pPr>
    </w:p>
    <w:p w14:paraId="31F95430" w14:textId="73FAD658" w:rsidR="004D76EC" w:rsidRPr="003D7281" w:rsidRDefault="004D76EC" w:rsidP="008C5686">
      <w:pPr>
        <w:pStyle w:val="Prrafodelista"/>
        <w:numPr>
          <w:ilvl w:val="0"/>
          <w:numId w:val="8"/>
        </w:numPr>
      </w:pPr>
      <w:r w:rsidRPr="002C23DD">
        <w:rPr>
          <w:b/>
          <w:bCs/>
        </w:rPr>
        <w:t>Título:</w:t>
      </w:r>
      <w:r w:rsidRPr="003D7281">
        <w:t xml:space="preserve"> </w:t>
      </w:r>
      <w:r w:rsidR="00A21B07">
        <w:t>Índice de Inclusión Financiera</w:t>
      </w:r>
      <w:r w:rsidR="008110D5">
        <w:t xml:space="preserve"> </w:t>
      </w:r>
      <w:r w:rsidR="00A21B07">
        <w:t>de Credicorp 2023</w:t>
      </w:r>
    </w:p>
    <w:p w14:paraId="451F8742" w14:textId="14E9AA07" w:rsidR="004D76EC" w:rsidRPr="00DF1FB8" w:rsidRDefault="004D76EC" w:rsidP="004D76EC">
      <w:r w:rsidRPr="00DF1FB8">
        <w:rPr>
          <w:b/>
        </w:rPr>
        <w:t xml:space="preserve">Fuente: </w:t>
      </w:r>
      <w:r w:rsidR="00A21B07" w:rsidRPr="00DF1FB8">
        <w:rPr>
          <w:b/>
        </w:rPr>
        <w:t>Grupo Credicorp</w:t>
      </w:r>
      <w:r w:rsidR="00DF1FB8" w:rsidRPr="00DF1FB8">
        <w:rPr>
          <w:b/>
          <w:bCs/>
        </w:rPr>
        <w:t>,</w:t>
      </w:r>
      <w:r w:rsidR="00DF1FB8">
        <w:rPr>
          <w:b/>
          <w:bCs/>
        </w:rPr>
        <w:t xml:space="preserve"> 2023</w:t>
      </w:r>
    </w:p>
    <w:p w14:paraId="6594D64D" w14:textId="7133E4F9" w:rsidR="004D76EC" w:rsidRPr="003D25FC" w:rsidRDefault="004D76EC" w:rsidP="004D76EC">
      <w:proofErr w:type="gramStart"/>
      <w:r w:rsidRPr="003D25FC">
        <w:rPr>
          <w:b/>
          <w:bCs/>
        </w:rPr>
        <w:lastRenderedPageBreak/>
        <w:t>Link</w:t>
      </w:r>
      <w:proofErr w:type="gramEnd"/>
      <w:r w:rsidRPr="003D25FC">
        <w:rPr>
          <w:b/>
          <w:bCs/>
        </w:rPr>
        <w:t>:</w:t>
      </w:r>
      <w:r w:rsidRPr="003D25FC">
        <w:t xml:space="preserve"> </w:t>
      </w:r>
      <w:r w:rsidR="00DE6C43" w:rsidRPr="003D25FC">
        <w:t>https://grupocredicorp.com/indice-inclusion-financiera/</w:t>
      </w:r>
    </w:p>
    <w:p w14:paraId="19EE3452" w14:textId="10715029" w:rsidR="004D76EC" w:rsidRDefault="004D76EC" w:rsidP="004D76EC">
      <w:pPr>
        <w:rPr>
          <w:b/>
          <w:bCs/>
        </w:rPr>
      </w:pPr>
      <w:r w:rsidRPr="003D7281">
        <w:rPr>
          <w:b/>
          <w:bCs/>
        </w:rPr>
        <w:t>Contenido</w:t>
      </w:r>
      <w:r>
        <w:rPr>
          <w:b/>
          <w:bCs/>
        </w:rPr>
        <w:t xml:space="preserve">: </w:t>
      </w:r>
      <w:r w:rsidR="00353273">
        <w:rPr>
          <w:b/>
          <w:bCs/>
        </w:rPr>
        <w:t xml:space="preserve"> </w:t>
      </w:r>
      <w:r w:rsidR="00353273" w:rsidRPr="00B205FF">
        <w:t>Datos sobre el índice de inclusión financiera</w:t>
      </w:r>
      <w:r w:rsidR="00B205FF" w:rsidRPr="00B205FF">
        <w:t>, acceso y barreras</w:t>
      </w:r>
      <w:r w:rsidR="00B205FF">
        <w:rPr>
          <w:b/>
          <w:bCs/>
        </w:rPr>
        <w:t xml:space="preserve"> </w:t>
      </w:r>
    </w:p>
    <w:p w14:paraId="5B6AE5A3" w14:textId="26CCF25F" w:rsidR="00AC4BF4" w:rsidRDefault="00D55FDF" w:rsidP="006F1BED">
      <w:pPr>
        <w:pBdr>
          <w:bottom w:val="single" w:sz="12" w:space="1" w:color="auto"/>
        </w:pBdr>
        <w:rPr>
          <w:i/>
          <w:iCs/>
        </w:rPr>
      </w:pPr>
      <w:r w:rsidRPr="00D55FDF">
        <w:rPr>
          <w:i/>
          <w:iCs/>
        </w:rPr>
        <w:t>“</w:t>
      </w:r>
      <w:r w:rsidR="000B5664" w:rsidRPr="00D55FDF">
        <w:rPr>
          <w:i/>
          <w:iCs/>
        </w:rPr>
        <w:t>Desde el 2021 el porcentaje de personas que no contaba con productos de ahorro se redujo 14 puntos porcentuales, pasando de 47% que reportaba no tener productos de ahorro a un 33</w:t>
      </w:r>
      <w:proofErr w:type="gramStart"/>
      <w:r w:rsidR="000B5664" w:rsidRPr="00D55FDF">
        <w:rPr>
          <w:i/>
          <w:iCs/>
        </w:rPr>
        <w:t>%.siendo</w:t>
      </w:r>
      <w:proofErr w:type="gramEnd"/>
      <w:r w:rsidR="000B5664" w:rsidRPr="00D55FDF">
        <w:rPr>
          <w:i/>
          <w:iCs/>
        </w:rPr>
        <w:t xml:space="preserve"> los productos más populares las tarjetas de débito y las billeteras móviles. Sin embargo, 2 de cada 3 ciudadanos reportaron tener alguna barrera para acceder a productos de ahorro o crédito.</w:t>
      </w:r>
      <w:r w:rsidRPr="00D55FDF">
        <w:rPr>
          <w:i/>
          <w:iCs/>
        </w:rPr>
        <w:t>”</w:t>
      </w:r>
    </w:p>
    <w:p w14:paraId="40B6CAA9" w14:textId="77777777" w:rsidR="00D453E8" w:rsidRPr="00D55FDF" w:rsidRDefault="00D453E8" w:rsidP="006F1BED">
      <w:pPr>
        <w:pBdr>
          <w:bottom w:val="single" w:sz="12" w:space="1" w:color="auto"/>
        </w:pBdr>
        <w:rPr>
          <w:i/>
          <w:iCs/>
        </w:rPr>
      </w:pPr>
    </w:p>
    <w:p w14:paraId="136F04E1" w14:textId="5A66C90E" w:rsidR="00E861CC" w:rsidRPr="003D7281" w:rsidRDefault="00E861CC" w:rsidP="008C5686">
      <w:pPr>
        <w:pStyle w:val="Prrafodelista"/>
        <w:numPr>
          <w:ilvl w:val="0"/>
          <w:numId w:val="8"/>
        </w:numPr>
      </w:pPr>
      <w:r w:rsidRPr="0051769C">
        <w:rPr>
          <w:b/>
          <w:bCs/>
          <w:highlight w:val="yellow"/>
        </w:rPr>
        <w:t>Título</w:t>
      </w:r>
      <w:r w:rsidRPr="002C23DD">
        <w:rPr>
          <w:b/>
          <w:bCs/>
        </w:rPr>
        <w:t>:</w:t>
      </w:r>
      <w:r w:rsidRPr="003D7281">
        <w:t xml:space="preserve"> </w:t>
      </w:r>
      <w:r w:rsidR="00537FEB" w:rsidRPr="00537FEB">
        <w:t>Hoja de ruta: Inclusión financiera con equidad de género para las mujeres</w:t>
      </w:r>
    </w:p>
    <w:p w14:paraId="251ADD58" w14:textId="15897EBA" w:rsidR="00E861CC" w:rsidRPr="00DF1FB8" w:rsidRDefault="00E861CC" w:rsidP="00E861CC">
      <w:r w:rsidRPr="00DF1FB8">
        <w:rPr>
          <w:b/>
          <w:bCs/>
        </w:rPr>
        <w:t xml:space="preserve">Fuente: </w:t>
      </w:r>
      <w:r w:rsidR="00F3282C">
        <w:rPr>
          <w:b/>
          <w:bCs/>
        </w:rPr>
        <w:t>SFC</w:t>
      </w:r>
      <w:r w:rsidRPr="00DF1FB8">
        <w:rPr>
          <w:b/>
          <w:bCs/>
        </w:rPr>
        <w:t>,</w:t>
      </w:r>
      <w:r>
        <w:rPr>
          <w:b/>
          <w:bCs/>
        </w:rPr>
        <w:t xml:space="preserve"> </w:t>
      </w:r>
      <w:r w:rsidR="00F3282C">
        <w:rPr>
          <w:b/>
          <w:bCs/>
        </w:rPr>
        <w:t>2022</w:t>
      </w:r>
    </w:p>
    <w:p w14:paraId="12AA35E3" w14:textId="66BA106F" w:rsidR="00E861CC" w:rsidRPr="00DF1FB8" w:rsidRDefault="00E861CC" w:rsidP="00E861CC">
      <w:proofErr w:type="gramStart"/>
      <w:r w:rsidRPr="005A2D35">
        <w:rPr>
          <w:b/>
          <w:bCs/>
        </w:rPr>
        <w:t>Link:</w:t>
      </w:r>
      <w:r w:rsidR="005A2D35" w:rsidRPr="005A2D35">
        <w:t>https://www.urf.gov.co/webcenter/ShowProperty?nodeId=%2FConexionContent%2FWCC_CLUSTER-200785%2F%2FidcPrimaryFile&amp;revision=latestreleased</w:t>
      </w:r>
      <w:proofErr w:type="gramEnd"/>
    </w:p>
    <w:p w14:paraId="26E212CB" w14:textId="79C24115" w:rsidR="00E861CC" w:rsidRDefault="00E861CC" w:rsidP="00E861CC">
      <w:pPr>
        <w:rPr>
          <w:b/>
          <w:bCs/>
        </w:rPr>
      </w:pPr>
      <w:r w:rsidRPr="003D7281">
        <w:rPr>
          <w:b/>
          <w:bCs/>
        </w:rPr>
        <w:t>Contenido</w:t>
      </w:r>
      <w:r>
        <w:rPr>
          <w:b/>
          <w:bCs/>
        </w:rPr>
        <w:t xml:space="preserve">: </w:t>
      </w:r>
      <w:r w:rsidR="0070084D" w:rsidRPr="00087F5C">
        <w:t xml:space="preserve">genero, brechas </w:t>
      </w:r>
      <w:r w:rsidR="00F51A01" w:rsidRPr="00087F5C">
        <w:t>inclusión financiera de la mujer</w:t>
      </w:r>
      <w:r w:rsidR="00A4638F" w:rsidRPr="00087F5C">
        <w:t>, barreras de acceso</w:t>
      </w:r>
    </w:p>
    <w:p w14:paraId="70EC9282" w14:textId="38467243" w:rsidR="00AC4BF4" w:rsidRDefault="009109E6" w:rsidP="009109E6">
      <w:pPr>
        <w:jc w:val="both"/>
        <w:rPr>
          <w:i/>
          <w:iCs/>
        </w:rPr>
      </w:pPr>
      <w:r w:rsidRPr="009109E6">
        <w:rPr>
          <w:i/>
          <w:iCs/>
        </w:rPr>
        <w:t>“</w:t>
      </w:r>
      <w:r w:rsidR="00BC0ECD" w:rsidRPr="009109E6">
        <w:rPr>
          <w:i/>
          <w:iCs/>
        </w:rPr>
        <w:t>Colombia ha registrado avances en la política de género e inclusión financiera. Desde 2018, las autoridades financieras recogen información frente a la inclusión financiera de las mujeres y por primera vez se incluyeron metas asociadas con el acceso de las mujeres al sistema financiero en el último Plan</w:t>
      </w:r>
      <w:r w:rsidRPr="009109E6">
        <w:rPr>
          <w:i/>
          <w:iCs/>
        </w:rPr>
        <w:t xml:space="preserve"> Nacional de Desarrollo (PND 2018-2022). Desde esa fecha, 2,5 millones de mujeres han ingresado al sistema financiero, logrando que 87% de las mujeres adultas tenga un producto financiero y que el 72,7% lo tenga activo”</w:t>
      </w:r>
    </w:p>
    <w:p w14:paraId="3606EE98" w14:textId="030146CD" w:rsidR="000157E9" w:rsidRDefault="000157E9" w:rsidP="009109E6">
      <w:pPr>
        <w:pBdr>
          <w:bottom w:val="single" w:sz="12" w:space="1" w:color="auto"/>
        </w:pBdr>
        <w:jc w:val="both"/>
        <w:rPr>
          <w:i/>
          <w:iCs/>
        </w:rPr>
      </w:pPr>
      <w:r>
        <w:rPr>
          <w:i/>
          <w:iCs/>
        </w:rPr>
        <w:t>“</w:t>
      </w:r>
      <w:r w:rsidRPr="000157E9">
        <w:rPr>
          <w:i/>
          <w:iCs/>
        </w:rPr>
        <w:t>De otro lado, el indicador de uso, que referencia el número de adultos con al menos un producto financiero activo o vigente sobre el total de adultos, se ubicó en un 76,5% para los hombres, y 72,7% para las mujeres, con una diferencia de 3,8 p.p., menor a la del indicador de acceso. Vale la pena resaltar que, al estimar la relación entre el número de mujeres que tiene al menos un producto financiero respecto a las que lo usan activamente, la población femenina presenta una mayor tasa (83,5%) frente a la masculina (81,8%), lo que indica que, una vez las mujeres acceden a los productos financieros, presentan un mayor uso de ellos.</w:t>
      </w:r>
      <w:r>
        <w:rPr>
          <w:i/>
          <w:iCs/>
        </w:rPr>
        <w:t>”</w:t>
      </w:r>
    </w:p>
    <w:p w14:paraId="7FFAB55F" w14:textId="77777777" w:rsidR="00D453E8" w:rsidRPr="009109E6" w:rsidRDefault="00D453E8" w:rsidP="009109E6">
      <w:pPr>
        <w:pBdr>
          <w:bottom w:val="single" w:sz="12" w:space="1" w:color="auto"/>
        </w:pBdr>
        <w:jc w:val="both"/>
        <w:rPr>
          <w:i/>
          <w:iCs/>
        </w:rPr>
      </w:pPr>
    </w:p>
    <w:p w14:paraId="5D85001C" w14:textId="2068937F" w:rsidR="00255521" w:rsidRPr="003D7281" w:rsidRDefault="00255521" w:rsidP="008C5686">
      <w:pPr>
        <w:pStyle w:val="Prrafodelista"/>
        <w:numPr>
          <w:ilvl w:val="0"/>
          <w:numId w:val="8"/>
        </w:numPr>
      </w:pPr>
      <w:r w:rsidRPr="002C23DD">
        <w:rPr>
          <w:b/>
          <w:bCs/>
        </w:rPr>
        <w:t>Título:</w:t>
      </w:r>
      <w:r w:rsidRPr="003D7281">
        <w:t xml:space="preserve"> </w:t>
      </w:r>
      <w:r w:rsidR="0051145C" w:rsidRPr="0051145C">
        <w:t>Hacia una mayor inclusión financiera para el desarrollo: Informe económico sobre Centroamérica, México, Panamá y República Dominicana</w:t>
      </w:r>
    </w:p>
    <w:p w14:paraId="52621826" w14:textId="3C8B3864" w:rsidR="00255521" w:rsidRPr="00263987" w:rsidRDefault="00255521" w:rsidP="00255521">
      <w:pPr>
        <w:rPr>
          <w:lang w:val="en-US"/>
        </w:rPr>
      </w:pPr>
      <w:r w:rsidRPr="00263987">
        <w:rPr>
          <w:b/>
          <w:bCs/>
          <w:lang w:val="en-US"/>
        </w:rPr>
        <w:t xml:space="preserve">Fuente: </w:t>
      </w:r>
      <w:r w:rsidR="0051145C" w:rsidRPr="00263987">
        <w:rPr>
          <w:b/>
          <w:bCs/>
          <w:lang w:val="en-US"/>
        </w:rPr>
        <w:t>BID</w:t>
      </w:r>
      <w:r w:rsidRPr="00263987">
        <w:rPr>
          <w:b/>
          <w:bCs/>
          <w:lang w:val="en-US"/>
        </w:rPr>
        <w:t xml:space="preserve">, </w:t>
      </w:r>
      <w:r w:rsidR="0051145C" w:rsidRPr="00263987">
        <w:rPr>
          <w:b/>
          <w:bCs/>
          <w:lang w:val="en-US"/>
        </w:rPr>
        <w:t>2024</w:t>
      </w:r>
    </w:p>
    <w:p w14:paraId="18454BD0" w14:textId="4F6EFCB1" w:rsidR="00255521" w:rsidRPr="00341777" w:rsidRDefault="00255521" w:rsidP="00255521">
      <w:pPr>
        <w:rPr>
          <w:lang w:val="en-US"/>
        </w:rPr>
      </w:pPr>
      <w:r w:rsidRPr="00341777">
        <w:rPr>
          <w:b/>
          <w:bCs/>
          <w:lang w:val="en-US"/>
        </w:rPr>
        <w:t>Link:</w:t>
      </w:r>
      <w:r w:rsidR="00341777" w:rsidRPr="00341777">
        <w:rPr>
          <w:lang w:val="en-US"/>
        </w:rPr>
        <w:t xml:space="preserve"> </w:t>
      </w:r>
      <w:hyperlink r:id="rId34" w:history="1">
        <w:r w:rsidR="00341777" w:rsidRPr="00341777">
          <w:rPr>
            <w:rStyle w:val="Hipervnculo"/>
            <w:lang w:val="en-US"/>
          </w:rPr>
          <w:t>https://publications.iadb.org/es/hacia-una-mayor-inclusion-financiera-para-el-desarrollo-informe-economico-sobre-centroamerica</w:t>
        </w:r>
      </w:hyperlink>
    </w:p>
    <w:p w14:paraId="357A3485" w14:textId="0D4DD982" w:rsidR="00255521" w:rsidRPr="008855D1" w:rsidRDefault="00255521" w:rsidP="00255521">
      <w:r w:rsidRPr="003D7281">
        <w:rPr>
          <w:b/>
          <w:bCs/>
        </w:rPr>
        <w:t>Contenido</w:t>
      </w:r>
      <w:r>
        <w:rPr>
          <w:b/>
          <w:bCs/>
        </w:rPr>
        <w:t xml:space="preserve">: </w:t>
      </w:r>
      <w:r w:rsidR="001D17BA" w:rsidRPr="008855D1">
        <w:t xml:space="preserve">Datos de la región en inclusión financiera, perspectiva global </w:t>
      </w:r>
    </w:p>
    <w:p w14:paraId="6DE74D15" w14:textId="77777777" w:rsidR="00255521" w:rsidRDefault="00255521" w:rsidP="006F1BED">
      <w:pPr>
        <w:pBdr>
          <w:bottom w:val="single" w:sz="12" w:space="1" w:color="auto"/>
        </w:pBdr>
      </w:pPr>
    </w:p>
    <w:p w14:paraId="6B9A2C6C" w14:textId="03C12728" w:rsidR="00503F14" w:rsidRPr="003D7281" w:rsidRDefault="00503F14" w:rsidP="008C5686">
      <w:pPr>
        <w:pStyle w:val="Prrafodelista"/>
        <w:numPr>
          <w:ilvl w:val="0"/>
          <w:numId w:val="8"/>
        </w:numPr>
      </w:pPr>
      <w:r w:rsidRPr="002C23DD">
        <w:rPr>
          <w:b/>
          <w:highlight w:val="yellow"/>
        </w:rPr>
        <w:lastRenderedPageBreak/>
        <w:t>Título</w:t>
      </w:r>
      <w:r w:rsidRPr="00A6781C">
        <w:rPr>
          <w:b/>
          <w:bCs/>
          <w:highlight w:val="yellow"/>
        </w:rPr>
        <w:t>:</w:t>
      </w:r>
      <w:r w:rsidRPr="003D7281">
        <w:t xml:space="preserve"> </w:t>
      </w:r>
      <w:r w:rsidR="00EC5EE9" w:rsidRPr="00EC5EE9">
        <w:t>Inclusión financiera de las mujeres. Claves para una recuperación transformadora de la economía post COVID-19 en América Latina y el Caribe.</w:t>
      </w:r>
    </w:p>
    <w:p w14:paraId="14A72A51" w14:textId="493BA734" w:rsidR="00503F14" w:rsidRPr="00D453E8" w:rsidRDefault="00503F14" w:rsidP="00503F14">
      <w:r w:rsidRPr="00D453E8">
        <w:rPr>
          <w:b/>
          <w:bCs/>
        </w:rPr>
        <w:t xml:space="preserve">Fuente: </w:t>
      </w:r>
      <w:r w:rsidR="00607A85" w:rsidRPr="00D453E8">
        <w:rPr>
          <w:b/>
          <w:bCs/>
        </w:rPr>
        <w:t>ONU MUJERES</w:t>
      </w:r>
      <w:r w:rsidR="00AA0317" w:rsidRPr="00D453E8">
        <w:rPr>
          <w:b/>
          <w:bCs/>
        </w:rPr>
        <w:t>, 2022</w:t>
      </w:r>
    </w:p>
    <w:p w14:paraId="6C0F1B4C" w14:textId="4F80E264" w:rsidR="00503F14" w:rsidRPr="00C97C2B" w:rsidRDefault="00503F14" w:rsidP="00503F14">
      <w:proofErr w:type="gramStart"/>
      <w:r w:rsidRPr="00C97C2B">
        <w:rPr>
          <w:b/>
          <w:bCs/>
        </w:rPr>
        <w:t>Link</w:t>
      </w:r>
      <w:proofErr w:type="gramEnd"/>
      <w:r w:rsidRPr="00C97C2B">
        <w:rPr>
          <w:b/>
          <w:bCs/>
        </w:rPr>
        <w:t>:</w:t>
      </w:r>
      <w:r w:rsidRPr="00C97C2B">
        <w:t xml:space="preserve"> </w:t>
      </w:r>
      <w:r w:rsidR="00607A85" w:rsidRPr="00C97C2B">
        <w:t>https://lac.unwomen.org/es/digital-library/publications/2022/12/inclusion-financiera-de-las-mujeres-claves-para-una-recuperacion-transformadora-de-la-economia-de-la-economia-post-covid-en-america-latina#view</w:t>
      </w:r>
    </w:p>
    <w:p w14:paraId="1A972374" w14:textId="1B5A03DA" w:rsidR="00503F14" w:rsidRDefault="00503F14" w:rsidP="00503F14">
      <w:pPr>
        <w:rPr>
          <w:b/>
          <w:bCs/>
        </w:rPr>
      </w:pPr>
      <w:r w:rsidRPr="003D7281">
        <w:rPr>
          <w:b/>
          <w:bCs/>
        </w:rPr>
        <w:t>Contenido</w:t>
      </w:r>
      <w:r>
        <w:rPr>
          <w:b/>
          <w:bCs/>
        </w:rPr>
        <w:t xml:space="preserve">: </w:t>
      </w:r>
      <w:r w:rsidR="00914DC7" w:rsidRPr="00914DC7">
        <w:t xml:space="preserve">Ojo este tiene temas de oferta y demanda de la inclusión financiera enfocada en </w:t>
      </w:r>
      <w:proofErr w:type="spellStart"/>
      <w:r w:rsidR="00914DC7" w:rsidRPr="00914DC7">
        <w:t>genero</w:t>
      </w:r>
      <w:proofErr w:type="spellEnd"/>
      <w:r w:rsidR="006B4248" w:rsidRPr="006B4248">
        <w:t>, temas de política pública y gobierno</w:t>
      </w:r>
      <w:r w:rsidR="006B4248">
        <w:rPr>
          <w:b/>
          <w:bCs/>
        </w:rPr>
        <w:t xml:space="preserve"> </w:t>
      </w:r>
    </w:p>
    <w:p w14:paraId="1E8F0A2C" w14:textId="718DB26C" w:rsidR="00541FC2" w:rsidRPr="004B7E17" w:rsidRDefault="004B7E17" w:rsidP="004B7E17">
      <w:pPr>
        <w:jc w:val="both"/>
        <w:rPr>
          <w:i/>
          <w:iCs/>
        </w:rPr>
      </w:pPr>
      <w:r>
        <w:rPr>
          <w:i/>
          <w:iCs/>
        </w:rPr>
        <w:t>“</w:t>
      </w:r>
      <w:r w:rsidRPr="004B7E17">
        <w:rPr>
          <w:i/>
          <w:iCs/>
        </w:rPr>
        <w:t>La inclusión financiera con perspectiva de género es el proceso por el cual iniciativas públicas y privadas son diseñadas e implementadas a fin de reducir las barreras que sufren las mujeres para acceder a productos y servicios financieros y usarlos para ganar autonomía financiera y manejar crisis que impactan en sus vidas y negocios.</w:t>
      </w:r>
      <w:r>
        <w:rPr>
          <w:i/>
          <w:iCs/>
        </w:rPr>
        <w:t>”</w:t>
      </w:r>
    </w:p>
    <w:p w14:paraId="61602695" w14:textId="3DD9BAEB" w:rsidR="00541FC2" w:rsidRDefault="001937CB" w:rsidP="001937CB">
      <w:pPr>
        <w:jc w:val="both"/>
        <w:rPr>
          <w:i/>
          <w:iCs/>
        </w:rPr>
      </w:pPr>
      <w:r>
        <w:rPr>
          <w:i/>
          <w:iCs/>
        </w:rPr>
        <w:t>“</w:t>
      </w:r>
      <w:r w:rsidRPr="001937CB">
        <w:rPr>
          <w:i/>
          <w:iCs/>
        </w:rPr>
        <w:t>El tipo de inserción que las mujeres tienen en el mercado laboral enfrenta múltiples obstáculos: están sobrerrepresentadas en sectores económicos de menor rendimiento, presentan dificultades para acceder a puestos de decisión, se concentran en empleos informales, empresas pequeñas y reciben salarios bajos. Asimismo, experimentan una mayor dificultad de acceso y uso de servicios financieros y de inversión, lo que determina una menor capacidad para hacer frente a la crisis. Otra de las limitantes que contribuye y refuerza los obstáculos mencionados anteriormente es la sobrecarga de tiempo dedicado al trabajo doméstico y de cuidados, la que limita su participación plena en el mercado laboral, mejorar su remuneración y acceder y mantenerse en puestos de decisión.</w:t>
      </w:r>
      <w:r>
        <w:rPr>
          <w:i/>
          <w:iCs/>
        </w:rPr>
        <w:t>”</w:t>
      </w:r>
    </w:p>
    <w:p w14:paraId="1C1CC95E" w14:textId="3BC84CB5" w:rsidR="00AB0FC3" w:rsidRDefault="00AB0FC3" w:rsidP="001937CB">
      <w:pPr>
        <w:pBdr>
          <w:bottom w:val="single" w:sz="12" w:space="1" w:color="auto"/>
        </w:pBdr>
        <w:jc w:val="both"/>
        <w:rPr>
          <w:i/>
          <w:iCs/>
        </w:rPr>
      </w:pPr>
      <w:r w:rsidRPr="00AB0FC3">
        <w:rPr>
          <w:i/>
          <w:iCs/>
        </w:rPr>
        <w:t>La crisis generada por la pandemia ha evidenciado las situaciones críticas que han enfrentado las mujeres con menores ingresos y sin ahorros ni acceso a productos financieros que amortiguaran el impacto. Entre las múltiples causas que explican su menor resiliencia</w:t>
      </w:r>
      <w:r>
        <w:rPr>
          <w:i/>
          <w:iCs/>
        </w:rPr>
        <w:t xml:space="preserve"> </w:t>
      </w:r>
      <w:r w:rsidR="00931966" w:rsidRPr="00931966">
        <w:rPr>
          <w:i/>
          <w:iCs/>
        </w:rPr>
        <w:t>financiera destacan: en primer lugar, las mujeres asumen una mayor carga de trabajo doméstico y de cuidado no remunerado y como empleadas remuneradas del hogar. Esta carga aumentó exponencialmente al interior de los hogares a la vez que se precarizaron las condiciones para realizarlo. Un estudio producido por el Laboratorio de Innovación de Género para América Latina y Caribe (LACGIL) del Banco Mundial muestra factores diferenciados para mujeres y hombres asociados con la resiliencia a la pérdida del empleo durante la crisis.</w:t>
      </w:r>
      <w:r w:rsidR="00C9607A">
        <w:rPr>
          <w:i/>
          <w:iCs/>
        </w:rPr>
        <w:t xml:space="preserve"> </w:t>
      </w:r>
      <w:r w:rsidR="00C9607A" w:rsidRPr="00C9607A">
        <w:rPr>
          <w:i/>
          <w:iCs/>
        </w:rPr>
        <w:t>Comprobando que la presencia de menores en edad escolar en el hogar está vinculada con un aumento en la probabilidad de pérdida del empleo en las mujeres, pero no en los hombres.5 En segundo lugar, debido a su mayor presencia en la economía informal y la existencia de sistemas de protección social debilitados, las mujeres han estado más expuestas frente a la falta de ingresos y han tenido mayores limitaciones en el acceso a salud. En tercer lugar, las mujeres han sufrido una mayor tasa de desempleo ya que participan en sectores de la economía de menor rentabilidad</w:t>
      </w:r>
      <w:r w:rsidR="00F75DDB">
        <w:rPr>
          <w:i/>
          <w:iCs/>
        </w:rPr>
        <w:t xml:space="preserve"> </w:t>
      </w:r>
      <w:r w:rsidR="00F75DDB" w:rsidRPr="00F75DDB">
        <w:rPr>
          <w:i/>
          <w:iCs/>
        </w:rPr>
        <w:t>y altamente golpeados por la crisis como son los servicios, el comercio minorista, el turismo y la restauración o el empleo remunerado del hogar.</w:t>
      </w:r>
    </w:p>
    <w:p w14:paraId="66DF2C80" w14:textId="77777777" w:rsidR="00D453E8" w:rsidRPr="001937CB" w:rsidRDefault="00D453E8" w:rsidP="001937CB">
      <w:pPr>
        <w:pBdr>
          <w:bottom w:val="single" w:sz="12" w:space="1" w:color="auto"/>
        </w:pBdr>
        <w:jc w:val="both"/>
        <w:rPr>
          <w:i/>
          <w:iCs/>
        </w:rPr>
      </w:pPr>
    </w:p>
    <w:p w14:paraId="7E18D7A4" w14:textId="77777777" w:rsidR="00D453E8" w:rsidRPr="00807D79" w:rsidRDefault="00D453E8" w:rsidP="00807D79">
      <w:pPr>
        <w:pBdr>
          <w:bottom w:val="single" w:sz="12" w:space="1" w:color="auto"/>
        </w:pBdr>
        <w:jc w:val="both"/>
        <w:rPr>
          <w:i/>
          <w:iCs/>
        </w:rPr>
      </w:pPr>
    </w:p>
    <w:p w14:paraId="1FAC119C" w14:textId="7456FD3E" w:rsidR="00680DF7" w:rsidRDefault="00680DF7" w:rsidP="00503F14">
      <w:pPr>
        <w:rPr>
          <w:b/>
          <w:bCs/>
        </w:rPr>
      </w:pPr>
      <w:r w:rsidRPr="003D7281">
        <w:rPr>
          <w:b/>
          <w:bCs/>
        </w:rPr>
        <w:lastRenderedPageBreak/>
        <w:t>T</w:t>
      </w:r>
      <w:r>
        <w:rPr>
          <w:b/>
          <w:bCs/>
        </w:rPr>
        <w:t>EMA</w:t>
      </w:r>
      <w:r w:rsidRPr="003D7281">
        <w:rPr>
          <w:b/>
          <w:bCs/>
        </w:rPr>
        <w:t>:</w:t>
      </w:r>
    </w:p>
    <w:p w14:paraId="2AFFAFD5" w14:textId="77777777" w:rsidR="00232B9D" w:rsidRPr="00232B9D" w:rsidRDefault="00232B9D" w:rsidP="00232B9D">
      <w:pPr>
        <w:rPr>
          <w:b/>
          <w:bCs/>
        </w:rPr>
      </w:pPr>
      <w:r w:rsidRPr="00232B9D">
        <w:rPr>
          <w:b/>
          <w:bCs/>
        </w:rPr>
        <w:t>interoperabilidad en los sistemas de pagos inmediatos de bajo valor</w:t>
      </w:r>
    </w:p>
    <w:p w14:paraId="4BBCA90A" w14:textId="0610A922" w:rsidR="000D3C81" w:rsidRDefault="00000000" w:rsidP="00503F14">
      <w:pPr>
        <w:rPr>
          <w:b/>
          <w:bCs/>
        </w:rPr>
      </w:pPr>
      <w:hyperlink r:id="rId35" w:history="1">
        <w:r w:rsidR="00F41D5D" w:rsidRPr="00F05B9C">
          <w:rPr>
            <w:rStyle w:val="Hipervnculo"/>
            <w:b/>
            <w:bCs/>
          </w:rPr>
          <w:t>https://www.banrep.gov.co/es/banrep-regula-interoperabilidad-sistemas-pagos-bajo-valor-inmediatos</w:t>
        </w:r>
      </w:hyperlink>
    </w:p>
    <w:p w14:paraId="05F41BB4" w14:textId="41A993E8" w:rsidR="00F41D5D" w:rsidRDefault="00000000" w:rsidP="00503F14">
      <w:pPr>
        <w:rPr>
          <w:b/>
          <w:bCs/>
        </w:rPr>
      </w:pPr>
      <w:hyperlink r:id="rId36" w:history="1">
        <w:r w:rsidR="00D5336C" w:rsidRPr="00F05B9C">
          <w:rPr>
            <w:rStyle w:val="Hipervnculo"/>
            <w:b/>
            <w:bCs/>
          </w:rPr>
          <w:t>https://www.banrep.gov.co/es/pagos-inmediatos</w:t>
        </w:r>
      </w:hyperlink>
    </w:p>
    <w:p w14:paraId="124018CA" w14:textId="4D117B0F" w:rsidR="00D5336C" w:rsidRDefault="00000000" w:rsidP="00503F14">
      <w:pPr>
        <w:rPr>
          <w:b/>
          <w:bCs/>
        </w:rPr>
      </w:pPr>
      <w:hyperlink r:id="rId37" w:history="1">
        <w:r w:rsidR="00BF6B6D" w:rsidRPr="00F05B9C">
          <w:rPr>
            <w:rStyle w:val="Hipervnculo"/>
            <w:b/>
            <w:bCs/>
          </w:rPr>
          <w:t>https://www.banrep.gov.co/es/noticias/conozca-bre-b-sello-que-identificara-el-servicio</w:t>
        </w:r>
      </w:hyperlink>
    </w:p>
    <w:p w14:paraId="338AB25C" w14:textId="77777777" w:rsidR="008318AF" w:rsidRDefault="008318AF" w:rsidP="006F1BED">
      <w:pPr>
        <w:pBdr>
          <w:bottom w:val="single" w:sz="12" w:space="1" w:color="auto"/>
        </w:pBdr>
      </w:pPr>
    </w:p>
    <w:p w14:paraId="6635CA20" w14:textId="6D82EDE3" w:rsidR="00B5727D" w:rsidRDefault="008D78F6" w:rsidP="006F1BED">
      <w:r>
        <w:t xml:space="preserve"> </w:t>
      </w:r>
      <w:hyperlink r:id="rId38" w:history="1">
        <w:r w:rsidR="00385993" w:rsidRPr="00F05B9C">
          <w:rPr>
            <w:rStyle w:val="Hipervnculo"/>
          </w:rPr>
          <w:t>https://es.weforum.org/agenda/2024/08/la-estrategia-de-inclusion-digital-de-colombia-impulsa-la-inclusion-financiera-especialmente-de-las-mujeres/</w:t>
        </w:r>
      </w:hyperlink>
    </w:p>
    <w:p w14:paraId="7A430481" w14:textId="77777777" w:rsidR="00385993" w:rsidRDefault="00385993" w:rsidP="006F1BED"/>
    <w:p w14:paraId="7682AB9C" w14:textId="2E4CF270" w:rsidR="00B5727D" w:rsidRDefault="00B5727D" w:rsidP="006F1BED">
      <w:r w:rsidRPr="00B5727D">
        <w:t>https://www.superfinanciera.gov.co/publicaciones/60913/sala-de-prensadiscursos-y-presentaciones-60913/</w:t>
      </w:r>
    </w:p>
    <w:p w14:paraId="04F2F5B7" w14:textId="77777777" w:rsidR="00F05CDB" w:rsidRDefault="00F05CDB" w:rsidP="0036228A">
      <w:pPr>
        <w:pBdr>
          <w:bottom w:val="single" w:sz="12" w:space="1" w:color="auto"/>
        </w:pBdr>
      </w:pPr>
    </w:p>
    <w:p w14:paraId="1344CD22" w14:textId="77777777" w:rsidR="0036228A" w:rsidRDefault="0036228A" w:rsidP="003D7281"/>
    <w:p w14:paraId="4B413288" w14:textId="7C44F865" w:rsidR="00E541EA" w:rsidRDefault="00E541EA" w:rsidP="003D7281">
      <w:r>
        <w:t>*Pandemia y pagos digitales</w:t>
      </w:r>
    </w:p>
    <w:p w14:paraId="0A70E628" w14:textId="4656179D" w:rsidR="00703963" w:rsidRPr="00703963" w:rsidRDefault="00452D6D" w:rsidP="00703963">
      <w:pPr>
        <w:rPr>
          <w:b/>
          <w:bCs/>
        </w:rPr>
      </w:pPr>
      <w:r>
        <w:t xml:space="preserve">3 </w:t>
      </w:r>
      <w:r w:rsidR="00C81AC4">
        <w:t>países</w:t>
      </w:r>
      <w:r>
        <w:t xml:space="preserve"> en Desarrollo, Colombia – Ana </w:t>
      </w:r>
      <w:r w:rsidR="00F6242F">
        <w:t>M</w:t>
      </w:r>
      <w:r>
        <w:t xml:space="preserve">aría </w:t>
      </w:r>
      <w:r w:rsidR="00F6242F">
        <w:t>P</w:t>
      </w:r>
      <w:r>
        <w:t xml:space="preserve">rieto directora de los sistemas de pagos del Banco Central de Colombia, </w:t>
      </w:r>
      <w:r w:rsidR="00C81AC4">
        <w:t>África</w:t>
      </w:r>
      <w:r w:rsidR="00A45506">
        <w:t xml:space="preserve"> Occidental</w:t>
      </w:r>
      <w:r w:rsidR="00442FE4">
        <w:t xml:space="preserve"> Directora de wave </w:t>
      </w:r>
      <w:proofErr w:type="spellStart"/>
      <w:proofErr w:type="gramStart"/>
      <w:r w:rsidR="00442FE4">
        <w:t>mobile</w:t>
      </w:r>
      <w:proofErr w:type="spellEnd"/>
      <w:r w:rsidR="00442FE4">
        <w:t xml:space="preserve"> </w:t>
      </w:r>
      <w:r>
        <w:t xml:space="preserve"> </w:t>
      </w:r>
      <w:r w:rsidR="00703963">
        <w:t>e</w:t>
      </w:r>
      <w:proofErr w:type="gramEnd"/>
      <w:r>
        <w:t xml:space="preserve"> India</w:t>
      </w:r>
      <w:r w:rsidR="001F2471">
        <w:t xml:space="preserve"> </w:t>
      </w:r>
      <w:proofErr w:type="spellStart"/>
      <w:r w:rsidR="00703963" w:rsidRPr="00703963">
        <w:rPr>
          <w:b/>
          <w:bCs/>
        </w:rPr>
        <w:t>Sucharita</w:t>
      </w:r>
      <w:proofErr w:type="spellEnd"/>
      <w:r w:rsidR="00703963" w:rsidRPr="00703963">
        <w:rPr>
          <w:b/>
          <w:bCs/>
        </w:rPr>
        <w:t xml:space="preserve"> </w:t>
      </w:r>
      <w:proofErr w:type="spellStart"/>
      <w:r w:rsidR="00703963" w:rsidRPr="00703963">
        <w:rPr>
          <w:b/>
          <w:bCs/>
        </w:rPr>
        <w:t>Mukherjee</w:t>
      </w:r>
      <w:proofErr w:type="spellEnd"/>
    </w:p>
    <w:p w14:paraId="4FDB06B0" w14:textId="283A36F1" w:rsidR="00784D5E" w:rsidRDefault="001F2471" w:rsidP="003D7281">
      <w:r>
        <w:t xml:space="preserve">cofundadora y directora de </w:t>
      </w:r>
      <w:proofErr w:type="spellStart"/>
      <w:r w:rsidR="00A25E31" w:rsidRPr="00A25E31">
        <w:t>kaleidofin</w:t>
      </w:r>
      <w:proofErr w:type="spellEnd"/>
    </w:p>
    <w:p w14:paraId="2436F199" w14:textId="602586B2" w:rsidR="00E541EA" w:rsidRDefault="00C273FA" w:rsidP="003D7281">
      <w:r>
        <w:t xml:space="preserve">En los países emergentes el 40% de </w:t>
      </w:r>
      <w:proofErr w:type="gramStart"/>
      <w:r>
        <w:t>los personas</w:t>
      </w:r>
      <w:proofErr w:type="gramEnd"/>
      <w:r>
        <w:t xml:space="preserve"> que hicieron pagos digitales por primera vez lo hicieron desde el comienzo de la pandemia</w:t>
      </w:r>
      <w:r w:rsidR="000264B6">
        <w:t>.</w:t>
      </w:r>
    </w:p>
    <w:p w14:paraId="05927EB3" w14:textId="65013BCF" w:rsidR="000264B6" w:rsidRDefault="0037031B" w:rsidP="003D7281">
      <w:r>
        <w:t>Ingreso solidario,</w:t>
      </w:r>
      <w:r w:rsidR="00960796">
        <w:t xml:space="preserve"> </w:t>
      </w:r>
      <w:r w:rsidR="00781D00">
        <w:t>áreas rurales en efectivo por entidades financieras</w:t>
      </w:r>
      <w:r w:rsidR="00CA509F">
        <w:t>, campaña digital, 1.200 MM de abril y junio</w:t>
      </w:r>
    </w:p>
    <w:p w14:paraId="026786A4" w14:textId="6A023A8C" w:rsidR="00755721" w:rsidRDefault="00755721" w:rsidP="003D7281">
      <w:r>
        <w:t>Sistema de pagos</w:t>
      </w:r>
      <w:r w:rsidR="006C7149">
        <w:t>, viene creciendo</w:t>
      </w:r>
      <w:r w:rsidR="0009190B">
        <w:t>.</w:t>
      </w:r>
    </w:p>
    <w:p w14:paraId="724AE8B8" w14:textId="7E2B8557" w:rsidR="00215CA6" w:rsidRDefault="00215CA6" w:rsidP="003D7281">
      <w:r>
        <w:t>Nuevos actores, Fintech, pagos digitales, nuevas tendencias, marcos regulatorios</w:t>
      </w:r>
      <w:r w:rsidR="00F52386">
        <w:t>.</w:t>
      </w:r>
    </w:p>
    <w:p w14:paraId="3DCC4384" w14:textId="14C47949" w:rsidR="00F52386" w:rsidRDefault="00F52386" w:rsidP="003D7281"/>
    <w:p w14:paraId="5CF53EDB" w14:textId="77777777" w:rsidR="000264B6" w:rsidRPr="003D7281" w:rsidRDefault="000264B6" w:rsidP="003D7281"/>
    <w:sectPr w:rsidR="000264B6" w:rsidRPr="003D7281" w:rsidSect="00D36BBD">
      <w:pgSz w:w="12240" w:h="15840"/>
      <w:pgMar w:top="1417" w:right="1701" w:bottom="1417"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815F6"/>
    <w:multiLevelType w:val="hybridMultilevel"/>
    <w:tmpl w:val="528C43AA"/>
    <w:lvl w:ilvl="0" w:tplc="240A0001">
      <w:start w:val="1"/>
      <w:numFmt w:val="bullet"/>
      <w:lvlText w:val=""/>
      <w:lvlJc w:val="left"/>
      <w:pPr>
        <w:ind w:left="760" w:hanging="360"/>
      </w:pPr>
      <w:rPr>
        <w:rFonts w:ascii="Symbol" w:hAnsi="Symbol" w:hint="default"/>
      </w:rPr>
    </w:lvl>
    <w:lvl w:ilvl="1" w:tplc="240A0003" w:tentative="1">
      <w:start w:val="1"/>
      <w:numFmt w:val="bullet"/>
      <w:lvlText w:val="o"/>
      <w:lvlJc w:val="left"/>
      <w:pPr>
        <w:ind w:left="1480" w:hanging="360"/>
      </w:pPr>
      <w:rPr>
        <w:rFonts w:ascii="Courier New" w:hAnsi="Courier New" w:cs="Courier New" w:hint="default"/>
      </w:rPr>
    </w:lvl>
    <w:lvl w:ilvl="2" w:tplc="240A0005" w:tentative="1">
      <w:start w:val="1"/>
      <w:numFmt w:val="bullet"/>
      <w:lvlText w:val=""/>
      <w:lvlJc w:val="left"/>
      <w:pPr>
        <w:ind w:left="2200" w:hanging="360"/>
      </w:pPr>
      <w:rPr>
        <w:rFonts w:ascii="Wingdings" w:hAnsi="Wingdings" w:hint="default"/>
      </w:rPr>
    </w:lvl>
    <w:lvl w:ilvl="3" w:tplc="240A0001" w:tentative="1">
      <w:start w:val="1"/>
      <w:numFmt w:val="bullet"/>
      <w:lvlText w:val=""/>
      <w:lvlJc w:val="left"/>
      <w:pPr>
        <w:ind w:left="2920" w:hanging="360"/>
      </w:pPr>
      <w:rPr>
        <w:rFonts w:ascii="Symbol" w:hAnsi="Symbol" w:hint="default"/>
      </w:rPr>
    </w:lvl>
    <w:lvl w:ilvl="4" w:tplc="240A0003" w:tentative="1">
      <w:start w:val="1"/>
      <w:numFmt w:val="bullet"/>
      <w:lvlText w:val="o"/>
      <w:lvlJc w:val="left"/>
      <w:pPr>
        <w:ind w:left="3640" w:hanging="360"/>
      </w:pPr>
      <w:rPr>
        <w:rFonts w:ascii="Courier New" w:hAnsi="Courier New" w:cs="Courier New" w:hint="default"/>
      </w:rPr>
    </w:lvl>
    <w:lvl w:ilvl="5" w:tplc="240A0005" w:tentative="1">
      <w:start w:val="1"/>
      <w:numFmt w:val="bullet"/>
      <w:lvlText w:val=""/>
      <w:lvlJc w:val="left"/>
      <w:pPr>
        <w:ind w:left="4360" w:hanging="360"/>
      </w:pPr>
      <w:rPr>
        <w:rFonts w:ascii="Wingdings" w:hAnsi="Wingdings" w:hint="default"/>
      </w:rPr>
    </w:lvl>
    <w:lvl w:ilvl="6" w:tplc="240A0001" w:tentative="1">
      <w:start w:val="1"/>
      <w:numFmt w:val="bullet"/>
      <w:lvlText w:val=""/>
      <w:lvlJc w:val="left"/>
      <w:pPr>
        <w:ind w:left="5080" w:hanging="360"/>
      </w:pPr>
      <w:rPr>
        <w:rFonts w:ascii="Symbol" w:hAnsi="Symbol" w:hint="default"/>
      </w:rPr>
    </w:lvl>
    <w:lvl w:ilvl="7" w:tplc="240A0003" w:tentative="1">
      <w:start w:val="1"/>
      <w:numFmt w:val="bullet"/>
      <w:lvlText w:val="o"/>
      <w:lvlJc w:val="left"/>
      <w:pPr>
        <w:ind w:left="5800" w:hanging="360"/>
      </w:pPr>
      <w:rPr>
        <w:rFonts w:ascii="Courier New" w:hAnsi="Courier New" w:cs="Courier New" w:hint="default"/>
      </w:rPr>
    </w:lvl>
    <w:lvl w:ilvl="8" w:tplc="240A0005" w:tentative="1">
      <w:start w:val="1"/>
      <w:numFmt w:val="bullet"/>
      <w:lvlText w:val=""/>
      <w:lvlJc w:val="left"/>
      <w:pPr>
        <w:ind w:left="6520" w:hanging="360"/>
      </w:pPr>
      <w:rPr>
        <w:rFonts w:ascii="Wingdings" w:hAnsi="Wingdings" w:hint="default"/>
      </w:rPr>
    </w:lvl>
  </w:abstractNum>
  <w:abstractNum w:abstractNumId="1" w15:restartNumberingAfterBreak="0">
    <w:nsid w:val="20517212"/>
    <w:multiLevelType w:val="hybridMultilevel"/>
    <w:tmpl w:val="5BA2CD20"/>
    <w:lvl w:ilvl="0" w:tplc="EA7E752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6FC4432"/>
    <w:multiLevelType w:val="hybridMultilevel"/>
    <w:tmpl w:val="98BCF2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84475B3"/>
    <w:multiLevelType w:val="hybridMultilevel"/>
    <w:tmpl w:val="1CA0AD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323E11"/>
    <w:multiLevelType w:val="hybridMultilevel"/>
    <w:tmpl w:val="514896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B5B606A"/>
    <w:multiLevelType w:val="hybridMultilevel"/>
    <w:tmpl w:val="98A46E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15F2CC7"/>
    <w:multiLevelType w:val="hybridMultilevel"/>
    <w:tmpl w:val="8B5CF4A8"/>
    <w:lvl w:ilvl="0" w:tplc="FFF0352E">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57F66FC"/>
    <w:multiLevelType w:val="hybridMultilevel"/>
    <w:tmpl w:val="98BCF2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D711C0E"/>
    <w:multiLevelType w:val="hybridMultilevel"/>
    <w:tmpl w:val="41C21F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529029993">
    <w:abstractNumId w:val="0"/>
  </w:num>
  <w:num w:numId="2" w16cid:durableId="514854819">
    <w:abstractNumId w:val="6"/>
  </w:num>
  <w:num w:numId="3" w16cid:durableId="577328999">
    <w:abstractNumId w:val="7"/>
  </w:num>
  <w:num w:numId="4" w16cid:durableId="1653677156">
    <w:abstractNumId w:val="2"/>
  </w:num>
  <w:num w:numId="5" w16cid:durableId="1158888742">
    <w:abstractNumId w:val="4"/>
  </w:num>
  <w:num w:numId="6" w16cid:durableId="968172743">
    <w:abstractNumId w:val="8"/>
  </w:num>
  <w:num w:numId="7" w16cid:durableId="805780158">
    <w:abstractNumId w:val="3"/>
  </w:num>
  <w:num w:numId="8" w16cid:durableId="323437198">
    <w:abstractNumId w:val="1"/>
  </w:num>
  <w:num w:numId="9" w16cid:durableId="4870169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281"/>
    <w:rsid w:val="0001356A"/>
    <w:rsid w:val="000157E9"/>
    <w:rsid w:val="000232D6"/>
    <w:rsid w:val="000255EF"/>
    <w:rsid w:val="000264B6"/>
    <w:rsid w:val="000277C4"/>
    <w:rsid w:val="00035C9E"/>
    <w:rsid w:val="0003755B"/>
    <w:rsid w:val="000563C0"/>
    <w:rsid w:val="00062AFE"/>
    <w:rsid w:val="00071BCE"/>
    <w:rsid w:val="00073442"/>
    <w:rsid w:val="000745C3"/>
    <w:rsid w:val="00074D2E"/>
    <w:rsid w:val="000818CD"/>
    <w:rsid w:val="00087F5C"/>
    <w:rsid w:val="0009190B"/>
    <w:rsid w:val="00094DF3"/>
    <w:rsid w:val="000954EA"/>
    <w:rsid w:val="000969CD"/>
    <w:rsid w:val="000A0BF4"/>
    <w:rsid w:val="000B4EF0"/>
    <w:rsid w:val="000B5664"/>
    <w:rsid w:val="000C7D89"/>
    <w:rsid w:val="000D1E47"/>
    <w:rsid w:val="000D3C81"/>
    <w:rsid w:val="000D435F"/>
    <w:rsid w:val="000E7406"/>
    <w:rsid w:val="000F5E29"/>
    <w:rsid w:val="001035D9"/>
    <w:rsid w:val="00110972"/>
    <w:rsid w:val="00111F4E"/>
    <w:rsid w:val="00116C52"/>
    <w:rsid w:val="00124C3A"/>
    <w:rsid w:val="001256CB"/>
    <w:rsid w:val="001300AE"/>
    <w:rsid w:val="00130E17"/>
    <w:rsid w:val="00132461"/>
    <w:rsid w:val="0015546E"/>
    <w:rsid w:val="00160DA0"/>
    <w:rsid w:val="00163607"/>
    <w:rsid w:val="00165CB6"/>
    <w:rsid w:val="001768B8"/>
    <w:rsid w:val="00177094"/>
    <w:rsid w:val="0018078D"/>
    <w:rsid w:val="001809F4"/>
    <w:rsid w:val="001937CB"/>
    <w:rsid w:val="001938D0"/>
    <w:rsid w:val="001975EE"/>
    <w:rsid w:val="001A7948"/>
    <w:rsid w:val="001B149B"/>
    <w:rsid w:val="001B3D5F"/>
    <w:rsid w:val="001C35F5"/>
    <w:rsid w:val="001C4F8A"/>
    <w:rsid w:val="001D17BA"/>
    <w:rsid w:val="001D51F2"/>
    <w:rsid w:val="001D6E42"/>
    <w:rsid w:val="001E0CDC"/>
    <w:rsid w:val="001E499C"/>
    <w:rsid w:val="001E5744"/>
    <w:rsid w:val="001E588E"/>
    <w:rsid w:val="001F2471"/>
    <w:rsid w:val="00202EA4"/>
    <w:rsid w:val="00215CA6"/>
    <w:rsid w:val="00222589"/>
    <w:rsid w:val="00226E58"/>
    <w:rsid w:val="00232B9D"/>
    <w:rsid w:val="00232CE9"/>
    <w:rsid w:val="00233788"/>
    <w:rsid w:val="002426A9"/>
    <w:rsid w:val="00243251"/>
    <w:rsid w:val="00253601"/>
    <w:rsid w:val="00255521"/>
    <w:rsid w:val="0025776F"/>
    <w:rsid w:val="00260EA7"/>
    <w:rsid w:val="00262208"/>
    <w:rsid w:val="0026265D"/>
    <w:rsid w:val="00263987"/>
    <w:rsid w:val="00267EC9"/>
    <w:rsid w:val="00277E44"/>
    <w:rsid w:val="002A01D2"/>
    <w:rsid w:val="002A2B2C"/>
    <w:rsid w:val="002B114F"/>
    <w:rsid w:val="002B3B7F"/>
    <w:rsid w:val="002B5242"/>
    <w:rsid w:val="002C23DD"/>
    <w:rsid w:val="002C45CD"/>
    <w:rsid w:val="002D4C9F"/>
    <w:rsid w:val="002E0A77"/>
    <w:rsid w:val="002E25AD"/>
    <w:rsid w:val="002E6050"/>
    <w:rsid w:val="002F2CB6"/>
    <w:rsid w:val="002F4CF9"/>
    <w:rsid w:val="003046FC"/>
    <w:rsid w:val="003046FE"/>
    <w:rsid w:val="00314C1C"/>
    <w:rsid w:val="003222ED"/>
    <w:rsid w:val="003237A0"/>
    <w:rsid w:val="003402C5"/>
    <w:rsid w:val="00341133"/>
    <w:rsid w:val="00341777"/>
    <w:rsid w:val="00345810"/>
    <w:rsid w:val="0035270F"/>
    <w:rsid w:val="00353273"/>
    <w:rsid w:val="00354BD8"/>
    <w:rsid w:val="0035775D"/>
    <w:rsid w:val="0036228A"/>
    <w:rsid w:val="00362724"/>
    <w:rsid w:val="00363495"/>
    <w:rsid w:val="0037031B"/>
    <w:rsid w:val="00372877"/>
    <w:rsid w:val="00373A5A"/>
    <w:rsid w:val="00374360"/>
    <w:rsid w:val="003760D5"/>
    <w:rsid w:val="00384480"/>
    <w:rsid w:val="00385993"/>
    <w:rsid w:val="00385ECE"/>
    <w:rsid w:val="00386751"/>
    <w:rsid w:val="00395049"/>
    <w:rsid w:val="003A266D"/>
    <w:rsid w:val="003B16A4"/>
    <w:rsid w:val="003B76C9"/>
    <w:rsid w:val="003C317B"/>
    <w:rsid w:val="003C7528"/>
    <w:rsid w:val="003D25FC"/>
    <w:rsid w:val="003D7281"/>
    <w:rsid w:val="003E2446"/>
    <w:rsid w:val="003F3A9F"/>
    <w:rsid w:val="003F4923"/>
    <w:rsid w:val="003F5B26"/>
    <w:rsid w:val="003F5F18"/>
    <w:rsid w:val="003F767C"/>
    <w:rsid w:val="004071BF"/>
    <w:rsid w:val="00416CCF"/>
    <w:rsid w:val="0042620C"/>
    <w:rsid w:val="0043088E"/>
    <w:rsid w:val="0043475A"/>
    <w:rsid w:val="00442FE4"/>
    <w:rsid w:val="0044739C"/>
    <w:rsid w:val="0044748E"/>
    <w:rsid w:val="00452D6D"/>
    <w:rsid w:val="0045356B"/>
    <w:rsid w:val="00453E2E"/>
    <w:rsid w:val="00454BC0"/>
    <w:rsid w:val="00460D44"/>
    <w:rsid w:val="004616F6"/>
    <w:rsid w:val="00462103"/>
    <w:rsid w:val="0049227C"/>
    <w:rsid w:val="00493610"/>
    <w:rsid w:val="004B40B1"/>
    <w:rsid w:val="004B50D1"/>
    <w:rsid w:val="004B6C01"/>
    <w:rsid w:val="004B7E17"/>
    <w:rsid w:val="004C0049"/>
    <w:rsid w:val="004C4B65"/>
    <w:rsid w:val="004C55F8"/>
    <w:rsid w:val="004D76EC"/>
    <w:rsid w:val="004E5C87"/>
    <w:rsid w:val="00502DE3"/>
    <w:rsid w:val="00503E11"/>
    <w:rsid w:val="00503F14"/>
    <w:rsid w:val="0050687E"/>
    <w:rsid w:val="0051145C"/>
    <w:rsid w:val="00516FE8"/>
    <w:rsid w:val="0051769C"/>
    <w:rsid w:val="00520AF1"/>
    <w:rsid w:val="00525523"/>
    <w:rsid w:val="00537FEB"/>
    <w:rsid w:val="00541FC2"/>
    <w:rsid w:val="00542565"/>
    <w:rsid w:val="005510B1"/>
    <w:rsid w:val="00555B25"/>
    <w:rsid w:val="00556798"/>
    <w:rsid w:val="005636A3"/>
    <w:rsid w:val="00564C64"/>
    <w:rsid w:val="00581630"/>
    <w:rsid w:val="005932A8"/>
    <w:rsid w:val="00593A63"/>
    <w:rsid w:val="005A2D35"/>
    <w:rsid w:val="005A468A"/>
    <w:rsid w:val="005B517D"/>
    <w:rsid w:val="005B54C0"/>
    <w:rsid w:val="005B70CF"/>
    <w:rsid w:val="005C0BE6"/>
    <w:rsid w:val="005C487A"/>
    <w:rsid w:val="005E1BBD"/>
    <w:rsid w:val="005F03C7"/>
    <w:rsid w:val="005F0A0B"/>
    <w:rsid w:val="005F201B"/>
    <w:rsid w:val="005F48E6"/>
    <w:rsid w:val="005F7886"/>
    <w:rsid w:val="00601A78"/>
    <w:rsid w:val="00605F55"/>
    <w:rsid w:val="00607A85"/>
    <w:rsid w:val="00615A07"/>
    <w:rsid w:val="00625CF0"/>
    <w:rsid w:val="006325D3"/>
    <w:rsid w:val="006457B0"/>
    <w:rsid w:val="00646760"/>
    <w:rsid w:val="00647686"/>
    <w:rsid w:val="00652AA7"/>
    <w:rsid w:val="00653726"/>
    <w:rsid w:val="00665477"/>
    <w:rsid w:val="006675E4"/>
    <w:rsid w:val="00667AB7"/>
    <w:rsid w:val="006767F4"/>
    <w:rsid w:val="006771FA"/>
    <w:rsid w:val="006776EE"/>
    <w:rsid w:val="00680DF7"/>
    <w:rsid w:val="00682DC7"/>
    <w:rsid w:val="00696D6F"/>
    <w:rsid w:val="006A5359"/>
    <w:rsid w:val="006B0B3B"/>
    <w:rsid w:val="006B4248"/>
    <w:rsid w:val="006B44DA"/>
    <w:rsid w:val="006B6837"/>
    <w:rsid w:val="006C5ACE"/>
    <w:rsid w:val="006C7149"/>
    <w:rsid w:val="006D1B9C"/>
    <w:rsid w:val="006D4361"/>
    <w:rsid w:val="006D43AC"/>
    <w:rsid w:val="006D5E98"/>
    <w:rsid w:val="006D5FC7"/>
    <w:rsid w:val="006E5168"/>
    <w:rsid w:val="006F1BED"/>
    <w:rsid w:val="0070084D"/>
    <w:rsid w:val="00703963"/>
    <w:rsid w:val="0071195A"/>
    <w:rsid w:val="00715437"/>
    <w:rsid w:val="00715FB3"/>
    <w:rsid w:val="00717289"/>
    <w:rsid w:val="00720592"/>
    <w:rsid w:val="00720B7F"/>
    <w:rsid w:val="00727A11"/>
    <w:rsid w:val="0073557A"/>
    <w:rsid w:val="00742C05"/>
    <w:rsid w:val="00746B61"/>
    <w:rsid w:val="007523E2"/>
    <w:rsid w:val="00755721"/>
    <w:rsid w:val="00760472"/>
    <w:rsid w:val="00763ACF"/>
    <w:rsid w:val="00765977"/>
    <w:rsid w:val="0077582B"/>
    <w:rsid w:val="00776E32"/>
    <w:rsid w:val="00781D00"/>
    <w:rsid w:val="007821CD"/>
    <w:rsid w:val="007827D9"/>
    <w:rsid w:val="00783C05"/>
    <w:rsid w:val="00784572"/>
    <w:rsid w:val="00784D5E"/>
    <w:rsid w:val="007A02C0"/>
    <w:rsid w:val="007A7025"/>
    <w:rsid w:val="007B0AAA"/>
    <w:rsid w:val="007B1AB0"/>
    <w:rsid w:val="007B5C63"/>
    <w:rsid w:val="007B7703"/>
    <w:rsid w:val="007C16A5"/>
    <w:rsid w:val="007C733E"/>
    <w:rsid w:val="007D14ED"/>
    <w:rsid w:val="007D7DF1"/>
    <w:rsid w:val="007E01D8"/>
    <w:rsid w:val="007E22DE"/>
    <w:rsid w:val="007E3E10"/>
    <w:rsid w:val="007E5839"/>
    <w:rsid w:val="007E6F71"/>
    <w:rsid w:val="007F0DE7"/>
    <w:rsid w:val="00802A7E"/>
    <w:rsid w:val="0080308D"/>
    <w:rsid w:val="00803536"/>
    <w:rsid w:val="00803D1F"/>
    <w:rsid w:val="00807D79"/>
    <w:rsid w:val="008110D5"/>
    <w:rsid w:val="00813B2A"/>
    <w:rsid w:val="00816285"/>
    <w:rsid w:val="00816F91"/>
    <w:rsid w:val="00817143"/>
    <w:rsid w:val="00817842"/>
    <w:rsid w:val="00820433"/>
    <w:rsid w:val="00824888"/>
    <w:rsid w:val="00825152"/>
    <w:rsid w:val="008318AF"/>
    <w:rsid w:val="00844E7F"/>
    <w:rsid w:val="0085300E"/>
    <w:rsid w:val="00860AF8"/>
    <w:rsid w:val="0086590E"/>
    <w:rsid w:val="00867F77"/>
    <w:rsid w:val="00870660"/>
    <w:rsid w:val="008741D6"/>
    <w:rsid w:val="00876926"/>
    <w:rsid w:val="00877286"/>
    <w:rsid w:val="00877868"/>
    <w:rsid w:val="008820AC"/>
    <w:rsid w:val="008855D1"/>
    <w:rsid w:val="008878C9"/>
    <w:rsid w:val="00887AB7"/>
    <w:rsid w:val="008A3115"/>
    <w:rsid w:val="008A5D23"/>
    <w:rsid w:val="008B1109"/>
    <w:rsid w:val="008B6B7A"/>
    <w:rsid w:val="008C1742"/>
    <w:rsid w:val="008C277A"/>
    <w:rsid w:val="008C504A"/>
    <w:rsid w:val="008C5686"/>
    <w:rsid w:val="008C702E"/>
    <w:rsid w:val="008C7EA8"/>
    <w:rsid w:val="008D78F6"/>
    <w:rsid w:val="008E297A"/>
    <w:rsid w:val="008E7CC4"/>
    <w:rsid w:val="008F4D0C"/>
    <w:rsid w:val="008F6981"/>
    <w:rsid w:val="00900603"/>
    <w:rsid w:val="00901DBB"/>
    <w:rsid w:val="009109E6"/>
    <w:rsid w:val="00914DC7"/>
    <w:rsid w:val="009229DD"/>
    <w:rsid w:val="0092307D"/>
    <w:rsid w:val="00927E23"/>
    <w:rsid w:val="00931966"/>
    <w:rsid w:val="00932230"/>
    <w:rsid w:val="00932ADA"/>
    <w:rsid w:val="00944B7C"/>
    <w:rsid w:val="00944D28"/>
    <w:rsid w:val="00945378"/>
    <w:rsid w:val="009465C6"/>
    <w:rsid w:val="00946B6B"/>
    <w:rsid w:val="00960796"/>
    <w:rsid w:val="00972560"/>
    <w:rsid w:val="00973564"/>
    <w:rsid w:val="00974CE5"/>
    <w:rsid w:val="0097600E"/>
    <w:rsid w:val="0098167D"/>
    <w:rsid w:val="009825EE"/>
    <w:rsid w:val="00982D0E"/>
    <w:rsid w:val="00983093"/>
    <w:rsid w:val="00987506"/>
    <w:rsid w:val="00990CEC"/>
    <w:rsid w:val="0099353A"/>
    <w:rsid w:val="0099666B"/>
    <w:rsid w:val="009A1BDF"/>
    <w:rsid w:val="009B41E9"/>
    <w:rsid w:val="009C442E"/>
    <w:rsid w:val="009E2F22"/>
    <w:rsid w:val="009E59FE"/>
    <w:rsid w:val="009F6645"/>
    <w:rsid w:val="00A03D58"/>
    <w:rsid w:val="00A17998"/>
    <w:rsid w:val="00A21B07"/>
    <w:rsid w:val="00A21D7E"/>
    <w:rsid w:val="00A2203F"/>
    <w:rsid w:val="00A23308"/>
    <w:rsid w:val="00A25092"/>
    <w:rsid w:val="00A25E31"/>
    <w:rsid w:val="00A34FF4"/>
    <w:rsid w:val="00A35FE1"/>
    <w:rsid w:val="00A3607D"/>
    <w:rsid w:val="00A37803"/>
    <w:rsid w:val="00A40D36"/>
    <w:rsid w:val="00A45506"/>
    <w:rsid w:val="00A4638F"/>
    <w:rsid w:val="00A52E6A"/>
    <w:rsid w:val="00A57D63"/>
    <w:rsid w:val="00A6781C"/>
    <w:rsid w:val="00A74DBE"/>
    <w:rsid w:val="00A77F87"/>
    <w:rsid w:val="00A831FE"/>
    <w:rsid w:val="00A8348B"/>
    <w:rsid w:val="00A84C29"/>
    <w:rsid w:val="00A863D4"/>
    <w:rsid w:val="00A920A5"/>
    <w:rsid w:val="00AA0317"/>
    <w:rsid w:val="00AA1663"/>
    <w:rsid w:val="00AA339D"/>
    <w:rsid w:val="00AA3921"/>
    <w:rsid w:val="00AA67BE"/>
    <w:rsid w:val="00AB0FC3"/>
    <w:rsid w:val="00AB3A16"/>
    <w:rsid w:val="00AB4D14"/>
    <w:rsid w:val="00AB72CC"/>
    <w:rsid w:val="00AB7649"/>
    <w:rsid w:val="00AC0E59"/>
    <w:rsid w:val="00AC4BF4"/>
    <w:rsid w:val="00AD0DF3"/>
    <w:rsid w:val="00AD19D2"/>
    <w:rsid w:val="00AD295A"/>
    <w:rsid w:val="00AD520E"/>
    <w:rsid w:val="00AD6880"/>
    <w:rsid w:val="00AD72D5"/>
    <w:rsid w:val="00AE20CE"/>
    <w:rsid w:val="00AE6292"/>
    <w:rsid w:val="00AE6C80"/>
    <w:rsid w:val="00AF5C75"/>
    <w:rsid w:val="00B02C7F"/>
    <w:rsid w:val="00B1438D"/>
    <w:rsid w:val="00B15D4D"/>
    <w:rsid w:val="00B2049E"/>
    <w:rsid w:val="00B205FF"/>
    <w:rsid w:val="00B22B51"/>
    <w:rsid w:val="00B231F8"/>
    <w:rsid w:val="00B261FB"/>
    <w:rsid w:val="00B34CCB"/>
    <w:rsid w:val="00B360AA"/>
    <w:rsid w:val="00B369CA"/>
    <w:rsid w:val="00B41A0F"/>
    <w:rsid w:val="00B42CA2"/>
    <w:rsid w:val="00B5689A"/>
    <w:rsid w:val="00B5727D"/>
    <w:rsid w:val="00B74FF8"/>
    <w:rsid w:val="00B76419"/>
    <w:rsid w:val="00B80B24"/>
    <w:rsid w:val="00B84CB5"/>
    <w:rsid w:val="00B90242"/>
    <w:rsid w:val="00BA41DC"/>
    <w:rsid w:val="00BA6090"/>
    <w:rsid w:val="00BB21EC"/>
    <w:rsid w:val="00BC0ECD"/>
    <w:rsid w:val="00BC75E4"/>
    <w:rsid w:val="00BC78C1"/>
    <w:rsid w:val="00BD4463"/>
    <w:rsid w:val="00BD4C20"/>
    <w:rsid w:val="00BD6EAA"/>
    <w:rsid w:val="00BE2A8E"/>
    <w:rsid w:val="00BE7771"/>
    <w:rsid w:val="00BF0C3B"/>
    <w:rsid w:val="00BF6B6D"/>
    <w:rsid w:val="00C15393"/>
    <w:rsid w:val="00C1625A"/>
    <w:rsid w:val="00C20D7A"/>
    <w:rsid w:val="00C273FA"/>
    <w:rsid w:val="00C3022D"/>
    <w:rsid w:val="00C346E6"/>
    <w:rsid w:val="00C3682B"/>
    <w:rsid w:val="00C40CFD"/>
    <w:rsid w:val="00C51043"/>
    <w:rsid w:val="00C721EF"/>
    <w:rsid w:val="00C778BC"/>
    <w:rsid w:val="00C80C3E"/>
    <w:rsid w:val="00C815E2"/>
    <w:rsid w:val="00C81AC4"/>
    <w:rsid w:val="00C84D7B"/>
    <w:rsid w:val="00C86F33"/>
    <w:rsid w:val="00C90458"/>
    <w:rsid w:val="00C90815"/>
    <w:rsid w:val="00C9126B"/>
    <w:rsid w:val="00C93323"/>
    <w:rsid w:val="00C9605A"/>
    <w:rsid w:val="00C9607A"/>
    <w:rsid w:val="00C97C2B"/>
    <w:rsid w:val="00CA509F"/>
    <w:rsid w:val="00CA6481"/>
    <w:rsid w:val="00CB42F9"/>
    <w:rsid w:val="00CB51BE"/>
    <w:rsid w:val="00CB6944"/>
    <w:rsid w:val="00CC257B"/>
    <w:rsid w:val="00CC4B9B"/>
    <w:rsid w:val="00CC4BB5"/>
    <w:rsid w:val="00CC5DE6"/>
    <w:rsid w:val="00CD02BA"/>
    <w:rsid w:val="00CD3E8F"/>
    <w:rsid w:val="00CD5E13"/>
    <w:rsid w:val="00CE2D48"/>
    <w:rsid w:val="00CE6C5A"/>
    <w:rsid w:val="00CE6F08"/>
    <w:rsid w:val="00CF31FA"/>
    <w:rsid w:val="00CF432D"/>
    <w:rsid w:val="00D00C3D"/>
    <w:rsid w:val="00D0353C"/>
    <w:rsid w:val="00D17806"/>
    <w:rsid w:val="00D22022"/>
    <w:rsid w:val="00D221C4"/>
    <w:rsid w:val="00D36BBD"/>
    <w:rsid w:val="00D4429C"/>
    <w:rsid w:val="00D453E8"/>
    <w:rsid w:val="00D46580"/>
    <w:rsid w:val="00D4753C"/>
    <w:rsid w:val="00D516CF"/>
    <w:rsid w:val="00D51C20"/>
    <w:rsid w:val="00D5336C"/>
    <w:rsid w:val="00D55FDF"/>
    <w:rsid w:val="00D565D8"/>
    <w:rsid w:val="00D60652"/>
    <w:rsid w:val="00D6757D"/>
    <w:rsid w:val="00D7059D"/>
    <w:rsid w:val="00D71F2D"/>
    <w:rsid w:val="00D71FDD"/>
    <w:rsid w:val="00D807BE"/>
    <w:rsid w:val="00D81FED"/>
    <w:rsid w:val="00D83B8D"/>
    <w:rsid w:val="00D83BA9"/>
    <w:rsid w:val="00D9341C"/>
    <w:rsid w:val="00D96182"/>
    <w:rsid w:val="00D97B7D"/>
    <w:rsid w:val="00DA3F1B"/>
    <w:rsid w:val="00DA5FAF"/>
    <w:rsid w:val="00DB69EA"/>
    <w:rsid w:val="00DD44A3"/>
    <w:rsid w:val="00DD6A17"/>
    <w:rsid w:val="00DE253E"/>
    <w:rsid w:val="00DE5913"/>
    <w:rsid w:val="00DE5D29"/>
    <w:rsid w:val="00DE6C43"/>
    <w:rsid w:val="00DF1FB8"/>
    <w:rsid w:val="00DF59D1"/>
    <w:rsid w:val="00E02270"/>
    <w:rsid w:val="00E05C4A"/>
    <w:rsid w:val="00E227CD"/>
    <w:rsid w:val="00E27FDC"/>
    <w:rsid w:val="00E30205"/>
    <w:rsid w:val="00E37F7F"/>
    <w:rsid w:val="00E44750"/>
    <w:rsid w:val="00E5100E"/>
    <w:rsid w:val="00E5146A"/>
    <w:rsid w:val="00E527A9"/>
    <w:rsid w:val="00E53713"/>
    <w:rsid w:val="00E541EA"/>
    <w:rsid w:val="00E55CFC"/>
    <w:rsid w:val="00E56155"/>
    <w:rsid w:val="00E575A8"/>
    <w:rsid w:val="00E607F7"/>
    <w:rsid w:val="00E609AB"/>
    <w:rsid w:val="00E62A55"/>
    <w:rsid w:val="00E665CB"/>
    <w:rsid w:val="00E77535"/>
    <w:rsid w:val="00E861CC"/>
    <w:rsid w:val="00E95233"/>
    <w:rsid w:val="00E962F9"/>
    <w:rsid w:val="00EA1BCB"/>
    <w:rsid w:val="00EA2D4E"/>
    <w:rsid w:val="00EA4E48"/>
    <w:rsid w:val="00EA5854"/>
    <w:rsid w:val="00EB5FF6"/>
    <w:rsid w:val="00EC2FE9"/>
    <w:rsid w:val="00EC556D"/>
    <w:rsid w:val="00EC5EE9"/>
    <w:rsid w:val="00EC760F"/>
    <w:rsid w:val="00ED4BCF"/>
    <w:rsid w:val="00ED6073"/>
    <w:rsid w:val="00ED714C"/>
    <w:rsid w:val="00EE082D"/>
    <w:rsid w:val="00EF2BE8"/>
    <w:rsid w:val="00F05CDB"/>
    <w:rsid w:val="00F11871"/>
    <w:rsid w:val="00F14F63"/>
    <w:rsid w:val="00F16A83"/>
    <w:rsid w:val="00F20269"/>
    <w:rsid w:val="00F2232E"/>
    <w:rsid w:val="00F277B9"/>
    <w:rsid w:val="00F3282C"/>
    <w:rsid w:val="00F41D57"/>
    <w:rsid w:val="00F41D5D"/>
    <w:rsid w:val="00F505D0"/>
    <w:rsid w:val="00F51A01"/>
    <w:rsid w:val="00F52386"/>
    <w:rsid w:val="00F53048"/>
    <w:rsid w:val="00F6027C"/>
    <w:rsid w:val="00F60D2B"/>
    <w:rsid w:val="00F6242F"/>
    <w:rsid w:val="00F64CEA"/>
    <w:rsid w:val="00F72813"/>
    <w:rsid w:val="00F72BCA"/>
    <w:rsid w:val="00F75DDB"/>
    <w:rsid w:val="00F76215"/>
    <w:rsid w:val="00F90EC2"/>
    <w:rsid w:val="00FA4030"/>
    <w:rsid w:val="00FB4752"/>
    <w:rsid w:val="00FB4BED"/>
    <w:rsid w:val="00FB6118"/>
    <w:rsid w:val="00FC2E0A"/>
    <w:rsid w:val="00FD5459"/>
    <w:rsid w:val="00FD6048"/>
    <w:rsid w:val="00FE2E51"/>
    <w:rsid w:val="00FE45EF"/>
    <w:rsid w:val="00FE7524"/>
    <w:rsid w:val="00FE754F"/>
    <w:rsid w:val="00FF118A"/>
    <w:rsid w:val="00FF28DE"/>
    <w:rsid w:val="00FF2C3B"/>
    <w:rsid w:val="00FF5B63"/>
    <w:rsid w:val="16BE1083"/>
    <w:rsid w:val="4648B2D8"/>
    <w:rsid w:val="5CFA7580"/>
    <w:rsid w:val="6984261A"/>
    <w:rsid w:val="7D7EA8D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8794C"/>
  <w15:chartTrackingRefBased/>
  <w15:docId w15:val="{74631DDC-05AE-4B2D-AAC7-89F8DFAEF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CFC"/>
  </w:style>
  <w:style w:type="paragraph" w:styleId="Ttulo1">
    <w:name w:val="heading 1"/>
    <w:basedOn w:val="Normal"/>
    <w:next w:val="Normal"/>
    <w:uiPriority w:val="9"/>
    <w:qFormat/>
    <w:rsid w:val="003D72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uiPriority w:val="9"/>
    <w:semiHidden/>
    <w:unhideWhenUsed/>
    <w:qFormat/>
    <w:rsid w:val="003D72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uiPriority w:val="9"/>
    <w:unhideWhenUsed/>
    <w:qFormat/>
    <w:rsid w:val="003D728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uiPriority w:val="9"/>
    <w:semiHidden/>
    <w:unhideWhenUsed/>
    <w:qFormat/>
    <w:rsid w:val="003D728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uiPriority w:val="9"/>
    <w:semiHidden/>
    <w:unhideWhenUsed/>
    <w:qFormat/>
    <w:rsid w:val="003D728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uiPriority w:val="9"/>
    <w:semiHidden/>
    <w:unhideWhenUsed/>
    <w:qFormat/>
    <w:rsid w:val="003D728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uiPriority w:val="9"/>
    <w:semiHidden/>
    <w:unhideWhenUsed/>
    <w:qFormat/>
    <w:rsid w:val="003D728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uiPriority w:val="9"/>
    <w:semiHidden/>
    <w:unhideWhenUsed/>
    <w:qFormat/>
    <w:rsid w:val="003D728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uiPriority w:val="9"/>
    <w:semiHidden/>
    <w:unhideWhenUsed/>
    <w:qFormat/>
    <w:rsid w:val="003D728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52AA7"/>
    <w:rPr>
      <w:color w:val="467886" w:themeColor="hyperlink"/>
      <w:u w:val="single"/>
    </w:rPr>
  </w:style>
  <w:style w:type="character" w:styleId="Mencinsinresolver">
    <w:name w:val="Unresolved Mention"/>
    <w:basedOn w:val="Fuentedeprrafopredeter"/>
    <w:uiPriority w:val="99"/>
    <w:semiHidden/>
    <w:unhideWhenUsed/>
    <w:rsid w:val="00652AA7"/>
    <w:rPr>
      <w:color w:val="605E5C"/>
      <w:shd w:val="clear" w:color="auto" w:fill="E1DFDD"/>
    </w:rPr>
  </w:style>
  <w:style w:type="character" w:styleId="Hipervnculovisitado">
    <w:name w:val="FollowedHyperlink"/>
    <w:basedOn w:val="Fuentedeprrafopredeter"/>
    <w:uiPriority w:val="99"/>
    <w:semiHidden/>
    <w:unhideWhenUsed/>
    <w:rsid w:val="0080308D"/>
    <w:rPr>
      <w:color w:val="96607D" w:themeColor="followedHyperlink"/>
      <w:u w:val="single"/>
    </w:rPr>
  </w:style>
  <w:style w:type="paragraph" w:styleId="Prrafodelista">
    <w:name w:val="List Paragraph"/>
    <w:basedOn w:val="Normal"/>
    <w:uiPriority w:val="34"/>
    <w:qFormat/>
    <w:rsid w:val="003D7281"/>
    <w:pPr>
      <w:ind w:left="720"/>
      <w:contextualSpacing/>
    </w:pPr>
  </w:style>
  <w:style w:type="character" w:styleId="nfasisintenso">
    <w:name w:val="Intense Emphasis"/>
    <w:basedOn w:val="Fuentedeprrafopredeter"/>
    <w:uiPriority w:val="21"/>
    <w:qFormat/>
    <w:rsid w:val="003D7281"/>
    <w:rPr>
      <w:i/>
      <w:iCs/>
      <w:color w:val="0F4761" w:themeColor="accent1" w:themeShade="BF"/>
    </w:rPr>
  </w:style>
  <w:style w:type="character" w:styleId="Referenciaintensa">
    <w:name w:val="Intense Reference"/>
    <w:basedOn w:val="Fuentedeprrafopredeter"/>
    <w:uiPriority w:val="32"/>
    <w:qFormat/>
    <w:rsid w:val="003D7281"/>
    <w:rPr>
      <w:b/>
      <w:bCs/>
      <w:smallCaps/>
      <w:color w:val="0F4761" w:themeColor="accent1" w:themeShade="BF"/>
      <w:spacing w:val="5"/>
    </w:rPr>
  </w:style>
  <w:style w:type="character" w:customStyle="1" w:styleId="Ttulo1Car">
    <w:name w:val="Título 1 Car"/>
    <w:basedOn w:val="Fuentedeprrafopredeter"/>
    <w:uiPriority w:val="9"/>
    <w:rsid w:val="00D2202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uiPriority w:val="9"/>
    <w:semiHidden/>
    <w:rsid w:val="00D2202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uiPriority w:val="9"/>
    <w:rsid w:val="00D22022"/>
    <w:rPr>
      <w:rFonts w:eastAsiaTheme="majorEastAsia" w:cstheme="majorBidi"/>
      <w:color w:val="0F4761" w:themeColor="accent1" w:themeShade="BF"/>
      <w:sz w:val="28"/>
      <w:szCs w:val="28"/>
    </w:rPr>
  </w:style>
  <w:style w:type="character" w:customStyle="1" w:styleId="Ttulo4Car">
    <w:name w:val="Título 4 Car"/>
    <w:basedOn w:val="Fuentedeprrafopredeter"/>
    <w:uiPriority w:val="9"/>
    <w:semiHidden/>
    <w:rsid w:val="00D22022"/>
    <w:rPr>
      <w:rFonts w:eastAsiaTheme="majorEastAsia" w:cstheme="majorBidi"/>
      <w:i/>
      <w:iCs/>
      <w:color w:val="0F4761" w:themeColor="accent1" w:themeShade="BF"/>
    </w:rPr>
  </w:style>
  <w:style w:type="character" w:customStyle="1" w:styleId="Ttulo5Car">
    <w:name w:val="Título 5 Car"/>
    <w:basedOn w:val="Fuentedeprrafopredeter"/>
    <w:uiPriority w:val="9"/>
    <w:semiHidden/>
    <w:rsid w:val="00D22022"/>
    <w:rPr>
      <w:rFonts w:eastAsiaTheme="majorEastAsia" w:cstheme="majorBidi"/>
      <w:color w:val="0F4761" w:themeColor="accent1" w:themeShade="BF"/>
    </w:rPr>
  </w:style>
  <w:style w:type="character" w:customStyle="1" w:styleId="Ttulo6Car">
    <w:name w:val="Título 6 Car"/>
    <w:basedOn w:val="Fuentedeprrafopredeter"/>
    <w:uiPriority w:val="9"/>
    <w:semiHidden/>
    <w:rsid w:val="00D22022"/>
    <w:rPr>
      <w:rFonts w:eastAsiaTheme="majorEastAsia" w:cstheme="majorBidi"/>
      <w:i/>
      <w:iCs/>
      <w:color w:val="595959" w:themeColor="text1" w:themeTint="A6"/>
    </w:rPr>
  </w:style>
  <w:style w:type="character" w:customStyle="1" w:styleId="Ttulo7Car">
    <w:name w:val="Título 7 Car"/>
    <w:basedOn w:val="Fuentedeprrafopredeter"/>
    <w:uiPriority w:val="9"/>
    <w:semiHidden/>
    <w:rsid w:val="00D22022"/>
    <w:rPr>
      <w:rFonts w:eastAsiaTheme="majorEastAsia" w:cstheme="majorBidi"/>
      <w:color w:val="595959" w:themeColor="text1" w:themeTint="A6"/>
    </w:rPr>
  </w:style>
  <w:style w:type="character" w:customStyle="1" w:styleId="Ttulo8Car">
    <w:name w:val="Título 8 Car"/>
    <w:basedOn w:val="Fuentedeprrafopredeter"/>
    <w:uiPriority w:val="9"/>
    <w:semiHidden/>
    <w:rsid w:val="00D22022"/>
    <w:rPr>
      <w:rFonts w:eastAsiaTheme="majorEastAsia" w:cstheme="majorBidi"/>
      <w:i/>
      <w:iCs/>
      <w:color w:val="272727" w:themeColor="text1" w:themeTint="D8"/>
    </w:rPr>
  </w:style>
  <w:style w:type="character" w:customStyle="1" w:styleId="Ttulo9Car">
    <w:name w:val="Título 9 Car"/>
    <w:basedOn w:val="Fuentedeprrafopredeter"/>
    <w:uiPriority w:val="9"/>
    <w:semiHidden/>
    <w:rsid w:val="00D22022"/>
    <w:rPr>
      <w:rFonts w:eastAsiaTheme="majorEastAsia" w:cstheme="majorBidi"/>
      <w:color w:val="272727" w:themeColor="text1" w:themeTint="D8"/>
    </w:rPr>
  </w:style>
  <w:style w:type="character" w:customStyle="1" w:styleId="TtuloCar">
    <w:name w:val="Título Car"/>
    <w:basedOn w:val="Fuentedeprrafopredeter"/>
    <w:uiPriority w:val="10"/>
    <w:rsid w:val="00D22022"/>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uiPriority w:val="11"/>
    <w:rsid w:val="00D22022"/>
    <w:rPr>
      <w:rFonts w:eastAsiaTheme="majorEastAsia" w:cstheme="majorBidi"/>
      <w:color w:val="595959" w:themeColor="text1" w:themeTint="A6"/>
      <w:spacing w:val="15"/>
      <w:sz w:val="28"/>
      <w:szCs w:val="28"/>
    </w:rPr>
  </w:style>
  <w:style w:type="character" w:customStyle="1" w:styleId="CitaCar">
    <w:name w:val="Cita Car"/>
    <w:basedOn w:val="Fuentedeprrafopredeter"/>
    <w:uiPriority w:val="29"/>
    <w:rsid w:val="00D22022"/>
    <w:rPr>
      <w:i/>
      <w:iCs/>
      <w:color w:val="404040" w:themeColor="text1" w:themeTint="BF"/>
    </w:rPr>
  </w:style>
  <w:style w:type="character" w:customStyle="1" w:styleId="CitadestacadaCar">
    <w:name w:val="Cita destacada Car"/>
    <w:basedOn w:val="Fuentedeprrafopredeter"/>
    <w:uiPriority w:val="30"/>
    <w:rsid w:val="00D22022"/>
    <w:rPr>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143662">
      <w:bodyDiv w:val="1"/>
      <w:marLeft w:val="0"/>
      <w:marRight w:val="0"/>
      <w:marTop w:val="0"/>
      <w:marBottom w:val="0"/>
      <w:divBdr>
        <w:top w:val="none" w:sz="0" w:space="0" w:color="auto"/>
        <w:left w:val="none" w:sz="0" w:space="0" w:color="auto"/>
        <w:bottom w:val="none" w:sz="0" w:space="0" w:color="auto"/>
        <w:right w:val="none" w:sz="0" w:space="0" w:color="auto"/>
      </w:divBdr>
      <w:divsChild>
        <w:div w:id="192623036">
          <w:marLeft w:val="0"/>
          <w:marRight w:val="0"/>
          <w:marTop w:val="0"/>
          <w:marBottom w:val="0"/>
          <w:divBdr>
            <w:top w:val="none" w:sz="0" w:space="0" w:color="auto"/>
            <w:left w:val="none" w:sz="0" w:space="0" w:color="auto"/>
            <w:bottom w:val="none" w:sz="0" w:space="0" w:color="auto"/>
            <w:right w:val="none" w:sz="0" w:space="0" w:color="auto"/>
          </w:divBdr>
        </w:div>
      </w:divsChild>
    </w:div>
    <w:div w:id="172308374">
      <w:bodyDiv w:val="1"/>
      <w:marLeft w:val="0"/>
      <w:marRight w:val="0"/>
      <w:marTop w:val="0"/>
      <w:marBottom w:val="0"/>
      <w:divBdr>
        <w:top w:val="none" w:sz="0" w:space="0" w:color="auto"/>
        <w:left w:val="none" w:sz="0" w:space="0" w:color="auto"/>
        <w:bottom w:val="none" w:sz="0" w:space="0" w:color="auto"/>
        <w:right w:val="none" w:sz="0" w:space="0" w:color="auto"/>
      </w:divBdr>
    </w:div>
    <w:div w:id="184098769">
      <w:bodyDiv w:val="1"/>
      <w:marLeft w:val="0"/>
      <w:marRight w:val="0"/>
      <w:marTop w:val="0"/>
      <w:marBottom w:val="0"/>
      <w:divBdr>
        <w:top w:val="none" w:sz="0" w:space="0" w:color="auto"/>
        <w:left w:val="none" w:sz="0" w:space="0" w:color="auto"/>
        <w:bottom w:val="none" w:sz="0" w:space="0" w:color="auto"/>
        <w:right w:val="none" w:sz="0" w:space="0" w:color="auto"/>
      </w:divBdr>
    </w:div>
    <w:div w:id="284192982">
      <w:bodyDiv w:val="1"/>
      <w:marLeft w:val="0"/>
      <w:marRight w:val="0"/>
      <w:marTop w:val="0"/>
      <w:marBottom w:val="0"/>
      <w:divBdr>
        <w:top w:val="none" w:sz="0" w:space="0" w:color="auto"/>
        <w:left w:val="none" w:sz="0" w:space="0" w:color="auto"/>
        <w:bottom w:val="none" w:sz="0" w:space="0" w:color="auto"/>
        <w:right w:val="none" w:sz="0" w:space="0" w:color="auto"/>
      </w:divBdr>
      <w:divsChild>
        <w:div w:id="940914115">
          <w:marLeft w:val="0"/>
          <w:marRight w:val="0"/>
          <w:marTop w:val="0"/>
          <w:marBottom w:val="0"/>
          <w:divBdr>
            <w:top w:val="none" w:sz="0" w:space="0" w:color="auto"/>
            <w:left w:val="none" w:sz="0" w:space="0" w:color="auto"/>
            <w:bottom w:val="none" w:sz="0" w:space="0" w:color="auto"/>
            <w:right w:val="none" w:sz="0" w:space="0" w:color="auto"/>
          </w:divBdr>
        </w:div>
      </w:divsChild>
    </w:div>
    <w:div w:id="313098104">
      <w:bodyDiv w:val="1"/>
      <w:marLeft w:val="0"/>
      <w:marRight w:val="0"/>
      <w:marTop w:val="0"/>
      <w:marBottom w:val="0"/>
      <w:divBdr>
        <w:top w:val="none" w:sz="0" w:space="0" w:color="auto"/>
        <w:left w:val="none" w:sz="0" w:space="0" w:color="auto"/>
        <w:bottom w:val="none" w:sz="0" w:space="0" w:color="auto"/>
        <w:right w:val="none" w:sz="0" w:space="0" w:color="auto"/>
      </w:divBdr>
    </w:div>
    <w:div w:id="347024425">
      <w:bodyDiv w:val="1"/>
      <w:marLeft w:val="0"/>
      <w:marRight w:val="0"/>
      <w:marTop w:val="0"/>
      <w:marBottom w:val="0"/>
      <w:divBdr>
        <w:top w:val="none" w:sz="0" w:space="0" w:color="auto"/>
        <w:left w:val="none" w:sz="0" w:space="0" w:color="auto"/>
        <w:bottom w:val="none" w:sz="0" w:space="0" w:color="auto"/>
        <w:right w:val="none" w:sz="0" w:space="0" w:color="auto"/>
      </w:divBdr>
    </w:div>
    <w:div w:id="382144794">
      <w:bodyDiv w:val="1"/>
      <w:marLeft w:val="0"/>
      <w:marRight w:val="0"/>
      <w:marTop w:val="0"/>
      <w:marBottom w:val="0"/>
      <w:divBdr>
        <w:top w:val="none" w:sz="0" w:space="0" w:color="auto"/>
        <w:left w:val="none" w:sz="0" w:space="0" w:color="auto"/>
        <w:bottom w:val="none" w:sz="0" w:space="0" w:color="auto"/>
        <w:right w:val="none" w:sz="0" w:space="0" w:color="auto"/>
      </w:divBdr>
    </w:div>
    <w:div w:id="398527395">
      <w:bodyDiv w:val="1"/>
      <w:marLeft w:val="0"/>
      <w:marRight w:val="0"/>
      <w:marTop w:val="0"/>
      <w:marBottom w:val="0"/>
      <w:divBdr>
        <w:top w:val="none" w:sz="0" w:space="0" w:color="auto"/>
        <w:left w:val="none" w:sz="0" w:space="0" w:color="auto"/>
        <w:bottom w:val="none" w:sz="0" w:space="0" w:color="auto"/>
        <w:right w:val="none" w:sz="0" w:space="0" w:color="auto"/>
      </w:divBdr>
    </w:div>
    <w:div w:id="400719778">
      <w:bodyDiv w:val="1"/>
      <w:marLeft w:val="0"/>
      <w:marRight w:val="0"/>
      <w:marTop w:val="0"/>
      <w:marBottom w:val="0"/>
      <w:divBdr>
        <w:top w:val="none" w:sz="0" w:space="0" w:color="auto"/>
        <w:left w:val="none" w:sz="0" w:space="0" w:color="auto"/>
        <w:bottom w:val="none" w:sz="0" w:space="0" w:color="auto"/>
        <w:right w:val="none" w:sz="0" w:space="0" w:color="auto"/>
      </w:divBdr>
    </w:div>
    <w:div w:id="414785624">
      <w:bodyDiv w:val="1"/>
      <w:marLeft w:val="0"/>
      <w:marRight w:val="0"/>
      <w:marTop w:val="0"/>
      <w:marBottom w:val="0"/>
      <w:divBdr>
        <w:top w:val="none" w:sz="0" w:space="0" w:color="auto"/>
        <w:left w:val="none" w:sz="0" w:space="0" w:color="auto"/>
        <w:bottom w:val="none" w:sz="0" w:space="0" w:color="auto"/>
        <w:right w:val="none" w:sz="0" w:space="0" w:color="auto"/>
      </w:divBdr>
    </w:div>
    <w:div w:id="510460634">
      <w:bodyDiv w:val="1"/>
      <w:marLeft w:val="0"/>
      <w:marRight w:val="0"/>
      <w:marTop w:val="0"/>
      <w:marBottom w:val="0"/>
      <w:divBdr>
        <w:top w:val="none" w:sz="0" w:space="0" w:color="auto"/>
        <w:left w:val="none" w:sz="0" w:space="0" w:color="auto"/>
        <w:bottom w:val="none" w:sz="0" w:space="0" w:color="auto"/>
        <w:right w:val="none" w:sz="0" w:space="0" w:color="auto"/>
      </w:divBdr>
    </w:div>
    <w:div w:id="519047571">
      <w:bodyDiv w:val="1"/>
      <w:marLeft w:val="0"/>
      <w:marRight w:val="0"/>
      <w:marTop w:val="0"/>
      <w:marBottom w:val="0"/>
      <w:divBdr>
        <w:top w:val="none" w:sz="0" w:space="0" w:color="auto"/>
        <w:left w:val="none" w:sz="0" w:space="0" w:color="auto"/>
        <w:bottom w:val="none" w:sz="0" w:space="0" w:color="auto"/>
        <w:right w:val="none" w:sz="0" w:space="0" w:color="auto"/>
      </w:divBdr>
    </w:div>
    <w:div w:id="527566259">
      <w:bodyDiv w:val="1"/>
      <w:marLeft w:val="0"/>
      <w:marRight w:val="0"/>
      <w:marTop w:val="0"/>
      <w:marBottom w:val="0"/>
      <w:divBdr>
        <w:top w:val="none" w:sz="0" w:space="0" w:color="auto"/>
        <w:left w:val="none" w:sz="0" w:space="0" w:color="auto"/>
        <w:bottom w:val="none" w:sz="0" w:space="0" w:color="auto"/>
        <w:right w:val="none" w:sz="0" w:space="0" w:color="auto"/>
      </w:divBdr>
    </w:div>
    <w:div w:id="548690041">
      <w:bodyDiv w:val="1"/>
      <w:marLeft w:val="0"/>
      <w:marRight w:val="0"/>
      <w:marTop w:val="0"/>
      <w:marBottom w:val="0"/>
      <w:divBdr>
        <w:top w:val="none" w:sz="0" w:space="0" w:color="auto"/>
        <w:left w:val="none" w:sz="0" w:space="0" w:color="auto"/>
        <w:bottom w:val="none" w:sz="0" w:space="0" w:color="auto"/>
        <w:right w:val="none" w:sz="0" w:space="0" w:color="auto"/>
      </w:divBdr>
    </w:div>
    <w:div w:id="729306179">
      <w:bodyDiv w:val="1"/>
      <w:marLeft w:val="0"/>
      <w:marRight w:val="0"/>
      <w:marTop w:val="0"/>
      <w:marBottom w:val="0"/>
      <w:divBdr>
        <w:top w:val="none" w:sz="0" w:space="0" w:color="auto"/>
        <w:left w:val="none" w:sz="0" w:space="0" w:color="auto"/>
        <w:bottom w:val="none" w:sz="0" w:space="0" w:color="auto"/>
        <w:right w:val="none" w:sz="0" w:space="0" w:color="auto"/>
      </w:divBdr>
    </w:div>
    <w:div w:id="768163197">
      <w:bodyDiv w:val="1"/>
      <w:marLeft w:val="0"/>
      <w:marRight w:val="0"/>
      <w:marTop w:val="0"/>
      <w:marBottom w:val="0"/>
      <w:divBdr>
        <w:top w:val="none" w:sz="0" w:space="0" w:color="auto"/>
        <w:left w:val="none" w:sz="0" w:space="0" w:color="auto"/>
        <w:bottom w:val="none" w:sz="0" w:space="0" w:color="auto"/>
        <w:right w:val="none" w:sz="0" w:space="0" w:color="auto"/>
      </w:divBdr>
    </w:div>
    <w:div w:id="790706816">
      <w:bodyDiv w:val="1"/>
      <w:marLeft w:val="0"/>
      <w:marRight w:val="0"/>
      <w:marTop w:val="0"/>
      <w:marBottom w:val="0"/>
      <w:divBdr>
        <w:top w:val="none" w:sz="0" w:space="0" w:color="auto"/>
        <w:left w:val="none" w:sz="0" w:space="0" w:color="auto"/>
        <w:bottom w:val="none" w:sz="0" w:space="0" w:color="auto"/>
        <w:right w:val="none" w:sz="0" w:space="0" w:color="auto"/>
      </w:divBdr>
    </w:div>
    <w:div w:id="840312456">
      <w:bodyDiv w:val="1"/>
      <w:marLeft w:val="0"/>
      <w:marRight w:val="0"/>
      <w:marTop w:val="0"/>
      <w:marBottom w:val="0"/>
      <w:divBdr>
        <w:top w:val="none" w:sz="0" w:space="0" w:color="auto"/>
        <w:left w:val="none" w:sz="0" w:space="0" w:color="auto"/>
        <w:bottom w:val="none" w:sz="0" w:space="0" w:color="auto"/>
        <w:right w:val="none" w:sz="0" w:space="0" w:color="auto"/>
      </w:divBdr>
    </w:div>
    <w:div w:id="949507373">
      <w:bodyDiv w:val="1"/>
      <w:marLeft w:val="0"/>
      <w:marRight w:val="0"/>
      <w:marTop w:val="0"/>
      <w:marBottom w:val="0"/>
      <w:divBdr>
        <w:top w:val="none" w:sz="0" w:space="0" w:color="auto"/>
        <w:left w:val="none" w:sz="0" w:space="0" w:color="auto"/>
        <w:bottom w:val="none" w:sz="0" w:space="0" w:color="auto"/>
        <w:right w:val="none" w:sz="0" w:space="0" w:color="auto"/>
      </w:divBdr>
    </w:div>
    <w:div w:id="1023748588">
      <w:bodyDiv w:val="1"/>
      <w:marLeft w:val="0"/>
      <w:marRight w:val="0"/>
      <w:marTop w:val="0"/>
      <w:marBottom w:val="0"/>
      <w:divBdr>
        <w:top w:val="none" w:sz="0" w:space="0" w:color="auto"/>
        <w:left w:val="none" w:sz="0" w:space="0" w:color="auto"/>
        <w:bottom w:val="none" w:sz="0" w:space="0" w:color="auto"/>
        <w:right w:val="none" w:sz="0" w:space="0" w:color="auto"/>
      </w:divBdr>
    </w:div>
    <w:div w:id="1064832548">
      <w:bodyDiv w:val="1"/>
      <w:marLeft w:val="0"/>
      <w:marRight w:val="0"/>
      <w:marTop w:val="0"/>
      <w:marBottom w:val="0"/>
      <w:divBdr>
        <w:top w:val="none" w:sz="0" w:space="0" w:color="auto"/>
        <w:left w:val="none" w:sz="0" w:space="0" w:color="auto"/>
        <w:bottom w:val="none" w:sz="0" w:space="0" w:color="auto"/>
        <w:right w:val="none" w:sz="0" w:space="0" w:color="auto"/>
      </w:divBdr>
    </w:div>
    <w:div w:id="1190682026">
      <w:bodyDiv w:val="1"/>
      <w:marLeft w:val="0"/>
      <w:marRight w:val="0"/>
      <w:marTop w:val="0"/>
      <w:marBottom w:val="0"/>
      <w:divBdr>
        <w:top w:val="none" w:sz="0" w:space="0" w:color="auto"/>
        <w:left w:val="none" w:sz="0" w:space="0" w:color="auto"/>
        <w:bottom w:val="none" w:sz="0" w:space="0" w:color="auto"/>
        <w:right w:val="none" w:sz="0" w:space="0" w:color="auto"/>
      </w:divBdr>
    </w:div>
    <w:div w:id="1257321304">
      <w:bodyDiv w:val="1"/>
      <w:marLeft w:val="0"/>
      <w:marRight w:val="0"/>
      <w:marTop w:val="0"/>
      <w:marBottom w:val="0"/>
      <w:divBdr>
        <w:top w:val="none" w:sz="0" w:space="0" w:color="auto"/>
        <w:left w:val="none" w:sz="0" w:space="0" w:color="auto"/>
        <w:bottom w:val="none" w:sz="0" w:space="0" w:color="auto"/>
        <w:right w:val="none" w:sz="0" w:space="0" w:color="auto"/>
      </w:divBdr>
    </w:div>
    <w:div w:id="1291130802">
      <w:bodyDiv w:val="1"/>
      <w:marLeft w:val="0"/>
      <w:marRight w:val="0"/>
      <w:marTop w:val="0"/>
      <w:marBottom w:val="0"/>
      <w:divBdr>
        <w:top w:val="none" w:sz="0" w:space="0" w:color="auto"/>
        <w:left w:val="none" w:sz="0" w:space="0" w:color="auto"/>
        <w:bottom w:val="none" w:sz="0" w:space="0" w:color="auto"/>
        <w:right w:val="none" w:sz="0" w:space="0" w:color="auto"/>
      </w:divBdr>
    </w:div>
    <w:div w:id="1487085164">
      <w:bodyDiv w:val="1"/>
      <w:marLeft w:val="0"/>
      <w:marRight w:val="0"/>
      <w:marTop w:val="0"/>
      <w:marBottom w:val="0"/>
      <w:divBdr>
        <w:top w:val="none" w:sz="0" w:space="0" w:color="auto"/>
        <w:left w:val="none" w:sz="0" w:space="0" w:color="auto"/>
        <w:bottom w:val="none" w:sz="0" w:space="0" w:color="auto"/>
        <w:right w:val="none" w:sz="0" w:space="0" w:color="auto"/>
      </w:divBdr>
    </w:div>
    <w:div w:id="1491366648">
      <w:bodyDiv w:val="1"/>
      <w:marLeft w:val="0"/>
      <w:marRight w:val="0"/>
      <w:marTop w:val="0"/>
      <w:marBottom w:val="0"/>
      <w:divBdr>
        <w:top w:val="none" w:sz="0" w:space="0" w:color="auto"/>
        <w:left w:val="none" w:sz="0" w:space="0" w:color="auto"/>
        <w:bottom w:val="none" w:sz="0" w:space="0" w:color="auto"/>
        <w:right w:val="none" w:sz="0" w:space="0" w:color="auto"/>
      </w:divBdr>
    </w:div>
    <w:div w:id="1622688514">
      <w:bodyDiv w:val="1"/>
      <w:marLeft w:val="0"/>
      <w:marRight w:val="0"/>
      <w:marTop w:val="0"/>
      <w:marBottom w:val="0"/>
      <w:divBdr>
        <w:top w:val="none" w:sz="0" w:space="0" w:color="auto"/>
        <w:left w:val="none" w:sz="0" w:space="0" w:color="auto"/>
        <w:bottom w:val="none" w:sz="0" w:space="0" w:color="auto"/>
        <w:right w:val="none" w:sz="0" w:space="0" w:color="auto"/>
      </w:divBdr>
    </w:div>
    <w:div w:id="1675496121">
      <w:bodyDiv w:val="1"/>
      <w:marLeft w:val="0"/>
      <w:marRight w:val="0"/>
      <w:marTop w:val="0"/>
      <w:marBottom w:val="0"/>
      <w:divBdr>
        <w:top w:val="none" w:sz="0" w:space="0" w:color="auto"/>
        <w:left w:val="none" w:sz="0" w:space="0" w:color="auto"/>
        <w:bottom w:val="none" w:sz="0" w:space="0" w:color="auto"/>
        <w:right w:val="none" w:sz="0" w:space="0" w:color="auto"/>
      </w:divBdr>
    </w:div>
    <w:div w:id="1778061234">
      <w:bodyDiv w:val="1"/>
      <w:marLeft w:val="0"/>
      <w:marRight w:val="0"/>
      <w:marTop w:val="0"/>
      <w:marBottom w:val="0"/>
      <w:divBdr>
        <w:top w:val="none" w:sz="0" w:space="0" w:color="auto"/>
        <w:left w:val="none" w:sz="0" w:space="0" w:color="auto"/>
        <w:bottom w:val="none" w:sz="0" w:space="0" w:color="auto"/>
        <w:right w:val="none" w:sz="0" w:space="0" w:color="auto"/>
      </w:divBdr>
    </w:div>
    <w:div w:id="1851723483">
      <w:bodyDiv w:val="1"/>
      <w:marLeft w:val="0"/>
      <w:marRight w:val="0"/>
      <w:marTop w:val="0"/>
      <w:marBottom w:val="0"/>
      <w:divBdr>
        <w:top w:val="none" w:sz="0" w:space="0" w:color="auto"/>
        <w:left w:val="none" w:sz="0" w:space="0" w:color="auto"/>
        <w:bottom w:val="none" w:sz="0" w:space="0" w:color="auto"/>
        <w:right w:val="none" w:sz="0" w:space="0" w:color="auto"/>
      </w:divBdr>
    </w:div>
    <w:div w:id="1879388808">
      <w:bodyDiv w:val="1"/>
      <w:marLeft w:val="0"/>
      <w:marRight w:val="0"/>
      <w:marTop w:val="0"/>
      <w:marBottom w:val="0"/>
      <w:divBdr>
        <w:top w:val="none" w:sz="0" w:space="0" w:color="auto"/>
        <w:left w:val="none" w:sz="0" w:space="0" w:color="auto"/>
        <w:bottom w:val="none" w:sz="0" w:space="0" w:color="auto"/>
        <w:right w:val="none" w:sz="0" w:space="0" w:color="auto"/>
      </w:divBdr>
    </w:div>
    <w:div w:id="1943292491">
      <w:bodyDiv w:val="1"/>
      <w:marLeft w:val="0"/>
      <w:marRight w:val="0"/>
      <w:marTop w:val="0"/>
      <w:marBottom w:val="0"/>
      <w:divBdr>
        <w:top w:val="none" w:sz="0" w:space="0" w:color="auto"/>
        <w:left w:val="none" w:sz="0" w:space="0" w:color="auto"/>
        <w:bottom w:val="none" w:sz="0" w:space="0" w:color="auto"/>
        <w:right w:val="none" w:sz="0" w:space="0" w:color="auto"/>
      </w:divBdr>
    </w:div>
    <w:div w:id="2123761277">
      <w:bodyDiv w:val="1"/>
      <w:marLeft w:val="0"/>
      <w:marRight w:val="0"/>
      <w:marTop w:val="0"/>
      <w:marBottom w:val="0"/>
      <w:divBdr>
        <w:top w:val="none" w:sz="0" w:space="0" w:color="auto"/>
        <w:left w:val="none" w:sz="0" w:space="0" w:color="auto"/>
        <w:bottom w:val="none" w:sz="0" w:space="0" w:color="auto"/>
        <w:right w:val="none" w:sz="0" w:space="0" w:color="auto"/>
      </w:divBdr>
    </w:div>
    <w:div w:id="214226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ancadelasoportunidades.gov.co/sites/default/files/2024-03/Presentaci%C3%B3n%20Estudio%20de%20Georreferenciaci%C3%B3n%20de%20corresponsales.pdf" TargetMode="External"/><Relationship Id="rId18" Type="http://schemas.openxmlformats.org/officeDocument/2006/relationships/hyperlink" Target="https://www.bancadelasoportunidades.gov.co/es/publicaciones" TargetMode="External"/><Relationship Id="rId26" Type="http://schemas.openxmlformats.org/officeDocument/2006/relationships/hyperlink" Target="https://revistas.unisimon.edu.co/index.php/desarrollogerencial/article/view/3599/4720" TargetMode="External"/><Relationship Id="rId39" Type="http://schemas.openxmlformats.org/officeDocument/2006/relationships/fontTable" Target="fontTable.xml"/><Relationship Id="rId21" Type="http://schemas.openxmlformats.org/officeDocument/2006/relationships/hyperlink" Target="https://econpapers.repec.org/bookchap/cmlincocp/7sp-12.htm" TargetMode="External"/><Relationship Id="rId34" Type="http://schemas.openxmlformats.org/officeDocument/2006/relationships/hyperlink" Target="https://publications.iadb.org/es/hacia-una-mayor-inclusion-financiera-para-el-desarrollo-informe-economico-sobre-centroamerica" TargetMode="External"/><Relationship Id="rId7" Type="http://schemas.openxmlformats.org/officeDocument/2006/relationships/webSettings" Target="webSettings.xml"/><Relationship Id="rId12" Type="http://schemas.openxmlformats.org/officeDocument/2006/relationships/hyperlink" Target="https://www.bancadelasoportunidades.gov.co/sites/default/files/2024-02/BDO_GEOESPACIAL_VF_14022023.pdf" TargetMode="External"/><Relationship Id="rId17" Type="http://schemas.openxmlformats.org/officeDocument/2006/relationships/hyperlink" Target="http://www.urf.gov.co/webcenter/ShowProperty?nodeId=%2FConexionContent%2FWCC_CLUSTER-115991%2F%2FidcPrimaryFile&amp;revision=latestreleased" TargetMode="External"/><Relationship Id="rId25" Type="http://schemas.openxmlformats.org/officeDocument/2006/relationships/hyperlink" Target="https://revistas.unisimon.edu.co/index.php/desarrollogerencial/article/view/3599" TargetMode="External"/><Relationship Id="rId33" Type="http://schemas.openxmlformats.org/officeDocument/2006/relationships/hyperlink" Target="https://www.iadb.org/es/quienes-somos/topicos/inclusion-financiera/personas-y-empresas" TargetMode="External"/><Relationship Id="rId38" Type="http://schemas.openxmlformats.org/officeDocument/2006/relationships/hyperlink" Target="https://es.weforum.org/agenda/2024/08/la-estrategia-de-inclusion-digital-de-colombia-impulsa-la-inclusion-financiera-especialmente-de-las-mujeres/" TargetMode="External"/><Relationship Id="rId2" Type="http://schemas.openxmlformats.org/officeDocument/2006/relationships/customXml" Target="../customXml/item2.xml"/><Relationship Id="rId16" Type="http://schemas.openxmlformats.org/officeDocument/2006/relationships/hyperlink" Target="https://www.bancadelasoportunidades.gov.co/es/programas/programa-de-corresponsales-moviles-y-digitales" TargetMode="External"/><Relationship Id="rId20" Type="http://schemas.openxmlformats.org/officeDocument/2006/relationships/hyperlink" Target="https://www.bancadelasoportunidades.gov.co/sites/default/files/2024-05/ESTUDIO%20EXPERIMENTAL%20DE%20GE%CC%81NERO.pdf" TargetMode="External"/><Relationship Id="rId29" Type="http://schemas.openxmlformats.org/officeDocument/2006/relationships/hyperlink" Target="https://www.findevgateway.org/es/pais/inclusion-financiera-en-colombi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bancadelasoportunidades.gov.co/es/node/1122" TargetMode="External"/><Relationship Id="rId24" Type="http://schemas.openxmlformats.org/officeDocument/2006/relationships/hyperlink" Target="https://repositorio.unitec.edu/bitstream/handle/123456789/7678/11343018-julio2015-m09-t.pdf?sequence=1&amp;isAllowed=y" TargetMode="External"/><Relationship Id="rId32" Type="http://schemas.openxmlformats.org/officeDocument/2006/relationships/hyperlink" Target="https://www.iadb.org/es/quienes-somos/topicos/inclusion-financiera/datos" TargetMode="External"/><Relationship Id="rId37" Type="http://schemas.openxmlformats.org/officeDocument/2006/relationships/hyperlink" Target="https://www.banrep.gov.co/es/noticias/conozca-bre-b-sello-que-identificara-el-servicio" TargetMode="Externa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urf.gov.co/webcenter/ShowProperty?nodeId=%2FConexionContent%2FWCC_CLUSTER-115991%2F%2FidcPrimaryFile&amp;revision=latestreleased" TargetMode="External"/><Relationship Id="rId23" Type="http://schemas.openxmlformats.org/officeDocument/2006/relationships/hyperlink" Target="https://repositorio.unitec.edu/handle/123456789/7678" TargetMode="External"/><Relationship Id="rId28" Type="http://schemas.openxmlformats.org/officeDocument/2006/relationships/hyperlink" Target="https://www.findevgateway.org/es/region/inclusion-financiera-en-america-latina-y-el-caribe" TargetMode="External"/><Relationship Id="rId36" Type="http://schemas.openxmlformats.org/officeDocument/2006/relationships/hyperlink" Target="https://www.banrep.gov.co/es/pagos-inmediatos" TargetMode="External"/><Relationship Id="rId10" Type="http://schemas.openxmlformats.org/officeDocument/2006/relationships/hyperlink" Target="https://www.superfinanciera.gov.co/publicaciones/10084717/informes-y-cifrasinformesinclusion-financieraestudio-de-demanda-10084717/" TargetMode="External"/><Relationship Id="rId19" Type="http://schemas.openxmlformats.org/officeDocument/2006/relationships/hyperlink" Target="https://www.bancadelasoportunidades.gov.co/sites/default/files/2024-03/Presentaci%C3%B3n%20Estudio%20experimental%20de%20g%C3%A9nero.pdf" TargetMode="External"/><Relationship Id="rId31" Type="http://schemas.openxmlformats.org/officeDocument/2006/relationships/hyperlink" Target="https://www.iadb.org/es/quienes-somos/topicos/inclusion-financiera/personas-y-empresas" TargetMode="External"/><Relationship Id="rId4" Type="http://schemas.openxmlformats.org/officeDocument/2006/relationships/numbering" Target="numbering.xml"/><Relationship Id="rId9" Type="http://schemas.openxmlformats.org/officeDocument/2006/relationships/hyperlink" Target="https://www.bancadelasoportunidades.gov.co/es/publicaciones/encuestas-de-demanda" TargetMode="External"/><Relationship Id="rId14" Type="http://schemas.openxmlformats.org/officeDocument/2006/relationships/hyperlink" Target="https://www.bancadelasoportunidades.gov.co/es/programas/programa-de-corresponsales-moviles-y-digitales" TargetMode="External"/><Relationship Id="rId22" Type="http://schemas.openxmlformats.org/officeDocument/2006/relationships/hyperlink" Target="https://www.cemla.org/PDF/ic/ic-2016/ic-2016-12.pdf" TargetMode="External"/><Relationship Id="rId27" Type="http://schemas.openxmlformats.org/officeDocument/2006/relationships/hyperlink" Target="https://revistas.uleam.edu.ec/index.php/business_science/article/view/491/616" TargetMode="External"/><Relationship Id="rId30" Type="http://schemas.openxmlformats.org/officeDocument/2006/relationships/hyperlink" Target="https://www.iadb.org/es/quienes-somos/topicos/inclusion-financiera/personas-y-empresas" TargetMode="External"/><Relationship Id="rId35" Type="http://schemas.openxmlformats.org/officeDocument/2006/relationships/hyperlink" Target="https://www.banrep.gov.co/es/banrep-regula-interoperabilidad-sistemas-pagos-bajo-valor-inmediatos" TargetMode="External"/><Relationship Id="rId8" Type="http://schemas.openxmlformats.org/officeDocument/2006/relationships/hyperlink" Target="https://www.bancadelasoportunidades.gov.co/es/publicaciones/reportes-anuales" TargetMode="External"/><Relationship Id="rId3"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5D4B339A9D5994482DA8179A1B161C8" ma:contentTypeVersion="5" ma:contentTypeDescription="Crear nuevo documento." ma:contentTypeScope="" ma:versionID="b9635a543913decde059493c4aeb00b8">
  <xsd:schema xmlns:xsd="http://www.w3.org/2001/XMLSchema" xmlns:xs="http://www.w3.org/2001/XMLSchema" xmlns:p="http://schemas.microsoft.com/office/2006/metadata/properties" xmlns:ns2="6bb00d47-a5e1-4223-8b3c-271d66707ebc" targetNamespace="http://schemas.microsoft.com/office/2006/metadata/properties" ma:root="true" ma:fieldsID="fd3b24b725873fd6d64998db7aad1418" ns2:_="">
    <xsd:import namespace="6bb00d47-a5e1-4223-8b3c-271d66707e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N_x00fa_mer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b00d47-a5e1-4223-8b3c-271d66707e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N_x00fa_mero" ma:index="12" nillable="true" ma:displayName="Número" ma:format="Dropdown" ma:internalName="N_x00fa_mero"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_x00fa_mero xmlns="6bb00d47-a5e1-4223-8b3c-271d66707eb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1BD385-59EA-4F44-B741-16D32868A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b00d47-a5e1-4223-8b3c-271d66707e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7E96E8-820D-453B-8DDD-0FAE6C6AA59F}">
  <ds:schemaRefs>
    <ds:schemaRef ds:uri="http://schemas.microsoft.com/office/2006/metadata/properties"/>
    <ds:schemaRef ds:uri="http://schemas.microsoft.com/office/infopath/2007/PartnerControls"/>
    <ds:schemaRef ds:uri="6bb00d47-a5e1-4223-8b3c-271d66707ebc"/>
  </ds:schemaRefs>
</ds:datastoreItem>
</file>

<file path=customXml/itemProps3.xml><?xml version="1.0" encoding="utf-8"?>
<ds:datastoreItem xmlns:ds="http://schemas.openxmlformats.org/officeDocument/2006/customXml" ds:itemID="{85AB8AE0-0B60-4DC4-BBE4-B243E13995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3188</TotalTime>
  <Pages>14</Pages>
  <Words>4721</Words>
  <Characters>25969</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30629</CharactersWithSpaces>
  <SharedDoc>false</SharedDoc>
  <HLinks>
    <vt:vector size="186" baseType="variant">
      <vt:variant>
        <vt:i4>7012451</vt:i4>
      </vt:variant>
      <vt:variant>
        <vt:i4>90</vt:i4>
      </vt:variant>
      <vt:variant>
        <vt:i4>0</vt:i4>
      </vt:variant>
      <vt:variant>
        <vt:i4>5</vt:i4>
      </vt:variant>
      <vt:variant>
        <vt:lpwstr>https://es.weforum.org/agenda/2024/08/la-estrategia-de-inclusion-digital-de-colombia-impulsa-la-inclusion-financiera-especialmente-de-las-mujeres/</vt:lpwstr>
      </vt:variant>
      <vt:variant>
        <vt:lpwstr/>
      </vt:variant>
      <vt:variant>
        <vt:i4>3080231</vt:i4>
      </vt:variant>
      <vt:variant>
        <vt:i4>87</vt:i4>
      </vt:variant>
      <vt:variant>
        <vt:i4>0</vt:i4>
      </vt:variant>
      <vt:variant>
        <vt:i4>5</vt:i4>
      </vt:variant>
      <vt:variant>
        <vt:lpwstr>https://www.banrep.gov.co/es/noticias/conozca-bre-b-sello-que-identificara-el-servicio</vt:lpwstr>
      </vt:variant>
      <vt:variant>
        <vt:lpwstr/>
      </vt:variant>
      <vt:variant>
        <vt:i4>983126</vt:i4>
      </vt:variant>
      <vt:variant>
        <vt:i4>84</vt:i4>
      </vt:variant>
      <vt:variant>
        <vt:i4>0</vt:i4>
      </vt:variant>
      <vt:variant>
        <vt:i4>5</vt:i4>
      </vt:variant>
      <vt:variant>
        <vt:lpwstr>https://www.banrep.gov.co/es/pagos-inmediatos</vt:lpwstr>
      </vt:variant>
      <vt:variant>
        <vt:lpwstr/>
      </vt:variant>
      <vt:variant>
        <vt:i4>5308431</vt:i4>
      </vt:variant>
      <vt:variant>
        <vt:i4>81</vt:i4>
      </vt:variant>
      <vt:variant>
        <vt:i4>0</vt:i4>
      </vt:variant>
      <vt:variant>
        <vt:i4>5</vt:i4>
      </vt:variant>
      <vt:variant>
        <vt:lpwstr>https://www.banrep.gov.co/es/banrep-regula-interoperabilidad-sistemas-pagos-bajo-valor-inmediatos</vt:lpwstr>
      </vt:variant>
      <vt:variant>
        <vt:lpwstr/>
      </vt:variant>
      <vt:variant>
        <vt:i4>8323198</vt:i4>
      </vt:variant>
      <vt:variant>
        <vt:i4>78</vt:i4>
      </vt:variant>
      <vt:variant>
        <vt:i4>0</vt:i4>
      </vt:variant>
      <vt:variant>
        <vt:i4>5</vt:i4>
      </vt:variant>
      <vt:variant>
        <vt:lpwstr>https://publications.iadb.org/es/hacia-una-mayor-inclusion-financiera-para-el-desarrollo-informe-economico-sobre-centroamerica</vt:lpwstr>
      </vt:variant>
      <vt:variant>
        <vt:lpwstr/>
      </vt:variant>
      <vt:variant>
        <vt:i4>7798904</vt:i4>
      </vt:variant>
      <vt:variant>
        <vt:i4>75</vt:i4>
      </vt:variant>
      <vt:variant>
        <vt:i4>0</vt:i4>
      </vt:variant>
      <vt:variant>
        <vt:i4>5</vt:i4>
      </vt:variant>
      <vt:variant>
        <vt:lpwstr>https://www.iadb.org/es/quienes-somos/topicos/inclusion-financiera/personas-y-empresas</vt:lpwstr>
      </vt:variant>
      <vt:variant>
        <vt:lpwstr/>
      </vt:variant>
      <vt:variant>
        <vt:i4>458773</vt:i4>
      </vt:variant>
      <vt:variant>
        <vt:i4>72</vt:i4>
      </vt:variant>
      <vt:variant>
        <vt:i4>0</vt:i4>
      </vt:variant>
      <vt:variant>
        <vt:i4>5</vt:i4>
      </vt:variant>
      <vt:variant>
        <vt:lpwstr>https://www.iadb.org/es/quienes-somos/topicos/inclusion-financiera/datos</vt:lpwstr>
      </vt:variant>
      <vt:variant>
        <vt:lpwstr/>
      </vt:variant>
      <vt:variant>
        <vt:i4>7798904</vt:i4>
      </vt:variant>
      <vt:variant>
        <vt:i4>69</vt:i4>
      </vt:variant>
      <vt:variant>
        <vt:i4>0</vt:i4>
      </vt:variant>
      <vt:variant>
        <vt:i4>5</vt:i4>
      </vt:variant>
      <vt:variant>
        <vt:lpwstr>https://www.iadb.org/es/quienes-somos/topicos/inclusion-financiera/personas-y-empresas</vt:lpwstr>
      </vt:variant>
      <vt:variant>
        <vt:lpwstr/>
      </vt:variant>
      <vt:variant>
        <vt:i4>7798904</vt:i4>
      </vt:variant>
      <vt:variant>
        <vt:i4>66</vt:i4>
      </vt:variant>
      <vt:variant>
        <vt:i4>0</vt:i4>
      </vt:variant>
      <vt:variant>
        <vt:i4>5</vt:i4>
      </vt:variant>
      <vt:variant>
        <vt:lpwstr>https://www.iadb.org/es/quienes-somos/topicos/inclusion-financiera/personas-y-empresas</vt:lpwstr>
      </vt:variant>
      <vt:variant>
        <vt:lpwstr/>
      </vt:variant>
      <vt:variant>
        <vt:i4>7798829</vt:i4>
      </vt:variant>
      <vt:variant>
        <vt:i4>63</vt:i4>
      </vt:variant>
      <vt:variant>
        <vt:i4>0</vt:i4>
      </vt:variant>
      <vt:variant>
        <vt:i4>5</vt:i4>
      </vt:variant>
      <vt:variant>
        <vt:lpwstr>https://www.findevgateway.org/es/pais/inclusion-financiera-en-colombia</vt:lpwstr>
      </vt:variant>
      <vt:variant>
        <vt:lpwstr/>
      </vt:variant>
      <vt:variant>
        <vt:i4>7536691</vt:i4>
      </vt:variant>
      <vt:variant>
        <vt:i4>60</vt:i4>
      </vt:variant>
      <vt:variant>
        <vt:i4>0</vt:i4>
      </vt:variant>
      <vt:variant>
        <vt:i4>5</vt:i4>
      </vt:variant>
      <vt:variant>
        <vt:lpwstr>https://www.findevgateway.org/es/region/inclusion-financiera-en-america-latina-y-el-caribe</vt:lpwstr>
      </vt:variant>
      <vt:variant>
        <vt:lpwstr/>
      </vt:variant>
      <vt:variant>
        <vt:i4>4980843</vt:i4>
      </vt:variant>
      <vt:variant>
        <vt:i4>57</vt:i4>
      </vt:variant>
      <vt:variant>
        <vt:i4>0</vt:i4>
      </vt:variant>
      <vt:variant>
        <vt:i4>5</vt:i4>
      </vt:variant>
      <vt:variant>
        <vt:lpwstr>https://revistas.uleam.edu.ec/index.php/business_science/article/view/491/616</vt:lpwstr>
      </vt:variant>
      <vt:variant>
        <vt:lpwstr/>
      </vt:variant>
      <vt:variant>
        <vt:i4>4390996</vt:i4>
      </vt:variant>
      <vt:variant>
        <vt:i4>54</vt:i4>
      </vt:variant>
      <vt:variant>
        <vt:i4>0</vt:i4>
      </vt:variant>
      <vt:variant>
        <vt:i4>5</vt:i4>
      </vt:variant>
      <vt:variant>
        <vt:lpwstr>https://revistas.unisimon.edu.co/index.php/desarrollogerencial/article/view/3599/4720</vt:lpwstr>
      </vt:variant>
      <vt:variant>
        <vt:lpwstr/>
      </vt:variant>
      <vt:variant>
        <vt:i4>4522060</vt:i4>
      </vt:variant>
      <vt:variant>
        <vt:i4>51</vt:i4>
      </vt:variant>
      <vt:variant>
        <vt:i4>0</vt:i4>
      </vt:variant>
      <vt:variant>
        <vt:i4>5</vt:i4>
      </vt:variant>
      <vt:variant>
        <vt:lpwstr>https://revistas.unisimon.edu.co/index.php/desarrollogerencial/article/view/3599</vt:lpwstr>
      </vt:variant>
      <vt:variant>
        <vt:lpwstr/>
      </vt:variant>
      <vt:variant>
        <vt:i4>6684788</vt:i4>
      </vt:variant>
      <vt:variant>
        <vt:i4>48</vt:i4>
      </vt:variant>
      <vt:variant>
        <vt:i4>0</vt:i4>
      </vt:variant>
      <vt:variant>
        <vt:i4>5</vt:i4>
      </vt:variant>
      <vt:variant>
        <vt:lpwstr>https://repositorio.unitec.edu/bitstream/handle/123456789/7678/11343018-julio2015-m09-t.pdf?sequence=1&amp;isAllowed=y</vt:lpwstr>
      </vt:variant>
      <vt:variant>
        <vt:lpwstr/>
      </vt:variant>
      <vt:variant>
        <vt:i4>6225949</vt:i4>
      </vt:variant>
      <vt:variant>
        <vt:i4>45</vt:i4>
      </vt:variant>
      <vt:variant>
        <vt:i4>0</vt:i4>
      </vt:variant>
      <vt:variant>
        <vt:i4>5</vt:i4>
      </vt:variant>
      <vt:variant>
        <vt:lpwstr>https://repositorio.unitec.edu/handle/123456789/7678</vt:lpwstr>
      </vt:variant>
      <vt:variant>
        <vt:lpwstr/>
      </vt:variant>
      <vt:variant>
        <vt:i4>6357047</vt:i4>
      </vt:variant>
      <vt:variant>
        <vt:i4>42</vt:i4>
      </vt:variant>
      <vt:variant>
        <vt:i4>0</vt:i4>
      </vt:variant>
      <vt:variant>
        <vt:i4>5</vt:i4>
      </vt:variant>
      <vt:variant>
        <vt:lpwstr>https://www.cemla.org/PDF/ic/ic-2016/ic-2016-12.pdf</vt:lpwstr>
      </vt:variant>
      <vt:variant>
        <vt:lpwstr/>
      </vt:variant>
      <vt:variant>
        <vt:i4>6291499</vt:i4>
      </vt:variant>
      <vt:variant>
        <vt:i4>39</vt:i4>
      </vt:variant>
      <vt:variant>
        <vt:i4>0</vt:i4>
      </vt:variant>
      <vt:variant>
        <vt:i4>5</vt:i4>
      </vt:variant>
      <vt:variant>
        <vt:lpwstr>https://econpapers.repec.org/bookchap/cmlincocp/7sp-12.htm</vt:lpwstr>
      </vt:variant>
      <vt:variant>
        <vt:lpwstr/>
      </vt:variant>
      <vt:variant>
        <vt:i4>2621483</vt:i4>
      </vt:variant>
      <vt:variant>
        <vt:i4>36</vt:i4>
      </vt:variant>
      <vt:variant>
        <vt:i4>0</vt:i4>
      </vt:variant>
      <vt:variant>
        <vt:i4>5</vt:i4>
      </vt:variant>
      <vt:variant>
        <vt:lpwstr>https://www.bancadelasoportunidades.gov.co/sites/default/files/2024-05/ESTUDIO EXPERIMENTAL DE GE%CC%81NERO.pdf</vt:lpwstr>
      </vt:variant>
      <vt:variant>
        <vt:lpwstr/>
      </vt:variant>
      <vt:variant>
        <vt:i4>1572944</vt:i4>
      </vt:variant>
      <vt:variant>
        <vt:i4>33</vt:i4>
      </vt:variant>
      <vt:variant>
        <vt:i4>0</vt:i4>
      </vt:variant>
      <vt:variant>
        <vt:i4>5</vt:i4>
      </vt:variant>
      <vt:variant>
        <vt:lpwstr>https://www.bancadelasoportunidades.gov.co/sites/default/files/2024-03/Presentaci%C3%B3n Estudio experimental de g%C3%A9nero.pdf</vt:lpwstr>
      </vt:variant>
      <vt:variant>
        <vt:lpwstr/>
      </vt:variant>
      <vt:variant>
        <vt:i4>7471219</vt:i4>
      </vt:variant>
      <vt:variant>
        <vt:i4>30</vt:i4>
      </vt:variant>
      <vt:variant>
        <vt:i4>0</vt:i4>
      </vt:variant>
      <vt:variant>
        <vt:i4>5</vt:i4>
      </vt:variant>
      <vt:variant>
        <vt:lpwstr>https://www.bancadelasoportunidades.gov.co/es/publicaciones</vt:lpwstr>
      </vt:variant>
      <vt:variant>
        <vt:lpwstr/>
      </vt:variant>
      <vt:variant>
        <vt:i4>4522021</vt:i4>
      </vt:variant>
      <vt:variant>
        <vt:i4>27</vt:i4>
      </vt:variant>
      <vt:variant>
        <vt:i4>0</vt:i4>
      </vt:variant>
      <vt:variant>
        <vt:i4>5</vt:i4>
      </vt:variant>
      <vt:variant>
        <vt:lpwstr>http://www.urf.gov.co/webcenter/ShowProperty?nodeId=%2FConexionContent%2FWCC_CLUSTER-115991%2F%2FidcPrimaryFile&amp;revision=latestreleased</vt:lpwstr>
      </vt:variant>
      <vt:variant>
        <vt:lpwstr>page11</vt:lpwstr>
      </vt:variant>
      <vt:variant>
        <vt:i4>2293838</vt:i4>
      </vt:variant>
      <vt:variant>
        <vt:i4>24</vt:i4>
      </vt:variant>
      <vt:variant>
        <vt:i4>0</vt:i4>
      </vt:variant>
      <vt:variant>
        <vt:i4>5</vt:i4>
      </vt:variant>
      <vt:variant>
        <vt:lpwstr>https://www.bancadelasoportunidades.gov.co/es/programas/programa-de-corresponsales-moviles-y-digitales</vt:lpwstr>
      </vt:variant>
      <vt:variant>
        <vt:lpwstr>_ftnref1</vt:lpwstr>
      </vt:variant>
      <vt:variant>
        <vt:i4>4849725</vt:i4>
      </vt:variant>
      <vt:variant>
        <vt:i4>21</vt:i4>
      </vt:variant>
      <vt:variant>
        <vt:i4>0</vt:i4>
      </vt:variant>
      <vt:variant>
        <vt:i4>5</vt:i4>
      </vt:variant>
      <vt:variant>
        <vt:lpwstr>https://www.urf.gov.co/webcenter/ShowProperty?nodeId=%2FConexionContent%2FWCC_CLUSTER-115991%2F%2FidcPrimaryFile&amp;revision=latestreleased</vt:lpwstr>
      </vt:variant>
      <vt:variant>
        <vt:lpwstr>page11</vt:lpwstr>
      </vt:variant>
      <vt:variant>
        <vt:i4>7798874</vt:i4>
      </vt:variant>
      <vt:variant>
        <vt:i4>18</vt:i4>
      </vt:variant>
      <vt:variant>
        <vt:i4>0</vt:i4>
      </vt:variant>
      <vt:variant>
        <vt:i4>5</vt:i4>
      </vt:variant>
      <vt:variant>
        <vt:lpwstr>https://www.bancadelasoportunidades.gov.co/es/programas/programa-de-corresponsales-moviles-y-digitales</vt:lpwstr>
      </vt:variant>
      <vt:variant>
        <vt:lpwstr>_ftn1</vt:lpwstr>
      </vt:variant>
      <vt:variant>
        <vt:i4>1376272</vt:i4>
      </vt:variant>
      <vt:variant>
        <vt:i4>15</vt:i4>
      </vt:variant>
      <vt:variant>
        <vt:i4>0</vt:i4>
      </vt:variant>
      <vt:variant>
        <vt:i4>5</vt:i4>
      </vt:variant>
      <vt:variant>
        <vt:lpwstr>https://www.bancadelasoportunidades.gov.co/sites/default/files/2024-03/Presentaci%C3%B3n Estudio de Georreferenciaci%C3%B3n de corresponsales.pdf</vt:lpwstr>
      </vt:variant>
      <vt:variant>
        <vt:lpwstr/>
      </vt:variant>
      <vt:variant>
        <vt:i4>1179770</vt:i4>
      </vt:variant>
      <vt:variant>
        <vt:i4>12</vt:i4>
      </vt:variant>
      <vt:variant>
        <vt:i4>0</vt:i4>
      </vt:variant>
      <vt:variant>
        <vt:i4>5</vt:i4>
      </vt:variant>
      <vt:variant>
        <vt:lpwstr>https://www.bancadelasoportunidades.gov.co/sites/default/files/2024-02/BDO_GEOESPACIAL_VF_14022023.pdf</vt:lpwstr>
      </vt:variant>
      <vt:variant>
        <vt:lpwstr/>
      </vt:variant>
      <vt:variant>
        <vt:i4>6815866</vt:i4>
      </vt:variant>
      <vt:variant>
        <vt:i4>9</vt:i4>
      </vt:variant>
      <vt:variant>
        <vt:i4>0</vt:i4>
      </vt:variant>
      <vt:variant>
        <vt:i4>5</vt:i4>
      </vt:variant>
      <vt:variant>
        <vt:lpwstr>https://www.bancadelasoportunidades.gov.co/es/node/1122</vt:lpwstr>
      </vt:variant>
      <vt:variant>
        <vt:lpwstr/>
      </vt:variant>
      <vt:variant>
        <vt:i4>6881313</vt:i4>
      </vt:variant>
      <vt:variant>
        <vt:i4>6</vt:i4>
      </vt:variant>
      <vt:variant>
        <vt:i4>0</vt:i4>
      </vt:variant>
      <vt:variant>
        <vt:i4>5</vt:i4>
      </vt:variant>
      <vt:variant>
        <vt:lpwstr>https://www.superfinanciera.gov.co/publicaciones/10084717/informes-y-cifrasinformesinclusion-financieraestudio-de-demanda-10084717/</vt:lpwstr>
      </vt:variant>
      <vt:variant>
        <vt:lpwstr/>
      </vt:variant>
      <vt:variant>
        <vt:i4>1704013</vt:i4>
      </vt:variant>
      <vt:variant>
        <vt:i4>3</vt:i4>
      </vt:variant>
      <vt:variant>
        <vt:i4>0</vt:i4>
      </vt:variant>
      <vt:variant>
        <vt:i4>5</vt:i4>
      </vt:variant>
      <vt:variant>
        <vt:lpwstr>https://www.bancadelasoportunidades.gov.co/es/publicaciones/encuestas-de-demanda</vt:lpwstr>
      </vt:variant>
      <vt:variant>
        <vt:lpwstr/>
      </vt:variant>
      <vt:variant>
        <vt:i4>5963858</vt:i4>
      </vt:variant>
      <vt:variant>
        <vt:i4>0</vt:i4>
      </vt:variant>
      <vt:variant>
        <vt:i4>0</vt:i4>
      </vt:variant>
      <vt:variant>
        <vt:i4>5</vt:i4>
      </vt:variant>
      <vt:variant>
        <vt:lpwstr>https://www.bancadelasoportunidades.gov.co/es/publicaciones/reportes-anuales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Catalina Valencia Lopez</dc:creator>
  <cp:keywords/>
  <dc:description/>
  <cp:lastModifiedBy>Diana Catalina Valencia Lopez</cp:lastModifiedBy>
  <cp:revision>363</cp:revision>
  <dcterms:created xsi:type="dcterms:W3CDTF">2024-08-15T16:01:00Z</dcterms:created>
  <dcterms:modified xsi:type="dcterms:W3CDTF">2024-09-20T23:34:00Z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0x010100C5D4B339A9D5994482DA8179A1B161C8</vt:lpwstr>
  </property>
</Properties>
</file>