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8075E1" w14:textId="11BED7C4" w:rsidR="00D45CA5" w:rsidRPr="007076B7" w:rsidRDefault="00D45CA5" w:rsidP="002E24CA">
      <w:pPr>
        <w:spacing w:line="276" w:lineRule="auto"/>
        <w:ind w:firstLine="7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Finanzas abiertas y su </w:t>
      </w:r>
      <w:r w:rsidR="00B47710">
        <w:rPr>
          <w:rFonts w:ascii="Times New Roman" w:eastAsia="Times New Roman" w:hAnsi="Times New Roman" w:cs="Times New Roman"/>
          <w:b/>
          <w:sz w:val="24"/>
          <w:szCs w:val="24"/>
        </w:rPr>
        <w:t>incidencia</w:t>
      </w:r>
      <w:r w:rsidR="005A7F12">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en la inclusión financiera en Colombia</w:t>
      </w:r>
    </w:p>
    <w:p w14:paraId="69373591" w14:textId="77777777" w:rsidR="00D45CA5" w:rsidRPr="007076B7" w:rsidRDefault="00D45CA5" w:rsidP="00D45CA5">
      <w:pPr>
        <w:spacing w:line="276" w:lineRule="auto"/>
        <w:rPr>
          <w:rFonts w:ascii="Times New Roman" w:eastAsia="Times New Roman" w:hAnsi="Times New Roman" w:cs="Times New Roman"/>
          <w:sz w:val="24"/>
          <w:szCs w:val="24"/>
        </w:rPr>
      </w:pPr>
    </w:p>
    <w:p w14:paraId="060EED0C" w14:textId="77777777" w:rsidR="00D45CA5" w:rsidRPr="007076B7" w:rsidRDefault="00D45CA5" w:rsidP="00D45CA5">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Eliana Marcela Rojas Pérez</w:t>
      </w:r>
    </w:p>
    <w:p w14:paraId="05A89205" w14:textId="77777777" w:rsidR="00D45CA5" w:rsidRPr="007076B7" w:rsidRDefault="00D45CA5" w:rsidP="00D45CA5">
      <w:pPr>
        <w:spacing w:line="276" w:lineRule="auto"/>
        <w:jc w:val="center"/>
        <w:rPr>
          <w:rFonts w:ascii="Times New Roman" w:eastAsia="Times New Roman" w:hAnsi="Times New Roman" w:cs="Times New Roman"/>
          <w:i/>
          <w:sz w:val="24"/>
          <w:szCs w:val="24"/>
        </w:rPr>
      </w:pPr>
      <w:r w:rsidRPr="00CE030F">
        <w:rPr>
          <w:rFonts w:ascii="Times New Roman" w:eastAsia="Times New Roman" w:hAnsi="Times New Roman" w:cs="Times New Roman"/>
          <w:i/>
          <w:sz w:val="24"/>
          <w:szCs w:val="24"/>
        </w:rPr>
        <w:t>emrojasp@eafit.edu.co</w:t>
      </w:r>
    </w:p>
    <w:p w14:paraId="2EF6872F" w14:textId="77777777" w:rsidR="00D45CA5" w:rsidRPr="007076B7" w:rsidRDefault="00D45CA5" w:rsidP="00D45CA5">
      <w:pPr>
        <w:spacing w:line="276" w:lineRule="auto"/>
        <w:rPr>
          <w:rFonts w:ascii="Times New Roman" w:eastAsia="Times New Roman" w:hAnsi="Times New Roman" w:cs="Times New Roman"/>
          <w:sz w:val="24"/>
          <w:szCs w:val="24"/>
        </w:rPr>
      </w:pPr>
    </w:p>
    <w:p w14:paraId="42ACE6D9" w14:textId="77777777" w:rsidR="00D45CA5" w:rsidRPr="007076B7" w:rsidRDefault="00D45CA5" w:rsidP="00D45CA5">
      <w:pP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Diana Catalina Valencia López</w:t>
      </w:r>
    </w:p>
    <w:p w14:paraId="7E20E553" w14:textId="77777777" w:rsidR="00D45CA5" w:rsidRPr="007076B7" w:rsidRDefault="00D45CA5" w:rsidP="00D45CA5">
      <w:pPr>
        <w:spacing w:line="276" w:lineRule="auto"/>
        <w:jc w:val="center"/>
        <w:rPr>
          <w:rFonts w:ascii="Times New Roman" w:eastAsia="Times New Roman" w:hAnsi="Times New Roman" w:cs="Times New Roman"/>
          <w:i/>
          <w:sz w:val="24"/>
          <w:szCs w:val="24"/>
        </w:rPr>
      </w:pPr>
      <w:r w:rsidRPr="00CE030F">
        <w:rPr>
          <w:rFonts w:ascii="Times New Roman" w:eastAsia="Times New Roman" w:hAnsi="Times New Roman" w:cs="Times New Roman"/>
          <w:i/>
          <w:sz w:val="24"/>
          <w:szCs w:val="24"/>
        </w:rPr>
        <w:t>dcvalenci1@eafit.edu.co</w:t>
      </w:r>
    </w:p>
    <w:p w14:paraId="0B8ACBA3" w14:textId="75FBEC93" w:rsidR="00FA7DE7" w:rsidRPr="0079069D" w:rsidRDefault="00EC3A0A" w:rsidP="0079069D">
      <w:pPr>
        <w:pStyle w:val="ListParagraph"/>
        <w:numPr>
          <w:ilvl w:val="0"/>
          <w:numId w:val="6"/>
        </w:numPr>
        <w:tabs>
          <w:tab w:val="left" w:pos="68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Introducción</w:t>
      </w:r>
    </w:p>
    <w:p w14:paraId="66B2DD24" w14:textId="77777777" w:rsidR="00FA7DE7" w:rsidRPr="00FA7DE7" w:rsidRDefault="00FA7DE7" w:rsidP="00FA7DE7">
      <w:pPr>
        <w:spacing w:line="276" w:lineRule="auto"/>
        <w:ind w:left="360" w:right="260"/>
        <w:jc w:val="both"/>
        <w:rPr>
          <w:rFonts w:ascii="Times New Roman" w:eastAsia="Times New Roman" w:hAnsi="Times New Roman" w:cs="Times New Roman"/>
          <w:sz w:val="24"/>
          <w:szCs w:val="24"/>
        </w:rPr>
      </w:pPr>
    </w:p>
    <w:p w14:paraId="7D85F7DD" w14:textId="52B204AD" w:rsidR="00B4261F" w:rsidRDefault="00B4261F" w:rsidP="002210A3">
      <w:pPr>
        <w:jc w:val="both"/>
        <w:rPr>
          <w:rFonts w:ascii="Times New Roman" w:eastAsia="Times New Roman" w:hAnsi="Times New Roman" w:cs="Times New Roman"/>
          <w:kern w:val="0"/>
          <w:sz w:val="24"/>
          <w:szCs w:val="24"/>
          <w:lang w:val="es-CO" w:eastAsia="es-ES_tradnl"/>
          <w14:ligatures w14:val="none"/>
        </w:rPr>
      </w:pPr>
      <w:r w:rsidRPr="00B4261F">
        <w:rPr>
          <w:rFonts w:ascii="Times New Roman" w:eastAsia="Times New Roman" w:hAnsi="Times New Roman" w:cs="Times New Roman"/>
          <w:kern w:val="0"/>
          <w:sz w:val="24"/>
          <w:szCs w:val="24"/>
          <w:lang w:val="es-CO" w:eastAsia="es-ES_tradnl"/>
          <w14:ligatures w14:val="none"/>
        </w:rPr>
        <w:t>El sector financiero colombiano tradicionalmente ha operado bajo un modelo cerrado, donde los bancos y los clientes son los únicos con acceso a la información financiera. Sin embargo, en diferentes partes del mundo,</w:t>
      </w:r>
      <w:r>
        <w:rPr>
          <w:rFonts w:ascii="Times New Roman" w:eastAsia="Times New Roman" w:hAnsi="Times New Roman" w:cs="Times New Roman"/>
          <w:kern w:val="0"/>
          <w:sz w:val="24"/>
          <w:szCs w:val="24"/>
          <w:lang w:val="es-CO" w:eastAsia="es-ES_tradnl"/>
          <w14:ligatures w14:val="none"/>
        </w:rPr>
        <w:t xml:space="preserve"> se ha venido rompiendo</w:t>
      </w:r>
      <w:r w:rsidRPr="00B4261F">
        <w:rPr>
          <w:rFonts w:ascii="Times New Roman" w:eastAsia="Times New Roman" w:hAnsi="Times New Roman" w:cs="Times New Roman"/>
          <w:kern w:val="0"/>
          <w:sz w:val="24"/>
          <w:szCs w:val="24"/>
          <w:lang w:val="es-CO" w:eastAsia="es-ES_tradnl"/>
          <w14:ligatures w14:val="none"/>
        </w:rPr>
        <w:t xml:space="preserve"> este paradigma a través de </w:t>
      </w:r>
      <w:r>
        <w:rPr>
          <w:rFonts w:ascii="Times New Roman" w:eastAsia="Times New Roman" w:hAnsi="Times New Roman" w:cs="Times New Roman"/>
          <w:kern w:val="0"/>
          <w:sz w:val="24"/>
          <w:szCs w:val="24"/>
          <w:lang w:val="es-CO" w:eastAsia="es-ES_tradnl"/>
          <w14:ligatures w14:val="none"/>
        </w:rPr>
        <w:t xml:space="preserve">nueva normatividad y </w:t>
      </w:r>
      <w:r w:rsidRPr="00B4261F">
        <w:rPr>
          <w:rFonts w:ascii="Times New Roman" w:eastAsia="Times New Roman" w:hAnsi="Times New Roman" w:cs="Times New Roman"/>
          <w:kern w:val="0"/>
          <w:sz w:val="24"/>
          <w:szCs w:val="24"/>
          <w:lang w:val="es-CO" w:eastAsia="es-ES_tradnl"/>
          <w14:ligatures w14:val="none"/>
        </w:rPr>
        <w:t xml:space="preserve">leyes que impulsan las finanzas abiertas o modelos donde el mercado demanda la </w:t>
      </w:r>
      <w:r>
        <w:rPr>
          <w:rFonts w:ascii="Times New Roman" w:eastAsia="Times New Roman" w:hAnsi="Times New Roman" w:cs="Times New Roman"/>
          <w:kern w:val="0"/>
          <w:sz w:val="24"/>
          <w:szCs w:val="24"/>
          <w:lang w:val="es-CO" w:eastAsia="es-ES_tradnl"/>
          <w14:ligatures w14:val="none"/>
        </w:rPr>
        <w:t>compartición</w:t>
      </w:r>
      <w:r w:rsidR="00253F44">
        <w:rPr>
          <w:rFonts w:ascii="Times New Roman" w:eastAsia="Times New Roman" w:hAnsi="Times New Roman" w:cs="Times New Roman"/>
          <w:kern w:val="0"/>
          <w:sz w:val="24"/>
          <w:szCs w:val="24"/>
          <w:lang w:val="es-CO" w:eastAsia="es-ES_tradnl"/>
          <w14:ligatures w14:val="none"/>
        </w:rPr>
        <w:t xml:space="preserve"> e</w:t>
      </w:r>
      <w:r w:rsidRPr="00B4261F">
        <w:rPr>
          <w:rFonts w:ascii="Times New Roman" w:eastAsia="Times New Roman" w:hAnsi="Times New Roman" w:cs="Times New Roman"/>
          <w:kern w:val="0"/>
          <w:sz w:val="24"/>
          <w:szCs w:val="24"/>
          <w:lang w:val="es-CO" w:eastAsia="es-ES_tradnl"/>
          <w14:ligatures w14:val="none"/>
        </w:rPr>
        <w:t xml:space="preserve"> intercambio de datos</w:t>
      </w:r>
      <w:r w:rsidR="007063B2">
        <w:rPr>
          <w:rFonts w:ascii="Times New Roman" w:eastAsia="Times New Roman" w:hAnsi="Times New Roman" w:cs="Times New Roman"/>
          <w:kern w:val="0"/>
          <w:sz w:val="24"/>
          <w:szCs w:val="24"/>
          <w:lang w:val="es-CO" w:eastAsia="es-ES_tradnl"/>
          <w14:ligatures w14:val="none"/>
        </w:rPr>
        <w:t xml:space="preserve"> entre los diferentes actores</w:t>
      </w:r>
      <w:r w:rsidR="006F5941">
        <w:rPr>
          <w:rFonts w:ascii="Times New Roman" w:eastAsia="Times New Roman" w:hAnsi="Times New Roman" w:cs="Times New Roman"/>
          <w:kern w:val="0"/>
          <w:sz w:val="24"/>
          <w:szCs w:val="24"/>
          <w:lang w:val="es-CO" w:eastAsia="es-ES_tradnl"/>
          <w14:ligatures w14:val="none"/>
        </w:rPr>
        <w:t>,</w:t>
      </w:r>
      <w:r w:rsidRPr="00B4261F">
        <w:rPr>
          <w:rFonts w:ascii="Times New Roman" w:eastAsia="Times New Roman" w:hAnsi="Times New Roman" w:cs="Times New Roman"/>
          <w:kern w:val="0"/>
          <w:sz w:val="24"/>
          <w:szCs w:val="24"/>
          <w:lang w:val="es-CO" w:eastAsia="es-ES_tradnl"/>
          <w14:ligatures w14:val="none"/>
        </w:rPr>
        <w:t xml:space="preserve"> como herramienta para generar propuestas de valor</w:t>
      </w:r>
      <w:r w:rsidR="00F56DD8">
        <w:rPr>
          <w:rFonts w:ascii="Times New Roman" w:eastAsia="Times New Roman" w:hAnsi="Times New Roman" w:cs="Times New Roman"/>
          <w:kern w:val="0"/>
          <w:sz w:val="24"/>
          <w:szCs w:val="24"/>
          <w:lang w:val="es-CO" w:eastAsia="es-ES_tradnl"/>
          <w14:ligatures w14:val="none"/>
        </w:rPr>
        <w:t xml:space="preserve"> enfocadas en las necesidades del consumidor financiero</w:t>
      </w:r>
      <w:r w:rsidRPr="00B4261F">
        <w:rPr>
          <w:rFonts w:ascii="Times New Roman" w:eastAsia="Times New Roman" w:hAnsi="Times New Roman" w:cs="Times New Roman"/>
          <w:kern w:val="0"/>
          <w:sz w:val="24"/>
          <w:szCs w:val="24"/>
          <w:lang w:val="es-CO" w:eastAsia="es-ES_tradnl"/>
          <w14:ligatures w14:val="none"/>
        </w:rPr>
        <w:t>.</w:t>
      </w:r>
    </w:p>
    <w:p w14:paraId="796D823E" w14:textId="3E29E550" w:rsidR="00230A10" w:rsidRDefault="00405E7F" w:rsidP="00796C3A">
      <w:pPr>
        <w:jc w:val="both"/>
        <w:rPr>
          <w:rFonts w:ascii="Times New Roman" w:eastAsia="Times New Roman" w:hAnsi="Times New Roman" w:cs="Times New Roman"/>
          <w:kern w:val="0"/>
          <w:sz w:val="24"/>
          <w:szCs w:val="24"/>
          <w:lang w:val="es-CO" w:eastAsia="es-ES_tradnl"/>
          <w14:ligatures w14:val="none"/>
        </w:rPr>
      </w:pPr>
      <w:r>
        <w:rPr>
          <w:rFonts w:ascii="Times New Roman" w:eastAsia="Times New Roman" w:hAnsi="Times New Roman" w:cs="Times New Roman"/>
          <w:kern w:val="0"/>
          <w:sz w:val="24"/>
          <w:szCs w:val="24"/>
          <w:lang w:val="es-CO" w:eastAsia="es-ES_tradnl"/>
          <w14:ligatures w14:val="none"/>
        </w:rPr>
        <w:t>D</w:t>
      </w:r>
      <w:r w:rsidR="00342B59">
        <w:rPr>
          <w:rFonts w:ascii="Times New Roman" w:eastAsia="Times New Roman" w:hAnsi="Times New Roman" w:cs="Times New Roman"/>
          <w:kern w:val="0"/>
          <w:sz w:val="24"/>
          <w:szCs w:val="24"/>
          <w:lang w:val="es-CO" w:eastAsia="es-ES_tradnl"/>
          <w14:ligatures w14:val="none"/>
        </w:rPr>
        <w:t>urante los últimos años</w:t>
      </w:r>
      <w:r w:rsidR="003F466F">
        <w:rPr>
          <w:rFonts w:ascii="Times New Roman" w:eastAsia="Times New Roman" w:hAnsi="Times New Roman" w:cs="Times New Roman"/>
          <w:kern w:val="0"/>
          <w:sz w:val="24"/>
          <w:szCs w:val="24"/>
          <w:lang w:val="es-CO" w:eastAsia="es-ES_tradnl"/>
          <w14:ligatures w14:val="none"/>
        </w:rPr>
        <w:t xml:space="preserve"> la inclusión financiera ha sido uno de los principales reto</w:t>
      </w:r>
      <w:r w:rsidR="00230A10">
        <w:rPr>
          <w:rFonts w:ascii="Times New Roman" w:eastAsia="Times New Roman" w:hAnsi="Times New Roman" w:cs="Times New Roman"/>
          <w:kern w:val="0"/>
          <w:sz w:val="24"/>
          <w:szCs w:val="24"/>
          <w:lang w:val="es-CO" w:eastAsia="es-ES_tradnl"/>
          <w14:ligatures w14:val="none"/>
        </w:rPr>
        <w:t xml:space="preserve">s tanto para </w:t>
      </w:r>
      <w:r w:rsidR="00342B59">
        <w:rPr>
          <w:rFonts w:ascii="Times New Roman" w:eastAsia="Times New Roman" w:hAnsi="Times New Roman" w:cs="Times New Roman"/>
          <w:kern w:val="0"/>
          <w:sz w:val="24"/>
          <w:szCs w:val="24"/>
          <w:lang w:val="es-CO" w:eastAsia="es-ES_tradnl"/>
          <w14:ligatures w14:val="none"/>
        </w:rPr>
        <w:t xml:space="preserve">el sector </w:t>
      </w:r>
      <w:r w:rsidR="003E4F33">
        <w:rPr>
          <w:rFonts w:ascii="Times New Roman" w:eastAsia="Times New Roman" w:hAnsi="Times New Roman" w:cs="Times New Roman"/>
          <w:kern w:val="0"/>
          <w:sz w:val="24"/>
          <w:szCs w:val="24"/>
          <w:lang w:val="es-CO" w:eastAsia="es-ES_tradnl"/>
          <w14:ligatures w14:val="none"/>
        </w:rPr>
        <w:t>público</w:t>
      </w:r>
      <w:r w:rsidR="00342B59">
        <w:rPr>
          <w:rFonts w:ascii="Times New Roman" w:eastAsia="Times New Roman" w:hAnsi="Times New Roman" w:cs="Times New Roman"/>
          <w:kern w:val="0"/>
          <w:sz w:val="24"/>
          <w:szCs w:val="24"/>
          <w:lang w:val="es-CO" w:eastAsia="es-ES_tradnl"/>
          <w14:ligatures w14:val="none"/>
        </w:rPr>
        <w:t xml:space="preserve"> </w:t>
      </w:r>
      <w:r w:rsidR="00230A10">
        <w:rPr>
          <w:rFonts w:ascii="Times New Roman" w:eastAsia="Times New Roman" w:hAnsi="Times New Roman" w:cs="Times New Roman"/>
          <w:kern w:val="0"/>
          <w:sz w:val="24"/>
          <w:szCs w:val="24"/>
          <w:lang w:val="es-CO" w:eastAsia="es-ES_tradnl"/>
          <w14:ligatures w14:val="none"/>
        </w:rPr>
        <w:t>como para el</w:t>
      </w:r>
      <w:r w:rsidR="00342B59">
        <w:rPr>
          <w:rFonts w:ascii="Times New Roman" w:eastAsia="Times New Roman" w:hAnsi="Times New Roman" w:cs="Times New Roman"/>
          <w:kern w:val="0"/>
          <w:sz w:val="24"/>
          <w:szCs w:val="24"/>
          <w:lang w:val="es-CO" w:eastAsia="es-ES_tradnl"/>
          <w14:ligatures w14:val="none"/>
        </w:rPr>
        <w:t xml:space="preserve"> </w:t>
      </w:r>
      <w:r w:rsidR="006F155A">
        <w:rPr>
          <w:rFonts w:ascii="Times New Roman" w:eastAsia="Times New Roman" w:hAnsi="Times New Roman" w:cs="Times New Roman"/>
          <w:kern w:val="0"/>
          <w:sz w:val="24"/>
          <w:szCs w:val="24"/>
          <w:lang w:val="es-CO" w:eastAsia="es-ES_tradnl"/>
          <w14:ligatures w14:val="none"/>
        </w:rPr>
        <w:t>sector privado</w:t>
      </w:r>
      <w:r w:rsidR="00D2561A">
        <w:rPr>
          <w:rFonts w:ascii="Times New Roman" w:eastAsia="Times New Roman" w:hAnsi="Times New Roman" w:cs="Times New Roman"/>
          <w:kern w:val="0"/>
          <w:sz w:val="24"/>
          <w:szCs w:val="24"/>
          <w:lang w:val="es-CO" w:eastAsia="es-ES_tradnl"/>
          <w14:ligatures w14:val="none"/>
        </w:rPr>
        <w:t xml:space="preserve">, es por esto, </w:t>
      </w:r>
      <w:r w:rsidR="00C07FDE">
        <w:rPr>
          <w:rFonts w:ascii="Times New Roman" w:eastAsia="Times New Roman" w:hAnsi="Times New Roman" w:cs="Times New Roman"/>
          <w:kern w:val="0"/>
          <w:sz w:val="24"/>
          <w:szCs w:val="24"/>
          <w:lang w:val="es-CO" w:eastAsia="es-ES_tradnl"/>
          <w14:ligatures w14:val="none"/>
        </w:rPr>
        <w:t>que</w:t>
      </w:r>
      <w:r>
        <w:rPr>
          <w:rFonts w:ascii="Times New Roman" w:eastAsia="Times New Roman" w:hAnsi="Times New Roman" w:cs="Times New Roman"/>
          <w:kern w:val="0"/>
          <w:sz w:val="24"/>
          <w:szCs w:val="24"/>
          <w:lang w:val="es-CO" w:eastAsia="es-ES_tradnl"/>
          <w14:ligatures w14:val="none"/>
        </w:rPr>
        <w:t xml:space="preserve"> en Colombia se ha evidenciado la necesidad de cerrar las brechas </w:t>
      </w:r>
      <w:r w:rsidR="00F86F14">
        <w:rPr>
          <w:rFonts w:ascii="Times New Roman" w:eastAsia="Times New Roman" w:hAnsi="Times New Roman" w:cs="Times New Roman"/>
          <w:kern w:val="0"/>
          <w:sz w:val="24"/>
          <w:szCs w:val="24"/>
          <w:lang w:val="es-CO" w:eastAsia="es-ES_tradnl"/>
          <w14:ligatures w14:val="none"/>
        </w:rPr>
        <w:t>en materia de inclusión financiera</w:t>
      </w:r>
      <w:r w:rsidR="001C4648">
        <w:rPr>
          <w:rFonts w:ascii="Times New Roman" w:eastAsia="Times New Roman" w:hAnsi="Times New Roman" w:cs="Times New Roman"/>
          <w:kern w:val="0"/>
          <w:sz w:val="24"/>
          <w:szCs w:val="24"/>
          <w:lang w:val="es-CO" w:eastAsia="es-ES_tradnl"/>
          <w14:ligatures w14:val="none"/>
        </w:rPr>
        <w:t xml:space="preserve">, y uno de los modelos identificados para contribuir </w:t>
      </w:r>
      <w:r w:rsidR="000417FC">
        <w:rPr>
          <w:rFonts w:ascii="Times New Roman" w:eastAsia="Times New Roman" w:hAnsi="Times New Roman" w:cs="Times New Roman"/>
          <w:kern w:val="0"/>
          <w:sz w:val="24"/>
          <w:szCs w:val="24"/>
          <w:lang w:val="es-CO" w:eastAsia="es-ES_tradnl"/>
          <w14:ligatures w14:val="none"/>
        </w:rPr>
        <w:t xml:space="preserve">a disminuir estas brechas ha sido </w:t>
      </w:r>
      <w:r w:rsidR="00290B2F">
        <w:rPr>
          <w:rFonts w:ascii="Times New Roman" w:eastAsia="Times New Roman" w:hAnsi="Times New Roman" w:cs="Times New Roman"/>
          <w:kern w:val="0"/>
          <w:sz w:val="24"/>
          <w:szCs w:val="24"/>
          <w:lang w:val="es-CO" w:eastAsia="es-ES_tradnl"/>
          <w14:ligatures w14:val="none"/>
        </w:rPr>
        <w:t>las finanzas abiertas</w:t>
      </w:r>
      <w:r w:rsidR="00E875BA">
        <w:rPr>
          <w:rFonts w:ascii="Times New Roman" w:eastAsia="Times New Roman" w:hAnsi="Times New Roman" w:cs="Times New Roman"/>
          <w:kern w:val="0"/>
          <w:sz w:val="24"/>
          <w:szCs w:val="24"/>
          <w:lang w:val="es-CO" w:eastAsia="es-ES_tradnl"/>
          <w14:ligatures w14:val="none"/>
        </w:rPr>
        <w:t>.</w:t>
      </w:r>
      <w:r w:rsidR="00473621">
        <w:rPr>
          <w:rFonts w:ascii="Times New Roman" w:eastAsia="Times New Roman" w:hAnsi="Times New Roman" w:cs="Times New Roman"/>
          <w:kern w:val="0"/>
          <w:sz w:val="24"/>
          <w:szCs w:val="24"/>
          <w:lang w:val="es-CO" w:eastAsia="es-ES_tradnl"/>
          <w14:ligatures w14:val="none"/>
        </w:rPr>
        <w:t xml:space="preserve"> </w:t>
      </w:r>
    </w:p>
    <w:p w14:paraId="13DFFBF3" w14:textId="792A87A5" w:rsidR="00796C3A" w:rsidRDefault="00796C3A" w:rsidP="00796C3A">
      <w:pPr>
        <w:jc w:val="both"/>
        <w:rPr>
          <w:rFonts w:ascii="Times New Roman" w:eastAsia="Times New Roman" w:hAnsi="Times New Roman" w:cs="Times New Roman"/>
          <w:kern w:val="0"/>
          <w:sz w:val="24"/>
          <w:szCs w:val="24"/>
          <w:lang w:val="es-CO" w:eastAsia="es-ES_tradnl"/>
          <w14:ligatures w14:val="none"/>
        </w:rPr>
      </w:pPr>
      <w:r w:rsidRPr="00796C3A">
        <w:rPr>
          <w:rFonts w:ascii="Times New Roman" w:eastAsia="Times New Roman" w:hAnsi="Times New Roman" w:cs="Times New Roman"/>
          <w:kern w:val="0"/>
          <w:sz w:val="24"/>
          <w:szCs w:val="24"/>
          <w:lang w:val="es-CO" w:eastAsia="es-ES_tradnl"/>
          <w14:ligatures w14:val="none"/>
        </w:rPr>
        <w:t>La implementación de las finanzas abiertas en el país podría ayudar a reducir las barreras de acceso al sistema financiero tradicional. Al permitir que entidades financieras y terceros como Fintech y startups accedan a los datos de los consumidores, se podrían ofrecer servicios y créditos más personalizados y asequibles. Asimismo, fomentaría la competencia entre proveedores tradicionales y nuevos actores, potencialmente reduciendo costos e impulsando la innovación en productos y servicios con una propuesta de valor basada en ofertas altamente personalizadas, acordes a las necesidades únicas de cada consumidor e impulsando así la inclusión financiera.</w:t>
      </w:r>
    </w:p>
    <w:p w14:paraId="2B8CAE6E" w14:textId="77777777" w:rsidR="005803F0" w:rsidRDefault="005803F0" w:rsidP="005803F0">
      <w:pPr>
        <w:jc w:val="both"/>
        <w:rPr>
          <w:rFonts w:ascii="Times New Roman" w:eastAsia="Times New Roman" w:hAnsi="Times New Roman" w:cs="Times New Roman"/>
          <w:kern w:val="0"/>
          <w:sz w:val="24"/>
          <w:szCs w:val="24"/>
          <w:lang w:val="es-CO" w:eastAsia="es-ES_tradnl"/>
          <w14:ligatures w14:val="none"/>
        </w:rPr>
      </w:pPr>
      <w:r w:rsidRPr="00483DF6">
        <w:rPr>
          <w:rFonts w:ascii="Times New Roman" w:eastAsia="Times New Roman" w:hAnsi="Times New Roman" w:cs="Times New Roman"/>
          <w:kern w:val="0"/>
          <w:sz w:val="24"/>
          <w:szCs w:val="24"/>
          <w:lang w:val="es-CO" w:eastAsia="es-ES_tradnl"/>
          <w14:ligatures w14:val="none"/>
        </w:rPr>
        <w:t>A través de este trabajo, se analizará la transformación e incidencia de las finanzas abiertas en los bancos y entidades financieras de otros países con respecto a la inclusión financiera.</w:t>
      </w:r>
      <w:r>
        <w:rPr>
          <w:rFonts w:ascii="Times New Roman" w:eastAsia="Times New Roman" w:hAnsi="Times New Roman" w:cs="Times New Roman"/>
          <w:kern w:val="0"/>
          <w:sz w:val="24"/>
          <w:szCs w:val="24"/>
          <w:lang w:val="es-CO" w:eastAsia="es-ES_tradnl"/>
          <w14:ligatures w14:val="none"/>
        </w:rPr>
        <w:t xml:space="preserve"> Lo anterior, </w:t>
      </w:r>
      <w:r w:rsidRPr="00F90ABC">
        <w:rPr>
          <w:rFonts w:ascii="Times New Roman" w:eastAsia="Times New Roman" w:hAnsi="Times New Roman" w:cs="Times New Roman"/>
          <w:kern w:val="0"/>
          <w:sz w:val="24"/>
          <w:szCs w:val="24"/>
          <w:lang w:val="es-CO" w:eastAsia="es-ES_tradnl"/>
          <w14:ligatures w14:val="none"/>
        </w:rPr>
        <w:t xml:space="preserve">con el fin de tener un punto de referencia que permita evaluar </w:t>
      </w:r>
      <w:r>
        <w:rPr>
          <w:rFonts w:ascii="Times New Roman" w:eastAsia="Times New Roman" w:hAnsi="Times New Roman" w:cs="Times New Roman"/>
          <w:kern w:val="0"/>
          <w:sz w:val="24"/>
          <w:szCs w:val="24"/>
          <w:lang w:val="es-CO" w:eastAsia="es-ES_tradnl"/>
          <w14:ligatures w14:val="none"/>
        </w:rPr>
        <w:t>la forma en cómo</w:t>
      </w:r>
      <w:r w:rsidRPr="00F90ABC">
        <w:rPr>
          <w:rFonts w:ascii="Times New Roman" w:eastAsia="Times New Roman" w:hAnsi="Times New Roman" w:cs="Times New Roman"/>
          <w:kern w:val="0"/>
          <w:sz w:val="24"/>
          <w:szCs w:val="24"/>
          <w:lang w:val="es-CO" w:eastAsia="es-ES_tradnl"/>
          <w14:ligatures w14:val="none"/>
        </w:rPr>
        <w:t xml:space="preserve"> esta tendencia se correlaciona con la medición de la inclusión financiera</w:t>
      </w:r>
      <w:r>
        <w:rPr>
          <w:rFonts w:ascii="Times New Roman" w:eastAsia="Times New Roman" w:hAnsi="Times New Roman" w:cs="Times New Roman"/>
          <w:kern w:val="0"/>
          <w:sz w:val="24"/>
          <w:szCs w:val="24"/>
          <w:lang w:val="es-CO" w:eastAsia="es-ES_tradnl"/>
          <w14:ligatures w14:val="none"/>
        </w:rPr>
        <w:t>,</w:t>
      </w:r>
      <w:r w:rsidRPr="00F90ABC">
        <w:rPr>
          <w:rFonts w:ascii="Times New Roman" w:eastAsia="Times New Roman" w:hAnsi="Times New Roman" w:cs="Times New Roman"/>
          <w:kern w:val="0"/>
          <w:sz w:val="24"/>
          <w:szCs w:val="24"/>
          <w:lang w:val="es-CO" w:eastAsia="es-ES_tradnl"/>
          <w14:ligatures w14:val="none"/>
        </w:rPr>
        <w:t xml:space="preserve"> </w:t>
      </w:r>
      <w:r>
        <w:rPr>
          <w:rFonts w:ascii="Times New Roman" w:eastAsia="Times New Roman" w:hAnsi="Times New Roman" w:cs="Times New Roman"/>
          <w:kern w:val="0"/>
          <w:sz w:val="24"/>
          <w:szCs w:val="24"/>
          <w:lang w:val="es-CO" w:eastAsia="es-ES_tradnl"/>
          <w14:ligatures w14:val="none"/>
        </w:rPr>
        <w:t xml:space="preserve">y, </w:t>
      </w:r>
      <w:r w:rsidRPr="00F90ABC">
        <w:rPr>
          <w:rFonts w:ascii="Times New Roman" w:eastAsia="Times New Roman" w:hAnsi="Times New Roman" w:cs="Times New Roman"/>
          <w:kern w:val="0"/>
          <w:sz w:val="24"/>
          <w:szCs w:val="24"/>
          <w:lang w:val="es-CO" w:eastAsia="es-ES_tradnl"/>
          <w14:ligatures w14:val="none"/>
        </w:rPr>
        <w:t>aplicado al caso colombiano, determinar su potencial para mitigar las brechas existentes en el acceso a productos y servicios financieros por parte de los consumidores.</w:t>
      </w:r>
    </w:p>
    <w:p w14:paraId="4AE59E4F" w14:textId="77777777" w:rsidR="00E05EE7" w:rsidRDefault="00E05EE7" w:rsidP="00E05EE7">
      <w:pPr>
        <w:pStyle w:val="ListParagraph"/>
        <w:tabs>
          <w:tab w:val="left" w:pos="820"/>
        </w:tabs>
        <w:spacing w:line="276" w:lineRule="auto"/>
        <w:ind w:left="1035"/>
        <w:rPr>
          <w:rFonts w:ascii="Times New Roman" w:eastAsia="Times New Roman" w:hAnsi="Times New Roman" w:cs="Times New Roman"/>
          <w:b/>
          <w:sz w:val="24"/>
          <w:szCs w:val="24"/>
        </w:rPr>
      </w:pPr>
    </w:p>
    <w:p w14:paraId="5B688B2D" w14:textId="30FBE74F" w:rsidR="004E6A00" w:rsidRDefault="004E6A00" w:rsidP="0079069D">
      <w:pPr>
        <w:pStyle w:val="ListParagraph"/>
        <w:numPr>
          <w:ilvl w:val="0"/>
          <w:numId w:val="6"/>
        </w:numPr>
        <w:tabs>
          <w:tab w:val="left" w:pos="82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 xml:space="preserve">Situación de estudio </w:t>
      </w:r>
    </w:p>
    <w:p w14:paraId="64307F4D" w14:textId="74C56FC9" w:rsidR="00E84C21" w:rsidRPr="0079069D" w:rsidRDefault="00E84C21" w:rsidP="0079069D">
      <w:pPr>
        <w:pStyle w:val="ListParagraph"/>
        <w:numPr>
          <w:ilvl w:val="1"/>
          <w:numId w:val="6"/>
        </w:numPr>
        <w:tabs>
          <w:tab w:val="left" w:pos="96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Formulación de la pregunta que permite abordar la situación de estudio;</w:t>
      </w:r>
    </w:p>
    <w:p w14:paraId="3904F9A3" w14:textId="77777777" w:rsidR="006504BE" w:rsidRDefault="006504BE" w:rsidP="009F60FD">
      <w:pPr>
        <w:tabs>
          <w:tab w:val="left" w:pos="820"/>
        </w:tabs>
        <w:spacing w:line="276" w:lineRule="auto"/>
        <w:jc w:val="both"/>
        <w:rPr>
          <w:rFonts w:ascii="Times New Roman" w:eastAsia="Times New Roman" w:hAnsi="Times New Roman" w:cs="Times New Roman"/>
          <w:sz w:val="24"/>
          <w:szCs w:val="24"/>
        </w:rPr>
      </w:pPr>
      <w:r w:rsidRPr="006504BE">
        <w:rPr>
          <w:rFonts w:ascii="Times New Roman" w:eastAsia="Times New Roman" w:hAnsi="Times New Roman" w:cs="Times New Roman"/>
          <w:sz w:val="24"/>
          <w:szCs w:val="24"/>
        </w:rPr>
        <w:t>¿De qué manera las características específicas de las finanzas abiertas, como la apertura de datos, la interoperabilidad y la innovación, pueden contribuir a la inclusión financiera en el contexto colombiano, considerando las brechas y desafíos existentes?</w:t>
      </w:r>
    </w:p>
    <w:p w14:paraId="7147A154" w14:textId="77777777" w:rsidR="0079069D" w:rsidRDefault="0079069D" w:rsidP="009F60FD">
      <w:pPr>
        <w:tabs>
          <w:tab w:val="left" w:pos="820"/>
        </w:tabs>
        <w:spacing w:line="276" w:lineRule="auto"/>
        <w:jc w:val="both"/>
        <w:rPr>
          <w:rFonts w:ascii="Times New Roman" w:eastAsia="Times New Roman" w:hAnsi="Times New Roman" w:cs="Times New Roman"/>
          <w:sz w:val="24"/>
          <w:szCs w:val="24"/>
        </w:rPr>
      </w:pPr>
    </w:p>
    <w:p w14:paraId="0D3B4272" w14:textId="11D98423" w:rsidR="00F73BD4" w:rsidRPr="0079069D" w:rsidRDefault="00F73BD4" w:rsidP="0079069D">
      <w:pPr>
        <w:pStyle w:val="ListParagraph"/>
        <w:numPr>
          <w:ilvl w:val="0"/>
          <w:numId w:val="6"/>
        </w:numPr>
        <w:tabs>
          <w:tab w:val="left" w:pos="82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Objetivo general y específicos</w:t>
      </w:r>
    </w:p>
    <w:p w14:paraId="0C49A677" w14:textId="77777777" w:rsidR="0079069D" w:rsidRDefault="0079069D" w:rsidP="0079069D">
      <w:pPr>
        <w:pStyle w:val="ListParagraph"/>
        <w:tabs>
          <w:tab w:val="left" w:pos="820"/>
        </w:tabs>
        <w:spacing w:line="276" w:lineRule="auto"/>
        <w:ind w:left="1320"/>
        <w:jc w:val="both"/>
        <w:rPr>
          <w:rFonts w:ascii="Times New Roman" w:eastAsia="Times New Roman" w:hAnsi="Times New Roman" w:cs="Times New Roman"/>
          <w:sz w:val="24"/>
          <w:szCs w:val="24"/>
        </w:rPr>
      </w:pPr>
    </w:p>
    <w:p w14:paraId="1337EEB6" w14:textId="40656111" w:rsidR="007C50FF" w:rsidRPr="0079069D" w:rsidRDefault="007C50FF" w:rsidP="0079069D">
      <w:pPr>
        <w:pStyle w:val="ListParagraph"/>
        <w:numPr>
          <w:ilvl w:val="1"/>
          <w:numId w:val="6"/>
        </w:numPr>
        <w:tabs>
          <w:tab w:val="left" w:pos="820"/>
        </w:tabs>
        <w:spacing w:line="276" w:lineRule="auto"/>
        <w:jc w:val="both"/>
        <w:rPr>
          <w:rFonts w:ascii="Times New Roman" w:eastAsia="Times New Roman" w:hAnsi="Times New Roman" w:cs="Times New Roman"/>
          <w:sz w:val="24"/>
          <w:szCs w:val="24"/>
        </w:rPr>
      </w:pPr>
      <w:r w:rsidRPr="0079069D">
        <w:rPr>
          <w:rFonts w:ascii="Times New Roman" w:eastAsia="Times New Roman" w:hAnsi="Times New Roman" w:cs="Times New Roman"/>
          <w:sz w:val="24"/>
          <w:szCs w:val="24"/>
        </w:rPr>
        <w:t>Objetivo General:</w:t>
      </w:r>
    </w:p>
    <w:p w14:paraId="63CD7A9B" w14:textId="77777777" w:rsidR="007C50FF" w:rsidRPr="007C50FF" w:rsidRDefault="007C50FF" w:rsidP="009F60FD">
      <w:pPr>
        <w:tabs>
          <w:tab w:val="left" w:pos="820"/>
        </w:tabs>
        <w:spacing w:line="276" w:lineRule="auto"/>
        <w:jc w:val="both"/>
        <w:rPr>
          <w:rFonts w:ascii="Times New Roman" w:eastAsia="Times New Roman" w:hAnsi="Times New Roman" w:cs="Times New Roman"/>
          <w:sz w:val="24"/>
          <w:szCs w:val="24"/>
        </w:rPr>
      </w:pPr>
      <w:r w:rsidRPr="007C50FF">
        <w:rPr>
          <w:rFonts w:ascii="Times New Roman" w:eastAsia="Times New Roman" w:hAnsi="Times New Roman" w:cs="Times New Roman"/>
          <w:sz w:val="24"/>
          <w:szCs w:val="24"/>
        </w:rPr>
        <w:t>Analizar las oportunidades que presentan las finanzas abiertas para ampliar el acceso a financiamiento y servicios financieros en Colombia, con el propósito fundamental de impulsar la inclusión financiera.</w:t>
      </w:r>
    </w:p>
    <w:p w14:paraId="5CE578E1" w14:textId="77777777" w:rsidR="007C50FF" w:rsidRPr="0079069D" w:rsidRDefault="007C50FF" w:rsidP="0079069D">
      <w:pPr>
        <w:pStyle w:val="ListParagraph"/>
        <w:numPr>
          <w:ilvl w:val="1"/>
          <w:numId w:val="6"/>
        </w:numPr>
        <w:tabs>
          <w:tab w:val="left" w:pos="820"/>
        </w:tabs>
        <w:spacing w:line="276" w:lineRule="auto"/>
        <w:jc w:val="both"/>
        <w:rPr>
          <w:rFonts w:ascii="Times New Roman" w:eastAsia="Times New Roman" w:hAnsi="Times New Roman" w:cs="Times New Roman"/>
          <w:sz w:val="24"/>
          <w:szCs w:val="24"/>
        </w:rPr>
      </w:pPr>
      <w:r w:rsidRPr="0079069D">
        <w:rPr>
          <w:rFonts w:ascii="Times New Roman" w:eastAsia="Times New Roman" w:hAnsi="Times New Roman" w:cs="Times New Roman"/>
          <w:sz w:val="24"/>
          <w:szCs w:val="24"/>
        </w:rPr>
        <w:t>Objetivos Específicos:</w:t>
      </w:r>
    </w:p>
    <w:p w14:paraId="6A5B3125" w14:textId="5DA285FC" w:rsidR="007C50FF" w:rsidRPr="0079069D" w:rsidRDefault="007C50FF" w:rsidP="0079069D">
      <w:pPr>
        <w:pStyle w:val="ListParagraph"/>
        <w:numPr>
          <w:ilvl w:val="0"/>
          <w:numId w:val="9"/>
        </w:numPr>
        <w:tabs>
          <w:tab w:val="left" w:pos="820"/>
        </w:tabs>
        <w:spacing w:line="276" w:lineRule="auto"/>
        <w:jc w:val="both"/>
        <w:rPr>
          <w:rFonts w:ascii="Times New Roman" w:eastAsia="Times New Roman" w:hAnsi="Times New Roman" w:cs="Times New Roman"/>
          <w:sz w:val="24"/>
          <w:szCs w:val="24"/>
        </w:rPr>
      </w:pPr>
      <w:r w:rsidRPr="0079069D">
        <w:rPr>
          <w:rFonts w:ascii="Times New Roman" w:eastAsia="Times New Roman" w:hAnsi="Times New Roman" w:cs="Times New Roman"/>
          <w:sz w:val="24"/>
          <w:szCs w:val="24"/>
        </w:rPr>
        <w:t>Examinar los fundamentos teóricos y conceptuales de las finanzas abiertas, profundizando en las características de apertura de datos, interoperabilidad e innovación, y su relación con la inclusión financiera.</w:t>
      </w:r>
    </w:p>
    <w:p w14:paraId="47793760" w14:textId="3C6FBF67" w:rsidR="007C50FF" w:rsidRPr="0079069D" w:rsidRDefault="007C50FF" w:rsidP="0079069D">
      <w:pPr>
        <w:pStyle w:val="ListParagraph"/>
        <w:numPr>
          <w:ilvl w:val="0"/>
          <w:numId w:val="9"/>
        </w:numPr>
        <w:tabs>
          <w:tab w:val="left" w:pos="820"/>
        </w:tabs>
        <w:spacing w:line="276" w:lineRule="auto"/>
        <w:jc w:val="both"/>
        <w:rPr>
          <w:rFonts w:ascii="Times New Roman" w:eastAsia="Times New Roman" w:hAnsi="Times New Roman" w:cs="Times New Roman"/>
          <w:sz w:val="24"/>
          <w:szCs w:val="24"/>
        </w:rPr>
      </w:pPr>
      <w:r w:rsidRPr="0079069D">
        <w:rPr>
          <w:rFonts w:ascii="Times New Roman" w:eastAsia="Times New Roman" w:hAnsi="Times New Roman" w:cs="Times New Roman"/>
          <w:sz w:val="24"/>
          <w:szCs w:val="24"/>
        </w:rPr>
        <w:t>Identificar las principales brechas y desafíos de la inclusión financiera en Colombia a nivel de acceso, uso y calidad de los servicios financieros.</w:t>
      </w:r>
    </w:p>
    <w:p w14:paraId="3DCFCBC3" w14:textId="1A5B0404" w:rsidR="007C50FF" w:rsidRDefault="007C50FF" w:rsidP="0079069D">
      <w:pPr>
        <w:pStyle w:val="ListParagraph"/>
        <w:numPr>
          <w:ilvl w:val="0"/>
          <w:numId w:val="9"/>
        </w:numPr>
        <w:tabs>
          <w:tab w:val="left" w:pos="820"/>
        </w:tabs>
        <w:spacing w:line="276" w:lineRule="auto"/>
        <w:jc w:val="both"/>
        <w:rPr>
          <w:rFonts w:ascii="Times New Roman" w:eastAsia="Times New Roman" w:hAnsi="Times New Roman" w:cs="Times New Roman"/>
          <w:sz w:val="24"/>
          <w:szCs w:val="24"/>
        </w:rPr>
      </w:pPr>
      <w:r w:rsidRPr="0079069D">
        <w:rPr>
          <w:rFonts w:ascii="Times New Roman" w:eastAsia="Times New Roman" w:hAnsi="Times New Roman" w:cs="Times New Roman"/>
          <w:sz w:val="24"/>
          <w:szCs w:val="24"/>
        </w:rPr>
        <w:t>Evaluar las iniciativas y buenas prácticas de finanzas abiertas implementadas en otros países, analizando sus efectos y avances en la inclusión financiera.</w:t>
      </w:r>
    </w:p>
    <w:p w14:paraId="0E044693" w14:textId="77777777" w:rsidR="0079069D" w:rsidRPr="0079069D" w:rsidRDefault="0079069D" w:rsidP="0079069D">
      <w:pPr>
        <w:tabs>
          <w:tab w:val="left" w:pos="820"/>
        </w:tabs>
        <w:spacing w:line="276" w:lineRule="auto"/>
        <w:jc w:val="both"/>
        <w:rPr>
          <w:rFonts w:ascii="Times New Roman" w:eastAsia="Times New Roman" w:hAnsi="Times New Roman" w:cs="Times New Roman"/>
          <w:sz w:val="24"/>
          <w:szCs w:val="24"/>
        </w:rPr>
      </w:pPr>
    </w:p>
    <w:p w14:paraId="48F47C6E" w14:textId="384042F4" w:rsidR="008A71BE" w:rsidRDefault="008A71BE" w:rsidP="0079069D">
      <w:pPr>
        <w:pStyle w:val="ListParagraph"/>
        <w:numPr>
          <w:ilvl w:val="0"/>
          <w:numId w:val="6"/>
        </w:numPr>
        <w:tabs>
          <w:tab w:val="left" w:pos="82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Marco de referencia conceptual</w:t>
      </w:r>
    </w:p>
    <w:p w14:paraId="7394748A" w14:textId="77777777" w:rsidR="0034571F" w:rsidRDefault="0034571F" w:rsidP="009B66A7">
      <w:pPr>
        <w:pStyle w:val="whitespace-pre-wrap"/>
        <w:jc w:val="both"/>
      </w:pPr>
      <w:r>
        <w:t>El modelo de finanzas abiertas surge como una alternativa para fomentar la competencia e innovación en el sector financiero colombiano, donde se ha identificado una alta concentración de conglomerados. Según el Banco Mundial (2018), "hay un solo grupo financiero que posee cuatro grandes bancos, hay conglomerados en la mayoría de los segmentos (seguros, corretaje, compañías financieras) y un duopolio de las AFP (donde un grupo financiero controla el 50 % de los activos y el otro 37 %), lo que obstaculiza la competencia".</w:t>
      </w:r>
    </w:p>
    <w:p w14:paraId="2147D303" w14:textId="77777777" w:rsidR="0034571F" w:rsidRDefault="0034571F" w:rsidP="009B66A7">
      <w:pPr>
        <w:pStyle w:val="whitespace-pre-wrap"/>
        <w:jc w:val="both"/>
      </w:pPr>
      <w:r>
        <w:t>En este contexto, las finanzas abiertas, según el Banco Interamericano de Desarrollo (BID, 2023), "proporcionan un mecanismo seguro y eficiente para que los consumidores financieros concedan a los TPP (Third party provider) autorizados acceso a sus datos financieros, permitiendo la oferta de productos y servicios financieros que concuerden con los requisitos específicos de los consumidores" (p. 18). Esta práctica busca impulsar la innovación al permitir que startups, empresas tecnológicas y otros nuevos actores accedan a esos datos y desarrollen nuevos productos enfocados en las necesidades del consumidor financiero.</w:t>
      </w:r>
    </w:p>
    <w:p w14:paraId="5B76DDC0" w14:textId="77777777" w:rsidR="0034571F" w:rsidRDefault="0034571F" w:rsidP="009B66A7">
      <w:pPr>
        <w:pStyle w:val="whitespace-pre-wrap"/>
        <w:jc w:val="both"/>
      </w:pPr>
      <w:r>
        <w:t>Si bien en Colombia se viene legislando sobre el modelo de finanzas abiertas desde el 2010 con el Decreto 2555, no fue hasta el Decreto 1297 de 2022 que se estableció en el artículo 12 el plazo para la definición de estándares bajo la responsabilidad de la Superintendencia Financiera de Colombia. Posteriormente, esta entidad publicó la Circular Externa 004 de 2024, otorgando un plazo máximo de 18 meses a las entidades vigiladas que tienen un sistema de finanzas abiertas para llevar a cabo la adopción de los estándares publicados.</w:t>
      </w:r>
    </w:p>
    <w:p w14:paraId="7A25E969" w14:textId="77777777" w:rsidR="0034571F" w:rsidRDefault="0034571F" w:rsidP="009B66A7">
      <w:pPr>
        <w:pStyle w:val="whitespace-pre-wrap"/>
        <w:jc w:val="both"/>
      </w:pPr>
      <w:r>
        <w:t>En este sentido, Colombia se convierte en el tercer país de América Latina, después de Brasil y México, en legislar para la implementación del modelo de finanzas abiertas, lo que representa un avance significativo hacia una mayor inclusión financiera y competencia en el sector.</w:t>
      </w:r>
    </w:p>
    <w:p w14:paraId="34CEFA52" w14:textId="0D8315EB" w:rsidR="00032695" w:rsidRDefault="002D4985" w:rsidP="008443D1">
      <w:pPr>
        <w:jc w:val="both"/>
        <w:rPr>
          <w:rFonts w:ascii="Times New Roman" w:eastAsia="Times New Roman" w:hAnsi="Times New Roman" w:cs="Times New Roman"/>
          <w:kern w:val="0"/>
          <w:sz w:val="24"/>
          <w:szCs w:val="24"/>
          <w:lang w:val="es-CO" w:eastAsia="es-ES_tradnl"/>
          <w14:ligatures w14:val="none"/>
        </w:rPr>
      </w:pPr>
      <w:r w:rsidRPr="002D4985">
        <w:rPr>
          <w:rFonts w:ascii="Times New Roman" w:eastAsia="Times New Roman" w:hAnsi="Times New Roman" w:cs="Times New Roman"/>
          <w:kern w:val="0"/>
          <w:sz w:val="24"/>
          <w:szCs w:val="24"/>
          <w:lang w:val="es-CO" w:eastAsia="es-ES_tradnl"/>
          <w14:ligatures w14:val="none"/>
        </w:rPr>
        <w:t>La implementación del modelo de finanzas abiertas u open finance en Colombia representa un avance significativo hacia una mayor inclusión financiera y competencia en el sector. Este modelo tiene un amplio potencial para impulsar el desarrollo del ecosistema financiero en el país, ya que, como señalan diversos expertos, disminuye las asimetrías de información y promueve la innovación y transformación digital en toda la gama de productos y servicios financieros, como créditos productivos, hipotecas, seguros, pensiones, inversiones y administración de portafolios, entre otros. De esta manera, el open finance se consolida como uno de los principales habilitantes para cerrar las brechas existentes en materia de inclusión financiera, no solo en Colombia, sino a nivel mundial.</w:t>
      </w:r>
      <w:r w:rsidR="00487297">
        <w:rPr>
          <w:rFonts w:ascii="Times New Roman" w:eastAsia="Times New Roman" w:hAnsi="Times New Roman" w:cs="Times New Roman"/>
          <w:kern w:val="0"/>
          <w:sz w:val="24"/>
          <w:szCs w:val="24"/>
          <w:lang w:val="es-CO" w:eastAsia="es-ES_tradnl"/>
          <w14:ligatures w14:val="none"/>
        </w:rPr>
        <w:t xml:space="preserve"> (</w:t>
      </w:r>
      <w:r w:rsidR="00FF7128">
        <w:rPr>
          <w:rFonts w:ascii="Times New Roman" w:eastAsia="Times New Roman" w:hAnsi="Times New Roman" w:cs="Times New Roman"/>
          <w:kern w:val="0"/>
          <w:sz w:val="24"/>
          <w:szCs w:val="24"/>
          <w:lang w:val="es-CO" w:eastAsia="es-ES_tradnl"/>
          <w14:ligatures w14:val="none"/>
        </w:rPr>
        <w:t>Banca &amp; Economía</w:t>
      </w:r>
      <w:r w:rsidR="00FD4DA1">
        <w:rPr>
          <w:rFonts w:ascii="Times New Roman" w:eastAsia="Times New Roman" w:hAnsi="Times New Roman" w:cs="Times New Roman"/>
          <w:kern w:val="0"/>
          <w:sz w:val="24"/>
          <w:szCs w:val="24"/>
          <w:lang w:val="es-CO" w:eastAsia="es-ES_tradnl"/>
          <w14:ligatures w14:val="none"/>
        </w:rPr>
        <w:t xml:space="preserve">, </w:t>
      </w:r>
      <w:r w:rsidR="00B36013">
        <w:rPr>
          <w:rFonts w:ascii="Times New Roman" w:eastAsia="Times New Roman" w:hAnsi="Times New Roman" w:cs="Times New Roman"/>
          <w:kern w:val="0"/>
          <w:sz w:val="24"/>
          <w:szCs w:val="24"/>
          <w:lang w:val="es-CO" w:eastAsia="es-ES_tradnl"/>
          <w14:ligatures w14:val="none"/>
        </w:rPr>
        <w:t>2023).</w:t>
      </w:r>
    </w:p>
    <w:p w14:paraId="6D048303" w14:textId="77777777" w:rsidR="005F6001" w:rsidRDefault="005F6001" w:rsidP="000E3279">
      <w:pPr>
        <w:tabs>
          <w:tab w:val="left" w:pos="820"/>
        </w:tabs>
        <w:spacing w:line="276" w:lineRule="auto"/>
        <w:rPr>
          <w:rFonts w:ascii="Times New Roman" w:eastAsia="Times New Roman" w:hAnsi="Times New Roman" w:cs="Times New Roman"/>
          <w:b/>
          <w:sz w:val="24"/>
          <w:szCs w:val="24"/>
        </w:rPr>
      </w:pPr>
    </w:p>
    <w:p w14:paraId="42FA5CB4" w14:textId="6B6FC683" w:rsidR="008A71BE" w:rsidRPr="0079069D" w:rsidRDefault="008A71BE" w:rsidP="0079069D">
      <w:pPr>
        <w:pStyle w:val="ListParagraph"/>
        <w:numPr>
          <w:ilvl w:val="0"/>
          <w:numId w:val="6"/>
        </w:numPr>
        <w:tabs>
          <w:tab w:val="left" w:pos="820"/>
        </w:tabs>
        <w:spacing w:line="276" w:lineRule="auto"/>
        <w:rPr>
          <w:rFonts w:ascii="Times New Roman" w:eastAsia="Times New Roman" w:hAnsi="Times New Roman" w:cs="Times New Roman"/>
          <w:b/>
          <w:sz w:val="24"/>
          <w:szCs w:val="24"/>
        </w:rPr>
      </w:pPr>
      <w:r w:rsidRPr="0079069D">
        <w:rPr>
          <w:rFonts w:ascii="Times New Roman" w:eastAsia="Times New Roman" w:hAnsi="Times New Roman" w:cs="Times New Roman"/>
          <w:b/>
          <w:sz w:val="24"/>
          <w:szCs w:val="24"/>
        </w:rPr>
        <w:t>Metodología</w:t>
      </w:r>
    </w:p>
    <w:p w14:paraId="50A36041" w14:textId="4743AC9F" w:rsidR="00796317" w:rsidRPr="00FC1563" w:rsidRDefault="00796317" w:rsidP="005F6001">
      <w:pPr>
        <w:tabs>
          <w:tab w:val="left" w:pos="9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metodología que se utilizará será una metodología mixta, la cual permitirá d</w:t>
      </w:r>
      <w:r w:rsidRPr="00FC1563">
        <w:rPr>
          <w:rFonts w:ascii="Times New Roman" w:eastAsia="Times New Roman" w:hAnsi="Times New Roman" w:cs="Times New Roman"/>
          <w:sz w:val="24"/>
          <w:szCs w:val="24"/>
        </w:rPr>
        <w:t>escribir las características de las finanzas abiertas y su relación teórica con la inclusión financier</w:t>
      </w:r>
      <w:r>
        <w:rPr>
          <w:rFonts w:ascii="Times New Roman" w:eastAsia="Times New Roman" w:hAnsi="Times New Roman" w:cs="Times New Roman"/>
          <w:sz w:val="24"/>
          <w:szCs w:val="24"/>
        </w:rPr>
        <w:t>a, i</w:t>
      </w:r>
      <w:r w:rsidRPr="00FC1563">
        <w:rPr>
          <w:rFonts w:ascii="Times New Roman" w:eastAsia="Times New Roman" w:hAnsi="Times New Roman" w:cs="Times New Roman"/>
          <w:sz w:val="24"/>
          <w:szCs w:val="24"/>
        </w:rPr>
        <w:t>dentificar brechas y desafíos de inclusión financiera en Colombia mediante análisis cuantitativo</w:t>
      </w:r>
      <w:r>
        <w:rPr>
          <w:rFonts w:ascii="Times New Roman" w:eastAsia="Times New Roman" w:hAnsi="Times New Roman" w:cs="Times New Roman"/>
          <w:sz w:val="24"/>
          <w:szCs w:val="24"/>
        </w:rPr>
        <w:t>, así mismo como e</w:t>
      </w:r>
      <w:r w:rsidRPr="00FC1563">
        <w:rPr>
          <w:rFonts w:ascii="Times New Roman" w:eastAsia="Times New Roman" w:hAnsi="Times New Roman" w:cs="Times New Roman"/>
          <w:sz w:val="24"/>
          <w:szCs w:val="24"/>
        </w:rPr>
        <w:t>valuar buenas prácticas internacionales mediante estudios de caso.</w:t>
      </w:r>
    </w:p>
    <w:p w14:paraId="5574BF72" w14:textId="73E53911" w:rsidR="005C2FAE" w:rsidRDefault="00086F18" w:rsidP="005F6001">
      <w:pPr>
        <w:tabs>
          <w:tab w:val="left" w:pos="9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 anterior se realizará</w:t>
      </w:r>
      <w:r w:rsidR="00796317">
        <w:rPr>
          <w:rFonts w:ascii="Times New Roman" w:eastAsia="Times New Roman" w:hAnsi="Times New Roman" w:cs="Times New Roman"/>
          <w:sz w:val="24"/>
          <w:szCs w:val="24"/>
        </w:rPr>
        <w:t xml:space="preserve"> través de las diferentes bases de datos, </w:t>
      </w:r>
      <w:r>
        <w:rPr>
          <w:rFonts w:ascii="Times New Roman" w:eastAsia="Times New Roman" w:hAnsi="Times New Roman" w:cs="Times New Roman"/>
          <w:sz w:val="24"/>
          <w:szCs w:val="24"/>
        </w:rPr>
        <w:t>analizando</w:t>
      </w:r>
      <w:r w:rsidR="00796317" w:rsidRPr="00FC1563">
        <w:rPr>
          <w:rFonts w:ascii="Times New Roman" w:eastAsia="Times New Roman" w:hAnsi="Times New Roman" w:cs="Times New Roman"/>
          <w:sz w:val="24"/>
          <w:szCs w:val="24"/>
        </w:rPr>
        <w:t xml:space="preserve"> la correlación entre adopción de finanzas abiertas y niveles de inclusión financiera</w:t>
      </w:r>
      <w:r w:rsidR="00796317">
        <w:rPr>
          <w:rFonts w:ascii="Times New Roman" w:eastAsia="Times New Roman" w:hAnsi="Times New Roman" w:cs="Times New Roman"/>
          <w:sz w:val="24"/>
          <w:szCs w:val="24"/>
        </w:rPr>
        <w:t>, e</w:t>
      </w:r>
      <w:r w:rsidR="00796317" w:rsidRPr="00FC1563">
        <w:rPr>
          <w:rFonts w:ascii="Times New Roman" w:eastAsia="Times New Roman" w:hAnsi="Times New Roman" w:cs="Times New Roman"/>
          <w:sz w:val="24"/>
          <w:szCs w:val="24"/>
        </w:rPr>
        <w:t>valua</w:t>
      </w:r>
      <w:r w:rsidR="00796317">
        <w:rPr>
          <w:rFonts w:ascii="Times New Roman" w:eastAsia="Times New Roman" w:hAnsi="Times New Roman" w:cs="Times New Roman"/>
          <w:sz w:val="24"/>
          <w:szCs w:val="24"/>
        </w:rPr>
        <w:t>ndo el</w:t>
      </w:r>
      <w:r w:rsidR="00796317" w:rsidRPr="00FC1563">
        <w:rPr>
          <w:rFonts w:ascii="Times New Roman" w:eastAsia="Times New Roman" w:hAnsi="Times New Roman" w:cs="Times New Roman"/>
          <w:sz w:val="24"/>
          <w:szCs w:val="24"/>
        </w:rPr>
        <w:t xml:space="preserve"> impacto de iniciativas específicas de finanzas abiertas</w:t>
      </w:r>
      <w:r w:rsidR="005C2FAE">
        <w:rPr>
          <w:rFonts w:ascii="Times New Roman" w:eastAsia="Times New Roman" w:hAnsi="Times New Roman" w:cs="Times New Roman"/>
          <w:sz w:val="24"/>
          <w:szCs w:val="24"/>
        </w:rPr>
        <w:t xml:space="preserve">. </w:t>
      </w:r>
    </w:p>
    <w:p w14:paraId="5677CDFF" w14:textId="14813085" w:rsidR="00796317" w:rsidRDefault="005C56D0" w:rsidP="005F6001">
      <w:pPr>
        <w:tabs>
          <w:tab w:val="left" w:pos="960"/>
        </w:tabs>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w:t>
      </w:r>
      <w:r w:rsidR="005C2FAE">
        <w:rPr>
          <w:rFonts w:ascii="Times New Roman" w:eastAsia="Times New Roman" w:hAnsi="Times New Roman" w:cs="Times New Roman"/>
          <w:sz w:val="24"/>
          <w:szCs w:val="24"/>
        </w:rPr>
        <w:t>talla la metodología a u</w:t>
      </w:r>
      <w:r>
        <w:rPr>
          <w:rFonts w:ascii="Times New Roman" w:eastAsia="Times New Roman" w:hAnsi="Times New Roman" w:cs="Times New Roman"/>
          <w:sz w:val="24"/>
          <w:szCs w:val="24"/>
        </w:rPr>
        <w:t>tilizar:</w:t>
      </w:r>
    </w:p>
    <w:p w14:paraId="20DA9738" w14:textId="77777777" w:rsidR="00FC1563" w:rsidRPr="003340DC" w:rsidRDefault="00FC1563" w:rsidP="00FF3ADE">
      <w:pPr>
        <w:pStyle w:val="ListParagraph"/>
        <w:numPr>
          <w:ilvl w:val="0"/>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Enfoque de investigación: Mixto (cualitativo y cuantitativo)</w:t>
      </w:r>
    </w:p>
    <w:p w14:paraId="6A0A8C12" w14:textId="681EB783" w:rsidR="00FC1563" w:rsidRPr="003340DC" w:rsidRDefault="00FC1563" w:rsidP="00FF3ADE">
      <w:pPr>
        <w:pStyle w:val="ListParagraph"/>
        <w:numPr>
          <w:ilvl w:val="0"/>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Tipo de investigación: Descriptiva, correlacional y evaluativa</w:t>
      </w:r>
      <w:r w:rsidR="003063D3">
        <w:rPr>
          <w:rFonts w:ascii="Times New Roman" w:eastAsia="Times New Roman" w:hAnsi="Times New Roman" w:cs="Times New Roman"/>
          <w:sz w:val="24"/>
          <w:szCs w:val="24"/>
        </w:rPr>
        <w:t>.</w:t>
      </w:r>
    </w:p>
    <w:p w14:paraId="40B105F1" w14:textId="77777777" w:rsidR="00FC1563" w:rsidRPr="003340DC" w:rsidRDefault="00FC1563" w:rsidP="00FF3ADE">
      <w:pPr>
        <w:pStyle w:val="ListParagraph"/>
        <w:numPr>
          <w:ilvl w:val="0"/>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 xml:space="preserve">Diseño de investigación: </w:t>
      </w:r>
    </w:p>
    <w:p w14:paraId="623DC58A" w14:textId="7AA2AB64" w:rsidR="00FC1563" w:rsidRPr="003340DC"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Estudio de caso múltiple</w:t>
      </w:r>
      <w:r w:rsidR="00A75549">
        <w:rPr>
          <w:rFonts w:ascii="Times New Roman" w:eastAsia="Times New Roman" w:hAnsi="Times New Roman" w:cs="Times New Roman"/>
          <w:sz w:val="24"/>
          <w:szCs w:val="24"/>
        </w:rPr>
        <w:t xml:space="preserve">, </w:t>
      </w:r>
      <w:r w:rsidRPr="003340DC">
        <w:rPr>
          <w:rFonts w:ascii="Times New Roman" w:eastAsia="Times New Roman" w:hAnsi="Times New Roman" w:cs="Times New Roman"/>
          <w:sz w:val="24"/>
          <w:szCs w:val="24"/>
        </w:rPr>
        <w:t xml:space="preserve">análisis de casos de países que han </w:t>
      </w:r>
      <w:r w:rsidR="00A75549">
        <w:rPr>
          <w:rFonts w:ascii="Times New Roman" w:eastAsia="Times New Roman" w:hAnsi="Times New Roman" w:cs="Times New Roman"/>
          <w:sz w:val="24"/>
          <w:szCs w:val="24"/>
        </w:rPr>
        <w:t>i</w:t>
      </w:r>
      <w:r w:rsidRPr="003340DC">
        <w:rPr>
          <w:rFonts w:ascii="Times New Roman" w:eastAsia="Times New Roman" w:hAnsi="Times New Roman" w:cs="Times New Roman"/>
          <w:sz w:val="24"/>
          <w:szCs w:val="24"/>
        </w:rPr>
        <w:t>mplementado</w:t>
      </w:r>
      <w:r w:rsidR="00A75549">
        <w:rPr>
          <w:rFonts w:ascii="Times New Roman" w:eastAsia="Times New Roman" w:hAnsi="Times New Roman" w:cs="Times New Roman"/>
          <w:sz w:val="24"/>
          <w:szCs w:val="24"/>
        </w:rPr>
        <w:t xml:space="preserve"> el modelo de</w:t>
      </w:r>
      <w:r w:rsidRPr="003340DC">
        <w:rPr>
          <w:rFonts w:ascii="Times New Roman" w:eastAsia="Times New Roman" w:hAnsi="Times New Roman" w:cs="Times New Roman"/>
          <w:sz w:val="24"/>
          <w:szCs w:val="24"/>
        </w:rPr>
        <w:t xml:space="preserve"> finanzas abiertas</w:t>
      </w:r>
      <w:r w:rsidR="00A75549">
        <w:rPr>
          <w:rFonts w:ascii="Times New Roman" w:eastAsia="Times New Roman" w:hAnsi="Times New Roman" w:cs="Times New Roman"/>
          <w:sz w:val="24"/>
          <w:szCs w:val="24"/>
        </w:rPr>
        <w:t>.</w:t>
      </w:r>
    </w:p>
    <w:p w14:paraId="09C629D5" w14:textId="5B62F5CF" w:rsidR="003340DC"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Diseño no experimental, transeccional correlacional</w:t>
      </w:r>
      <w:r w:rsidR="00A75549">
        <w:rPr>
          <w:rFonts w:ascii="Times New Roman" w:eastAsia="Times New Roman" w:hAnsi="Times New Roman" w:cs="Times New Roman"/>
          <w:sz w:val="24"/>
          <w:szCs w:val="24"/>
        </w:rPr>
        <w:t xml:space="preserve">, con el fin </w:t>
      </w:r>
      <w:r w:rsidR="00DA319E">
        <w:rPr>
          <w:rFonts w:ascii="Times New Roman" w:eastAsia="Times New Roman" w:hAnsi="Times New Roman" w:cs="Times New Roman"/>
          <w:sz w:val="24"/>
          <w:szCs w:val="24"/>
        </w:rPr>
        <w:t xml:space="preserve">de </w:t>
      </w:r>
      <w:r w:rsidR="00DA319E" w:rsidRPr="003340DC">
        <w:rPr>
          <w:rFonts w:ascii="Times New Roman" w:eastAsia="Times New Roman" w:hAnsi="Times New Roman" w:cs="Times New Roman"/>
          <w:sz w:val="24"/>
          <w:szCs w:val="24"/>
        </w:rPr>
        <w:t>analizar</w:t>
      </w:r>
      <w:r w:rsidRPr="003340DC">
        <w:rPr>
          <w:rFonts w:ascii="Times New Roman" w:eastAsia="Times New Roman" w:hAnsi="Times New Roman" w:cs="Times New Roman"/>
          <w:sz w:val="24"/>
          <w:szCs w:val="24"/>
        </w:rPr>
        <w:t xml:space="preserve"> la relación entre finanzas abiertas e inclusión financiera en Colombia</w:t>
      </w:r>
      <w:r w:rsidR="00C977A9">
        <w:rPr>
          <w:rFonts w:ascii="Times New Roman" w:eastAsia="Times New Roman" w:hAnsi="Times New Roman" w:cs="Times New Roman"/>
          <w:sz w:val="24"/>
          <w:szCs w:val="24"/>
        </w:rPr>
        <w:t>.</w:t>
      </w:r>
    </w:p>
    <w:p w14:paraId="2D70FF8C" w14:textId="213D8803" w:rsidR="00FC1563" w:rsidRPr="003340DC"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3340DC">
        <w:rPr>
          <w:rFonts w:ascii="Times New Roman" w:eastAsia="Times New Roman" w:hAnsi="Times New Roman" w:cs="Times New Roman"/>
          <w:sz w:val="24"/>
          <w:szCs w:val="24"/>
        </w:rPr>
        <w:t>Evaluación de políticas/programas evaluar</w:t>
      </w:r>
      <w:r w:rsidR="00E55E2E">
        <w:rPr>
          <w:rFonts w:ascii="Times New Roman" w:eastAsia="Times New Roman" w:hAnsi="Times New Roman" w:cs="Times New Roman"/>
          <w:sz w:val="24"/>
          <w:szCs w:val="24"/>
        </w:rPr>
        <w:t xml:space="preserve"> posibles</w:t>
      </w:r>
      <w:r w:rsidRPr="003340DC">
        <w:rPr>
          <w:rFonts w:ascii="Times New Roman" w:eastAsia="Times New Roman" w:hAnsi="Times New Roman" w:cs="Times New Roman"/>
          <w:sz w:val="24"/>
          <w:szCs w:val="24"/>
        </w:rPr>
        <w:t xml:space="preserve"> impacto</w:t>
      </w:r>
      <w:r w:rsidR="00E55E2E">
        <w:rPr>
          <w:rFonts w:ascii="Times New Roman" w:eastAsia="Times New Roman" w:hAnsi="Times New Roman" w:cs="Times New Roman"/>
          <w:sz w:val="24"/>
          <w:szCs w:val="24"/>
        </w:rPr>
        <w:t>s</w:t>
      </w:r>
      <w:r w:rsidRPr="003340DC">
        <w:rPr>
          <w:rFonts w:ascii="Times New Roman" w:eastAsia="Times New Roman" w:hAnsi="Times New Roman" w:cs="Times New Roman"/>
          <w:sz w:val="24"/>
          <w:szCs w:val="24"/>
        </w:rPr>
        <w:t xml:space="preserve"> de iniciativas de finanzas abiertas en inclusión financiera</w:t>
      </w:r>
      <w:r w:rsidR="00E55E2E">
        <w:rPr>
          <w:rFonts w:ascii="Times New Roman" w:eastAsia="Times New Roman" w:hAnsi="Times New Roman" w:cs="Times New Roman"/>
          <w:sz w:val="24"/>
          <w:szCs w:val="24"/>
        </w:rPr>
        <w:t>.</w:t>
      </w:r>
    </w:p>
    <w:p w14:paraId="53080C30" w14:textId="77777777" w:rsidR="00FC1563" w:rsidRPr="00E55E2E" w:rsidRDefault="00FC1563" w:rsidP="00FF3ADE">
      <w:pPr>
        <w:pStyle w:val="ListParagraph"/>
        <w:numPr>
          <w:ilvl w:val="0"/>
          <w:numId w:val="4"/>
        </w:numPr>
        <w:tabs>
          <w:tab w:val="left" w:pos="960"/>
        </w:tabs>
        <w:spacing w:line="276" w:lineRule="auto"/>
        <w:jc w:val="both"/>
        <w:rPr>
          <w:rFonts w:ascii="Times New Roman" w:eastAsia="Times New Roman" w:hAnsi="Times New Roman" w:cs="Times New Roman"/>
          <w:sz w:val="24"/>
          <w:szCs w:val="24"/>
        </w:rPr>
      </w:pPr>
      <w:r w:rsidRPr="00E55E2E">
        <w:rPr>
          <w:rFonts w:ascii="Times New Roman" w:eastAsia="Times New Roman" w:hAnsi="Times New Roman" w:cs="Times New Roman"/>
          <w:sz w:val="24"/>
          <w:szCs w:val="24"/>
        </w:rPr>
        <w:t>Técnicas de recolección de datos:</w:t>
      </w:r>
    </w:p>
    <w:p w14:paraId="46A97DC9" w14:textId="77777777" w:rsidR="00FA4EF4"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E55E2E">
        <w:rPr>
          <w:rFonts w:ascii="Times New Roman" w:eastAsia="Times New Roman" w:hAnsi="Times New Roman" w:cs="Times New Roman"/>
          <w:sz w:val="24"/>
          <w:szCs w:val="24"/>
        </w:rPr>
        <w:t>Análisis documental</w:t>
      </w:r>
      <w:r w:rsidR="00E55E2E">
        <w:rPr>
          <w:rFonts w:ascii="Times New Roman" w:eastAsia="Times New Roman" w:hAnsi="Times New Roman" w:cs="Times New Roman"/>
          <w:sz w:val="24"/>
          <w:szCs w:val="24"/>
        </w:rPr>
        <w:t xml:space="preserve">: </w:t>
      </w:r>
      <w:r w:rsidRPr="00E55E2E">
        <w:rPr>
          <w:rFonts w:ascii="Times New Roman" w:eastAsia="Times New Roman" w:hAnsi="Times New Roman" w:cs="Times New Roman"/>
          <w:sz w:val="24"/>
          <w:szCs w:val="24"/>
        </w:rPr>
        <w:t>revisión de literatura, informes, estadísticas sobre finanzas abiertas e inclusión financiera</w:t>
      </w:r>
      <w:r w:rsidR="00E55E2E">
        <w:rPr>
          <w:rFonts w:ascii="Times New Roman" w:eastAsia="Times New Roman" w:hAnsi="Times New Roman" w:cs="Times New Roman"/>
          <w:sz w:val="24"/>
          <w:szCs w:val="24"/>
        </w:rPr>
        <w:t>.</w:t>
      </w:r>
    </w:p>
    <w:p w14:paraId="3A668C8E" w14:textId="77777777" w:rsidR="00FA4EF4"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FA4EF4">
        <w:rPr>
          <w:rFonts w:ascii="Times New Roman" w:eastAsia="Times New Roman" w:hAnsi="Times New Roman" w:cs="Times New Roman"/>
          <w:sz w:val="24"/>
          <w:szCs w:val="24"/>
        </w:rPr>
        <w:t>Entrevistas semiestructuradas a expertos y actores clave (reguladores, entidades financieras, fintech, etc.)</w:t>
      </w:r>
    </w:p>
    <w:p w14:paraId="1225A5E7" w14:textId="78BE6281" w:rsidR="00FC1563" w:rsidRPr="00466783"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466783">
        <w:rPr>
          <w:rFonts w:ascii="Times New Roman" w:eastAsia="Times New Roman" w:hAnsi="Times New Roman" w:cs="Times New Roman"/>
          <w:sz w:val="24"/>
          <w:szCs w:val="24"/>
        </w:rPr>
        <w:t xml:space="preserve">Encuestas </w:t>
      </w:r>
      <w:r w:rsidR="00FA4EF4" w:rsidRPr="00466783">
        <w:rPr>
          <w:rFonts w:ascii="Times New Roman" w:eastAsia="Times New Roman" w:hAnsi="Times New Roman" w:cs="Times New Roman"/>
          <w:sz w:val="24"/>
          <w:szCs w:val="24"/>
        </w:rPr>
        <w:t xml:space="preserve">del consumidor financiero </w:t>
      </w:r>
      <w:r w:rsidR="003268D9" w:rsidRPr="00466783">
        <w:rPr>
          <w:rFonts w:ascii="Times New Roman" w:eastAsia="Times New Roman" w:hAnsi="Times New Roman" w:cs="Times New Roman"/>
          <w:sz w:val="24"/>
          <w:szCs w:val="24"/>
        </w:rPr>
        <w:t>(Superintencia Financiera de Colombia).</w:t>
      </w:r>
    </w:p>
    <w:p w14:paraId="2904FF19" w14:textId="77777777" w:rsidR="00FC1563" w:rsidRPr="003268D9" w:rsidRDefault="00FC1563" w:rsidP="00FF3ADE">
      <w:pPr>
        <w:pStyle w:val="ListParagraph"/>
        <w:numPr>
          <w:ilvl w:val="0"/>
          <w:numId w:val="4"/>
        </w:numPr>
        <w:tabs>
          <w:tab w:val="left" w:pos="960"/>
        </w:tabs>
        <w:spacing w:line="276" w:lineRule="auto"/>
        <w:jc w:val="both"/>
        <w:rPr>
          <w:rFonts w:ascii="Times New Roman" w:eastAsia="Times New Roman" w:hAnsi="Times New Roman" w:cs="Times New Roman"/>
          <w:sz w:val="24"/>
          <w:szCs w:val="24"/>
        </w:rPr>
      </w:pPr>
      <w:r w:rsidRPr="003268D9">
        <w:rPr>
          <w:rFonts w:ascii="Times New Roman" w:eastAsia="Times New Roman" w:hAnsi="Times New Roman" w:cs="Times New Roman"/>
          <w:sz w:val="24"/>
          <w:szCs w:val="24"/>
        </w:rPr>
        <w:t>Población y muestra:</w:t>
      </w:r>
    </w:p>
    <w:p w14:paraId="383AEA85" w14:textId="77777777" w:rsidR="003268D9"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3268D9">
        <w:rPr>
          <w:rFonts w:ascii="Times New Roman" w:eastAsia="Times New Roman" w:hAnsi="Times New Roman" w:cs="Times New Roman"/>
          <w:sz w:val="24"/>
          <w:szCs w:val="24"/>
        </w:rPr>
        <w:t>Casos de países seleccionados por avances en finanzas abiertas e inclusión financiera</w:t>
      </w:r>
    </w:p>
    <w:p w14:paraId="48100EB5" w14:textId="77777777" w:rsidR="00FF3ADE" w:rsidRDefault="00FC1563" w:rsidP="00FF3ADE">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3268D9">
        <w:rPr>
          <w:rFonts w:ascii="Times New Roman" w:eastAsia="Times New Roman" w:hAnsi="Times New Roman" w:cs="Times New Roman"/>
          <w:sz w:val="24"/>
          <w:szCs w:val="24"/>
        </w:rPr>
        <w:t>Entidades del sistema financiero colombiano (muestra por conveniencia)</w:t>
      </w:r>
    </w:p>
    <w:p w14:paraId="1A1AFD63" w14:textId="5B113A57" w:rsidR="00FC1563" w:rsidRPr="00217FBB" w:rsidRDefault="00FC1563" w:rsidP="00217FBB">
      <w:pPr>
        <w:pStyle w:val="ListParagraph"/>
        <w:numPr>
          <w:ilvl w:val="1"/>
          <w:numId w:val="4"/>
        </w:numPr>
        <w:tabs>
          <w:tab w:val="left" w:pos="960"/>
        </w:tabs>
        <w:spacing w:line="276" w:lineRule="auto"/>
        <w:jc w:val="both"/>
        <w:rPr>
          <w:rFonts w:ascii="Times New Roman" w:eastAsia="Times New Roman" w:hAnsi="Times New Roman" w:cs="Times New Roman"/>
          <w:sz w:val="24"/>
          <w:szCs w:val="24"/>
        </w:rPr>
      </w:pPr>
      <w:r w:rsidRPr="00217FBB">
        <w:rPr>
          <w:rFonts w:ascii="Times New Roman" w:eastAsia="Times New Roman" w:hAnsi="Times New Roman" w:cs="Times New Roman"/>
          <w:sz w:val="24"/>
          <w:szCs w:val="24"/>
        </w:rPr>
        <w:t>Consumidores financieros en Colombia</w:t>
      </w:r>
      <w:r w:rsidR="00217FBB" w:rsidRPr="00217FBB">
        <w:rPr>
          <w:rFonts w:ascii="Times New Roman" w:eastAsia="Times New Roman" w:hAnsi="Times New Roman" w:cs="Times New Roman"/>
          <w:sz w:val="24"/>
          <w:szCs w:val="24"/>
        </w:rPr>
        <w:t xml:space="preserve"> y en el mundo</w:t>
      </w:r>
      <w:r w:rsidRPr="00217FBB">
        <w:rPr>
          <w:rFonts w:ascii="Times New Roman" w:eastAsia="Times New Roman" w:hAnsi="Times New Roman" w:cs="Times New Roman"/>
          <w:sz w:val="24"/>
          <w:szCs w:val="24"/>
        </w:rPr>
        <w:t xml:space="preserve"> (</w:t>
      </w:r>
      <w:r w:rsidR="00217FBB" w:rsidRPr="00217FBB">
        <w:rPr>
          <w:rFonts w:ascii="Times New Roman" w:eastAsia="Times New Roman" w:hAnsi="Times New Roman" w:cs="Times New Roman"/>
          <w:sz w:val="24"/>
          <w:szCs w:val="24"/>
        </w:rPr>
        <w:t>datos de la encuesta al consumidor financiero, y Global Findex.</w:t>
      </w:r>
    </w:p>
    <w:p w14:paraId="18777DE8" w14:textId="77777777" w:rsidR="00FC1563" w:rsidRPr="00217FBB" w:rsidRDefault="00FC1563" w:rsidP="00217FBB">
      <w:pPr>
        <w:pStyle w:val="ListParagraph"/>
        <w:numPr>
          <w:ilvl w:val="0"/>
          <w:numId w:val="4"/>
        </w:numPr>
        <w:tabs>
          <w:tab w:val="left" w:pos="960"/>
        </w:tabs>
        <w:spacing w:line="276" w:lineRule="auto"/>
        <w:rPr>
          <w:rFonts w:ascii="Times New Roman" w:eastAsia="Times New Roman" w:hAnsi="Times New Roman" w:cs="Times New Roman"/>
          <w:sz w:val="24"/>
          <w:szCs w:val="24"/>
        </w:rPr>
      </w:pPr>
      <w:r w:rsidRPr="00217FBB">
        <w:rPr>
          <w:rFonts w:ascii="Times New Roman" w:eastAsia="Times New Roman" w:hAnsi="Times New Roman" w:cs="Times New Roman"/>
          <w:sz w:val="24"/>
          <w:szCs w:val="24"/>
        </w:rPr>
        <w:t>Análisis de datos:</w:t>
      </w:r>
    </w:p>
    <w:p w14:paraId="510E9AA1" w14:textId="77777777" w:rsidR="00871B3D" w:rsidRDefault="00FC1563" w:rsidP="00871B3D">
      <w:pPr>
        <w:pStyle w:val="ListParagraph"/>
        <w:numPr>
          <w:ilvl w:val="1"/>
          <w:numId w:val="4"/>
        </w:numPr>
        <w:tabs>
          <w:tab w:val="left" w:pos="960"/>
        </w:tabs>
        <w:spacing w:line="276" w:lineRule="auto"/>
        <w:rPr>
          <w:rFonts w:ascii="Times New Roman" w:eastAsia="Times New Roman" w:hAnsi="Times New Roman" w:cs="Times New Roman"/>
          <w:sz w:val="24"/>
          <w:szCs w:val="24"/>
        </w:rPr>
      </w:pPr>
      <w:r w:rsidRPr="00812386">
        <w:rPr>
          <w:rFonts w:ascii="Times New Roman" w:eastAsia="Times New Roman" w:hAnsi="Times New Roman" w:cs="Times New Roman"/>
          <w:sz w:val="24"/>
          <w:szCs w:val="24"/>
        </w:rPr>
        <w:t xml:space="preserve">Análisis cualitativo (codificación, categorización) de datos de </w:t>
      </w:r>
      <w:r w:rsidR="00812386">
        <w:rPr>
          <w:rFonts w:ascii="Times New Roman" w:eastAsia="Times New Roman" w:hAnsi="Times New Roman" w:cs="Times New Roman"/>
          <w:sz w:val="24"/>
          <w:szCs w:val="24"/>
        </w:rPr>
        <w:t>bases de datos Global Findex y e</w:t>
      </w:r>
      <w:r w:rsidR="00871B3D">
        <w:rPr>
          <w:rFonts w:ascii="Times New Roman" w:eastAsia="Times New Roman" w:hAnsi="Times New Roman" w:cs="Times New Roman"/>
          <w:sz w:val="24"/>
          <w:szCs w:val="24"/>
        </w:rPr>
        <w:t>ncuesta al consumidor financiero</w:t>
      </w:r>
    </w:p>
    <w:p w14:paraId="67F13A05" w14:textId="2C4BBF83" w:rsidR="00C35F71" w:rsidRDefault="00FC1563" w:rsidP="00C35F71">
      <w:pPr>
        <w:pStyle w:val="ListParagraph"/>
        <w:numPr>
          <w:ilvl w:val="1"/>
          <w:numId w:val="4"/>
        </w:numPr>
        <w:tabs>
          <w:tab w:val="left" w:pos="960"/>
        </w:tabs>
        <w:spacing w:line="276" w:lineRule="auto"/>
        <w:rPr>
          <w:rFonts w:ascii="Times New Roman" w:eastAsia="Times New Roman" w:hAnsi="Times New Roman" w:cs="Times New Roman"/>
          <w:sz w:val="24"/>
          <w:szCs w:val="24"/>
        </w:rPr>
      </w:pPr>
      <w:r w:rsidRPr="00812386">
        <w:rPr>
          <w:rFonts w:ascii="Times New Roman" w:eastAsia="Times New Roman" w:hAnsi="Times New Roman" w:cs="Times New Roman"/>
          <w:sz w:val="24"/>
          <w:szCs w:val="24"/>
        </w:rPr>
        <w:t>Análisis cuantitativo (estadística descriptiva, correlaciones, regresiones) de datos de encuestas</w:t>
      </w:r>
      <w:r w:rsidR="00871B3D">
        <w:rPr>
          <w:rFonts w:ascii="Times New Roman" w:eastAsia="Times New Roman" w:hAnsi="Times New Roman" w:cs="Times New Roman"/>
          <w:sz w:val="24"/>
          <w:szCs w:val="24"/>
        </w:rPr>
        <w:t>.</w:t>
      </w:r>
      <w:r w:rsidR="00E27D2F">
        <w:rPr>
          <w:rFonts w:ascii="Times New Roman" w:eastAsia="Times New Roman" w:hAnsi="Times New Roman" w:cs="Times New Roman"/>
          <w:sz w:val="24"/>
          <w:szCs w:val="24"/>
        </w:rPr>
        <w:t>8</w:t>
      </w:r>
      <w:r w:rsidRPr="00E27D2F">
        <w:rPr>
          <w:rFonts w:ascii="Times New Roman" w:eastAsia="Times New Roman" w:hAnsi="Times New Roman" w:cs="Times New Roman"/>
          <w:sz w:val="24"/>
          <w:szCs w:val="24"/>
        </w:rPr>
        <w:t>Análisis comparativo de casos de países</w:t>
      </w:r>
      <w:r w:rsidR="00C35F71">
        <w:rPr>
          <w:rFonts w:ascii="Times New Roman" w:eastAsia="Times New Roman" w:hAnsi="Times New Roman" w:cs="Times New Roman"/>
          <w:sz w:val="24"/>
          <w:szCs w:val="24"/>
        </w:rPr>
        <w:t>.</w:t>
      </w:r>
    </w:p>
    <w:p w14:paraId="67F8E9E9" w14:textId="77777777" w:rsidR="00466783" w:rsidRDefault="00466783" w:rsidP="00466783">
      <w:pPr>
        <w:pStyle w:val="ListParagraph"/>
        <w:tabs>
          <w:tab w:val="left" w:pos="960"/>
        </w:tabs>
        <w:spacing w:line="276" w:lineRule="auto"/>
        <w:ind w:left="1440"/>
        <w:rPr>
          <w:rFonts w:ascii="Times New Roman" w:eastAsia="Times New Roman" w:hAnsi="Times New Roman" w:cs="Times New Roman"/>
          <w:sz w:val="24"/>
          <w:szCs w:val="24"/>
        </w:rPr>
      </w:pPr>
    </w:p>
    <w:p w14:paraId="2F072AF4" w14:textId="6CF95FD8" w:rsidR="00F87E81" w:rsidRPr="00466783" w:rsidRDefault="00693B05" w:rsidP="00466783">
      <w:pPr>
        <w:pStyle w:val="ListParagraph"/>
        <w:numPr>
          <w:ilvl w:val="0"/>
          <w:numId w:val="6"/>
        </w:numPr>
        <w:tabs>
          <w:tab w:val="left" w:pos="680"/>
        </w:tabs>
        <w:spacing w:line="276" w:lineRule="auto"/>
        <w:rPr>
          <w:rFonts w:ascii="Times New Roman" w:eastAsia="Times New Roman" w:hAnsi="Times New Roman" w:cs="Times New Roman"/>
          <w:b/>
          <w:sz w:val="24"/>
          <w:szCs w:val="24"/>
        </w:rPr>
      </w:pPr>
      <w:r w:rsidRPr="00466783">
        <w:rPr>
          <w:rFonts w:ascii="Times New Roman" w:eastAsia="Times New Roman" w:hAnsi="Times New Roman" w:cs="Times New Roman"/>
          <w:b/>
          <w:sz w:val="24"/>
          <w:szCs w:val="24"/>
        </w:rPr>
        <w:t xml:space="preserve">Referencias </w:t>
      </w:r>
    </w:p>
    <w:p w14:paraId="397B1F5B" w14:textId="6ED24099" w:rsidR="00CB2C50" w:rsidRPr="0083783A" w:rsidRDefault="00E952FB" w:rsidP="005D513F">
      <w:pPr>
        <w:jc w:val="both"/>
        <w:rPr>
          <w:rFonts w:ascii="Times New Roman" w:eastAsia="Times New Roman" w:hAnsi="Times New Roman" w:cs="Times New Roman"/>
          <w:kern w:val="0"/>
          <w:sz w:val="24"/>
          <w:szCs w:val="24"/>
          <w:lang w:val="es-CO" w:eastAsia="es-ES_tradnl"/>
          <w14:ligatures w14:val="none"/>
        </w:rPr>
      </w:pPr>
      <w:r w:rsidRPr="0083783A">
        <w:rPr>
          <w:rFonts w:ascii="Times New Roman" w:eastAsia="Times New Roman" w:hAnsi="Times New Roman" w:cs="Times New Roman"/>
          <w:kern w:val="0"/>
          <w:sz w:val="24"/>
          <w:szCs w:val="24"/>
          <w:lang w:val="es-CO" w:eastAsia="es-ES_tradnl"/>
          <w14:ligatures w14:val="none"/>
        </w:rPr>
        <w:t>Decreto 2555</w:t>
      </w:r>
      <w:r w:rsidR="00D00586" w:rsidRPr="0083783A">
        <w:rPr>
          <w:rFonts w:ascii="Times New Roman" w:eastAsia="Times New Roman" w:hAnsi="Times New Roman" w:cs="Times New Roman"/>
          <w:kern w:val="0"/>
          <w:sz w:val="24"/>
          <w:szCs w:val="24"/>
          <w:lang w:val="es-CO" w:eastAsia="es-ES_tradnl"/>
          <w14:ligatures w14:val="none"/>
        </w:rPr>
        <w:t xml:space="preserve"> de 2010</w:t>
      </w:r>
      <w:r w:rsidR="00CA228A" w:rsidRPr="0083783A">
        <w:rPr>
          <w:rFonts w:ascii="Times New Roman" w:eastAsia="Times New Roman" w:hAnsi="Times New Roman" w:cs="Times New Roman"/>
          <w:kern w:val="0"/>
          <w:sz w:val="24"/>
          <w:szCs w:val="24"/>
          <w:lang w:val="es-CO" w:eastAsia="es-ES_tradnl"/>
          <w14:ligatures w14:val="none"/>
        </w:rPr>
        <w:t>.</w:t>
      </w:r>
      <w:r w:rsidR="0054488F" w:rsidRPr="0083783A">
        <w:rPr>
          <w:rFonts w:ascii="Times New Roman" w:eastAsia="Times New Roman" w:hAnsi="Times New Roman" w:cs="Times New Roman"/>
          <w:kern w:val="0"/>
          <w:sz w:val="24"/>
          <w:szCs w:val="24"/>
          <w:lang w:val="es-CO" w:eastAsia="es-ES_tradnl"/>
          <w14:ligatures w14:val="none"/>
        </w:rPr>
        <w:t xml:space="preserve"> Por el cual se recogen y reexpiden las normas en materia del sector financiero, asegurador y del mercado de valores y se dictan otras disposiciones.</w:t>
      </w:r>
      <w:r w:rsidR="00143112" w:rsidRPr="0083783A">
        <w:rPr>
          <w:rFonts w:ascii="Times New Roman" w:eastAsia="Times New Roman" w:hAnsi="Times New Roman" w:cs="Times New Roman"/>
          <w:kern w:val="0"/>
          <w:sz w:val="24"/>
          <w:szCs w:val="24"/>
          <w:lang w:val="es-CO" w:eastAsia="es-ES_tradnl"/>
          <w14:ligatures w14:val="none"/>
        </w:rPr>
        <w:t xml:space="preserve"> Julio 15 de 2010</w:t>
      </w:r>
      <w:r w:rsidR="00A45D9B" w:rsidRPr="0083783A">
        <w:rPr>
          <w:rFonts w:ascii="Times New Roman" w:eastAsia="Times New Roman" w:hAnsi="Times New Roman" w:cs="Times New Roman"/>
          <w:kern w:val="0"/>
          <w:sz w:val="24"/>
          <w:szCs w:val="24"/>
          <w:lang w:val="es-CO" w:eastAsia="es-ES_tradnl"/>
          <w14:ligatures w14:val="none"/>
        </w:rPr>
        <w:t>. DO.</w:t>
      </w:r>
      <w:r w:rsidR="00A13CAA" w:rsidRPr="0083783A">
        <w:rPr>
          <w:rFonts w:ascii="Times New Roman" w:eastAsia="Times New Roman" w:hAnsi="Times New Roman" w:cs="Times New Roman"/>
          <w:kern w:val="0"/>
          <w:sz w:val="24"/>
          <w:szCs w:val="24"/>
          <w:lang w:val="es-CO" w:eastAsia="es-ES_tradnl"/>
          <w14:ligatures w14:val="none"/>
        </w:rPr>
        <w:t xml:space="preserve"> N</w:t>
      </w:r>
      <w:r w:rsidR="001D423C" w:rsidRPr="0083783A">
        <w:rPr>
          <w:rFonts w:ascii="Times New Roman" w:eastAsia="Times New Roman" w:hAnsi="Times New Roman" w:cs="Times New Roman"/>
          <w:kern w:val="0"/>
          <w:sz w:val="24"/>
          <w:szCs w:val="24"/>
          <w:lang w:val="es-CO" w:eastAsia="es-ES_tradnl"/>
          <w14:ligatures w14:val="none"/>
        </w:rPr>
        <w:t>o.</w:t>
      </w:r>
      <w:r w:rsidR="00A13CAA" w:rsidRPr="0083783A">
        <w:rPr>
          <w:rFonts w:ascii="Times New Roman" w:hAnsi="Times New Roman" w:cs="Times New Roman"/>
          <w:sz w:val="24"/>
          <w:szCs w:val="24"/>
        </w:rPr>
        <w:t>47771</w:t>
      </w:r>
      <w:r w:rsidR="001D423C" w:rsidRPr="0083783A">
        <w:rPr>
          <w:rFonts w:ascii="Times New Roman" w:hAnsi="Times New Roman" w:cs="Times New Roman"/>
          <w:sz w:val="24"/>
          <w:szCs w:val="24"/>
        </w:rPr>
        <w:t>.</w:t>
      </w:r>
    </w:p>
    <w:p w14:paraId="76FE51D9" w14:textId="7C5640B5" w:rsidR="004759B0" w:rsidRPr="0083783A" w:rsidRDefault="00F223D1" w:rsidP="00B5249D">
      <w:pPr>
        <w:jc w:val="both"/>
        <w:rPr>
          <w:rFonts w:ascii="Times New Roman" w:eastAsia="Times New Roman" w:hAnsi="Times New Roman" w:cs="Times New Roman"/>
          <w:kern w:val="0"/>
          <w:sz w:val="24"/>
          <w:szCs w:val="24"/>
          <w:lang w:val="es-CO" w:eastAsia="es-ES_tradnl"/>
          <w14:ligatures w14:val="none"/>
        </w:rPr>
      </w:pPr>
      <w:r w:rsidRPr="0083783A">
        <w:rPr>
          <w:rFonts w:ascii="Times New Roman" w:eastAsia="Times New Roman" w:hAnsi="Times New Roman" w:cs="Times New Roman"/>
          <w:kern w:val="0"/>
          <w:sz w:val="24"/>
          <w:szCs w:val="24"/>
          <w:lang w:val="es-CO" w:eastAsia="es-ES_tradnl"/>
          <w14:ligatures w14:val="none"/>
        </w:rPr>
        <w:t>Decreto 1297 de 2022.</w:t>
      </w:r>
      <w:r w:rsidR="00B5249D" w:rsidRPr="0083783A">
        <w:rPr>
          <w:rFonts w:ascii="Times New Roman" w:eastAsia="Times New Roman" w:hAnsi="Times New Roman" w:cs="Times New Roman"/>
          <w:kern w:val="0"/>
          <w:sz w:val="24"/>
          <w:szCs w:val="24"/>
          <w:lang w:val="es-CO" w:eastAsia="es-ES_tradnl"/>
          <w14:ligatures w14:val="none"/>
        </w:rPr>
        <w:t xml:space="preserve"> Por medio del cual se modifica el Decreto 2555 de 2010 en lo relacionado con la regulación de las finanzas abiertas en Colombia y se dictan otras disposiciones. Julio 25 de 2010. Función Pública.</w:t>
      </w:r>
    </w:p>
    <w:p w14:paraId="2199A4CC" w14:textId="35E4C93B" w:rsidR="00880B54" w:rsidRPr="0083783A" w:rsidRDefault="00880B54" w:rsidP="00B5249D">
      <w:pPr>
        <w:jc w:val="both"/>
        <w:rPr>
          <w:rFonts w:ascii="Times New Roman" w:eastAsia="Times New Roman" w:hAnsi="Times New Roman" w:cs="Times New Roman"/>
          <w:kern w:val="0"/>
          <w:sz w:val="24"/>
          <w:szCs w:val="24"/>
          <w:lang w:val="es-CO" w:eastAsia="es-ES_tradnl"/>
          <w14:ligatures w14:val="none"/>
        </w:rPr>
      </w:pPr>
      <w:r w:rsidRPr="0083783A">
        <w:rPr>
          <w:rFonts w:ascii="Times New Roman" w:eastAsia="Times New Roman" w:hAnsi="Times New Roman" w:cs="Times New Roman"/>
          <w:kern w:val="0"/>
          <w:sz w:val="24"/>
          <w:szCs w:val="24"/>
          <w:lang w:val="es-CO" w:eastAsia="es-ES_tradnl"/>
          <w14:ligatures w14:val="none"/>
        </w:rPr>
        <w:t xml:space="preserve">Circular Externa 004 de 2024. </w:t>
      </w:r>
      <w:r w:rsidR="00AF40C8" w:rsidRPr="0083783A">
        <w:rPr>
          <w:rFonts w:ascii="Times New Roman" w:eastAsia="Times New Roman" w:hAnsi="Times New Roman" w:cs="Times New Roman"/>
          <w:kern w:val="0"/>
          <w:sz w:val="24"/>
          <w:szCs w:val="24"/>
          <w:lang w:val="es-CO" w:eastAsia="es-ES_tradnl"/>
          <w14:ligatures w14:val="none"/>
        </w:rPr>
        <w:t>Referencia:</w:t>
      </w:r>
      <w:r w:rsidR="006E3F28" w:rsidRPr="0083783A">
        <w:rPr>
          <w:rFonts w:ascii="Times New Roman" w:eastAsia="Times New Roman" w:hAnsi="Times New Roman" w:cs="Times New Roman"/>
          <w:kern w:val="0"/>
          <w:sz w:val="24"/>
          <w:szCs w:val="24"/>
          <w:lang w:val="es-CO" w:eastAsia="es-ES_tradnl"/>
          <w14:ligatures w14:val="none"/>
        </w:rPr>
        <w:t xml:space="preserve"> </w:t>
      </w:r>
      <w:r w:rsidR="001C6443" w:rsidRPr="0083783A">
        <w:rPr>
          <w:rFonts w:ascii="Times New Roman" w:eastAsia="Times New Roman" w:hAnsi="Times New Roman" w:cs="Times New Roman"/>
          <w:kern w:val="0"/>
          <w:sz w:val="24"/>
          <w:szCs w:val="24"/>
          <w:lang w:val="es-CO" w:eastAsia="es-ES_tradnl"/>
          <w14:ligatures w14:val="none"/>
        </w:rPr>
        <w:t xml:space="preserve">Instrucciones relativas a las finanzas abiertas y comercialización </w:t>
      </w:r>
      <w:r w:rsidR="006E3F28" w:rsidRPr="0083783A">
        <w:rPr>
          <w:rFonts w:ascii="Times New Roman" w:eastAsia="Times New Roman" w:hAnsi="Times New Roman" w:cs="Times New Roman"/>
          <w:kern w:val="0"/>
          <w:sz w:val="24"/>
          <w:szCs w:val="24"/>
          <w:lang w:val="es-CO" w:eastAsia="es-ES_tradnl"/>
          <w14:ligatures w14:val="none"/>
        </w:rPr>
        <w:t>de tecnología e infraestructura a terceros.</w:t>
      </w:r>
      <w:r w:rsidR="005C03FE" w:rsidRPr="0083783A">
        <w:rPr>
          <w:rFonts w:ascii="Times New Roman" w:eastAsia="Times New Roman" w:hAnsi="Times New Roman" w:cs="Times New Roman"/>
          <w:kern w:val="0"/>
          <w:sz w:val="24"/>
          <w:szCs w:val="24"/>
          <w:lang w:val="es-CO" w:eastAsia="es-ES_tradnl"/>
          <w14:ligatures w14:val="none"/>
        </w:rPr>
        <w:t xml:space="preserve"> Febrero </w:t>
      </w:r>
      <w:r w:rsidR="000363F5" w:rsidRPr="0083783A">
        <w:rPr>
          <w:rFonts w:ascii="Times New Roman" w:eastAsia="Times New Roman" w:hAnsi="Times New Roman" w:cs="Times New Roman"/>
          <w:kern w:val="0"/>
          <w:sz w:val="24"/>
          <w:szCs w:val="24"/>
          <w:lang w:val="es-CO" w:eastAsia="es-ES_tradnl"/>
          <w14:ligatures w14:val="none"/>
        </w:rPr>
        <w:t xml:space="preserve">7 de 2024. </w:t>
      </w:r>
      <w:r w:rsidR="00F76BD1" w:rsidRPr="0083783A">
        <w:rPr>
          <w:rFonts w:ascii="Times New Roman" w:eastAsia="Times New Roman" w:hAnsi="Times New Roman" w:cs="Times New Roman"/>
          <w:kern w:val="0"/>
          <w:sz w:val="24"/>
          <w:szCs w:val="24"/>
          <w:lang w:val="es-CO" w:eastAsia="es-ES_tradnl"/>
          <w14:ligatures w14:val="none"/>
        </w:rPr>
        <w:t>S</w:t>
      </w:r>
      <w:r w:rsidR="00285790" w:rsidRPr="0083783A">
        <w:rPr>
          <w:rFonts w:ascii="Times New Roman" w:eastAsia="Times New Roman" w:hAnsi="Times New Roman" w:cs="Times New Roman"/>
          <w:kern w:val="0"/>
          <w:sz w:val="24"/>
          <w:szCs w:val="24"/>
          <w:lang w:val="es-CO" w:eastAsia="es-ES_tradnl"/>
          <w14:ligatures w14:val="none"/>
        </w:rPr>
        <w:t xml:space="preserve">uperintendencia Financiera de Colombia </w:t>
      </w:r>
      <w:r w:rsidR="00C7046E" w:rsidRPr="0083783A">
        <w:rPr>
          <w:rFonts w:ascii="Times New Roman" w:eastAsia="Times New Roman" w:hAnsi="Times New Roman" w:cs="Times New Roman"/>
          <w:kern w:val="0"/>
          <w:sz w:val="24"/>
          <w:szCs w:val="24"/>
          <w:lang w:val="es-CO" w:eastAsia="es-ES_tradnl"/>
          <w14:ligatures w14:val="none"/>
        </w:rPr>
        <w:t>Boletín 702.</w:t>
      </w:r>
    </w:p>
    <w:p w14:paraId="48FF8D15" w14:textId="193F1C1A" w:rsidR="00B36013" w:rsidRPr="0083783A" w:rsidRDefault="00A91129" w:rsidP="00B5249D">
      <w:pPr>
        <w:jc w:val="both"/>
        <w:rPr>
          <w:rFonts w:ascii="Times New Roman" w:eastAsia="Times New Roman" w:hAnsi="Times New Roman" w:cs="Times New Roman"/>
          <w:kern w:val="0"/>
          <w:sz w:val="24"/>
          <w:szCs w:val="24"/>
          <w:lang w:val="es-CO" w:eastAsia="es-ES_tradnl"/>
          <w14:ligatures w14:val="none"/>
        </w:rPr>
      </w:pPr>
      <w:r w:rsidRPr="0083783A">
        <w:rPr>
          <w:rFonts w:ascii="Times New Roman" w:eastAsia="Times New Roman" w:hAnsi="Times New Roman" w:cs="Times New Roman"/>
          <w:kern w:val="0"/>
          <w:sz w:val="24"/>
          <w:szCs w:val="24"/>
          <w:lang w:val="es-CO" w:eastAsia="es-ES_tradnl"/>
          <w14:ligatures w14:val="none"/>
        </w:rPr>
        <w:t>Malagon</w:t>
      </w:r>
      <w:r w:rsidR="00B77F5E" w:rsidRPr="0083783A">
        <w:rPr>
          <w:rFonts w:ascii="Times New Roman" w:eastAsia="Times New Roman" w:hAnsi="Times New Roman" w:cs="Times New Roman"/>
          <w:kern w:val="0"/>
          <w:sz w:val="24"/>
          <w:szCs w:val="24"/>
          <w:lang w:val="es-CO" w:eastAsia="es-ES_tradnl"/>
          <w14:ligatures w14:val="none"/>
        </w:rPr>
        <w:t>, J</w:t>
      </w:r>
      <w:r w:rsidR="00F55097" w:rsidRPr="0083783A">
        <w:rPr>
          <w:rFonts w:ascii="Times New Roman" w:eastAsia="Times New Roman" w:hAnsi="Times New Roman" w:cs="Times New Roman"/>
          <w:kern w:val="0"/>
          <w:sz w:val="24"/>
          <w:szCs w:val="24"/>
          <w:lang w:val="es-CO" w:eastAsia="es-ES_tradnl"/>
          <w14:ligatures w14:val="none"/>
        </w:rPr>
        <w:t xml:space="preserve">., </w:t>
      </w:r>
      <w:r w:rsidR="00726813" w:rsidRPr="0083783A">
        <w:rPr>
          <w:rFonts w:ascii="Times New Roman" w:eastAsia="Times New Roman" w:hAnsi="Times New Roman" w:cs="Times New Roman"/>
          <w:kern w:val="0"/>
          <w:sz w:val="24"/>
          <w:szCs w:val="24"/>
          <w:lang w:val="es-CO" w:eastAsia="es-ES_tradnl"/>
          <w14:ligatures w14:val="none"/>
        </w:rPr>
        <w:t>Vera, A.,</w:t>
      </w:r>
      <w:r w:rsidR="00996862" w:rsidRPr="0083783A">
        <w:rPr>
          <w:rFonts w:ascii="Times New Roman" w:eastAsia="Times New Roman" w:hAnsi="Times New Roman" w:cs="Times New Roman"/>
          <w:kern w:val="0"/>
          <w:sz w:val="24"/>
          <w:szCs w:val="24"/>
          <w:lang w:val="es-CO" w:eastAsia="es-ES_tradnl"/>
          <w14:ligatures w14:val="none"/>
        </w:rPr>
        <w:t xml:space="preserve"> Montoya</w:t>
      </w:r>
      <w:r w:rsidR="00BB2D16" w:rsidRPr="0083783A">
        <w:rPr>
          <w:rFonts w:ascii="Times New Roman" w:eastAsia="Times New Roman" w:hAnsi="Times New Roman" w:cs="Times New Roman"/>
          <w:kern w:val="0"/>
          <w:sz w:val="24"/>
          <w:szCs w:val="24"/>
          <w:lang w:val="es-CO" w:eastAsia="es-ES_tradnl"/>
          <w14:ligatures w14:val="none"/>
        </w:rPr>
        <w:t>, G</w:t>
      </w:r>
      <w:r w:rsidR="008533A9" w:rsidRPr="0083783A">
        <w:rPr>
          <w:rFonts w:ascii="Times New Roman" w:eastAsia="Times New Roman" w:hAnsi="Times New Roman" w:cs="Times New Roman"/>
          <w:kern w:val="0"/>
          <w:sz w:val="24"/>
          <w:szCs w:val="24"/>
          <w:lang w:val="es-CO" w:eastAsia="es-ES_tradnl"/>
          <w14:ligatures w14:val="none"/>
        </w:rPr>
        <w:t>. (2023).</w:t>
      </w:r>
      <w:r w:rsidR="007531DF" w:rsidRPr="0083783A">
        <w:rPr>
          <w:rFonts w:ascii="Times New Roman" w:eastAsia="Times New Roman" w:hAnsi="Times New Roman" w:cs="Times New Roman"/>
          <w:kern w:val="0"/>
          <w:sz w:val="24"/>
          <w:szCs w:val="24"/>
          <w:lang w:val="es-CO" w:eastAsia="es-ES_tradnl"/>
          <w14:ligatures w14:val="none"/>
        </w:rPr>
        <w:t xml:space="preserve"> Finanzas abiertas e inclusión financiera</w:t>
      </w:r>
      <w:r w:rsidR="00954343" w:rsidRPr="0083783A">
        <w:rPr>
          <w:rFonts w:ascii="Times New Roman" w:eastAsia="Times New Roman" w:hAnsi="Times New Roman" w:cs="Times New Roman"/>
          <w:kern w:val="0"/>
          <w:sz w:val="24"/>
          <w:szCs w:val="24"/>
          <w:lang w:val="es-CO" w:eastAsia="es-ES_tradnl"/>
          <w14:ligatures w14:val="none"/>
        </w:rPr>
        <w:t xml:space="preserve">. </w:t>
      </w:r>
      <w:r w:rsidR="00954343" w:rsidRPr="0083783A">
        <w:rPr>
          <w:rFonts w:ascii="Times New Roman" w:eastAsia="Times New Roman" w:hAnsi="Times New Roman" w:cs="Times New Roman"/>
          <w:i/>
          <w:iCs/>
          <w:kern w:val="0"/>
          <w:sz w:val="24"/>
          <w:szCs w:val="24"/>
          <w:lang w:val="es-CO" w:eastAsia="es-ES_tradnl"/>
          <w14:ligatures w14:val="none"/>
        </w:rPr>
        <w:t>Banca</w:t>
      </w:r>
      <w:r w:rsidR="006F6451" w:rsidRPr="0083783A">
        <w:rPr>
          <w:rFonts w:ascii="Times New Roman" w:eastAsia="Times New Roman" w:hAnsi="Times New Roman" w:cs="Times New Roman"/>
          <w:i/>
          <w:iCs/>
          <w:kern w:val="0"/>
          <w:sz w:val="24"/>
          <w:szCs w:val="24"/>
          <w:lang w:val="es-CO" w:eastAsia="es-ES_tradnl"/>
          <w14:ligatures w14:val="none"/>
        </w:rPr>
        <w:t xml:space="preserve"> &amp; Economía</w:t>
      </w:r>
      <w:r w:rsidR="00D83E8A" w:rsidRPr="0083783A">
        <w:rPr>
          <w:rFonts w:ascii="Times New Roman" w:eastAsia="Times New Roman" w:hAnsi="Times New Roman" w:cs="Times New Roman"/>
          <w:i/>
          <w:iCs/>
          <w:kern w:val="0"/>
          <w:sz w:val="24"/>
          <w:szCs w:val="24"/>
          <w:lang w:val="es-CO" w:eastAsia="es-ES_tradnl"/>
          <w14:ligatures w14:val="none"/>
        </w:rPr>
        <w:t xml:space="preserve">, </w:t>
      </w:r>
      <w:r w:rsidR="00B63AAE" w:rsidRPr="0083783A">
        <w:rPr>
          <w:rFonts w:ascii="Times New Roman" w:eastAsia="Times New Roman" w:hAnsi="Times New Roman" w:cs="Times New Roman"/>
          <w:i/>
          <w:iCs/>
          <w:kern w:val="0"/>
          <w:sz w:val="24"/>
          <w:szCs w:val="24"/>
          <w:lang w:val="es-CO" w:eastAsia="es-ES_tradnl"/>
          <w14:ligatures w14:val="none"/>
        </w:rPr>
        <w:t>1382</w:t>
      </w:r>
      <w:r w:rsidR="003C5570" w:rsidRPr="0083783A">
        <w:rPr>
          <w:rFonts w:ascii="Times New Roman" w:eastAsia="Times New Roman" w:hAnsi="Times New Roman" w:cs="Times New Roman"/>
          <w:i/>
          <w:iCs/>
          <w:kern w:val="0"/>
          <w:sz w:val="24"/>
          <w:szCs w:val="24"/>
          <w:lang w:val="es-CO" w:eastAsia="es-ES_tradnl"/>
          <w14:ligatures w14:val="none"/>
        </w:rPr>
        <w:t>, 4-4</w:t>
      </w:r>
      <w:r w:rsidR="003C5570" w:rsidRPr="0083783A">
        <w:rPr>
          <w:rFonts w:ascii="Times New Roman" w:eastAsia="Times New Roman" w:hAnsi="Times New Roman" w:cs="Times New Roman"/>
          <w:kern w:val="0"/>
          <w:sz w:val="24"/>
          <w:szCs w:val="24"/>
          <w:lang w:val="es-CO" w:eastAsia="es-ES_tradnl"/>
          <w14:ligatures w14:val="none"/>
        </w:rPr>
        <w:t xml:space="preserve">. </w:t>
      </w:r>
      <w:hyperlink r:id="rId9" w:history="1">
        <w:r w:rsidR="00033CBF" w:rsidRPr="0083783A">
          <w:rPr>
            <w:rStyle w:val="Hyperlink"/>
            <w:rFonts w:ascii="Times New Roman" w:hAnsi="Times New Roman" w:cs="Times New Roman"/>
            <w:sz w:val="24"/>
            <w:szCs w:val="24"/>
          </w:rPr>
          <w:t>1382-BE.pdf (asobancaria.com)</w:t>
        </w:r>
      </w:hyperlink>
    </w:p>
    <w:p w14:paraId="233E8E71" w14:textId="671E46F3" w:rsidR="00991096" w:rsidRPr="0083783A" w:rsidRDefault="00991096" w:rsidP="00B5249D">
      <w:pPr>
        <w:jc w:val="both"/>
        <w:rPr>
          <w:rFonts w:ascii="Times New Roman" w:hAnsi="Times New Roman" w:cs="Times New Roman"/>
          <w:sz w:val="24"/>
          <w:szCs w:val="24"/>
        </w:rPr>
      </w:pPr>
      <w:r w:rsidRPr="0083783A">
        <w:rPr>
          <w:rFonts w:ascii="Times New Roman" w:eastAsia="Times New Roman" w:hAnsi="Times New Roman" w:cs="Times New Roman"/>
          <w:kern w:val="0"/>
          <w:sz w:val="24"/>
          <w:szCs w:val="24"/>
          <w:lang w:val="es-CO" w:eastAsia="es-ES_tradnl"/>
          <w14:ligatures w14:val="none"/>
        </w:rPr>
        <w:t xml:space="preserve">Banco Interamericano de Desarrollo </w:t>
      </w:r>
      <w:r w:rsidR="00FB0763" w:rsidRPr="0083783A">
        <w:rPr>
          <w:rFonts w:ascii="Times New Roman" w:eastAsia="Times New Roman" w:hAnsi="Times New Roman" w:cs="Times New Roman"/>
          <w:kern w:val="0"/>
          <w:sz w:val="24"/>
          <w:szCs w:val="24"/>
          <w:lang w:val="es-CO" w:eastAsia="es-ES_tradnl"/>
          <w14:ligatures w14:val="none"/>
        </w:rPr>
        <w:t>BID</w:t>
      </w:r>
      <w:r w:rsidR="00B867C1" w:rsidRPr="0083783A">
        <w:rPr>
          <w:rFonts w:ascii="Times New Roman" w:eastAsia="Times New Roman" w:hAnsi="Times New Roman" w:cs="Times New Roman"/>
          <w:kern w:val="0"/>
          <w:sz w:val="24"/>
          <w:szCs w:val="24"/>
          <w:lang w:val="es-CO" w:eastAsia="es-ES_tradnl"/>
          <w14:ligatures w14:val="none"/>
        </w:rPr>
        <w:t xml:space="preserve"> (2023).</w:t>
      </w:r>
      <w:r w:rsidR="00C5335D" w:rsidRPr="0083783A">
        <w:rPr>
          <w:rFonts w:ascii="Times New Roman" w:eastAsia="Times New Roman" w:hAnsi="Times New Roman" w:cs="Times New Roman"/>
          <w:kern w:val="0"/>
          <w:sz w:val="24"/>
          <w:szCs w:val="24"/>
          <w:lang w:val="es-CO" w:eastAsia="es-ES_tradnl"/>
          <w14:ligatures w14:val="none"/>
        </w:rPr>
        <w:t xml:space="preserve"> Las finanzas abiertas en América Latina y el Caribe: grandes oportunidades, grandes desafíos</w:t>
      </w:r>
      <w:r w:rsidR="00466783" w:rsidRPr="0083783A">
        <w:rPr>
          <w:rFonts w:ascii="Times New Roman" w:eastAsia="Times New Roman" w:hAnsi="Times New Roman" w:cs="Times New Roman"/>
          <w:kern w:val="0"/>
          <w:sz w:val="24"/>
          <w:szCs w:val="24"/>
          <w:lang w:val="es-CO" w:eastAsia="es-ES_tradnl"/>
          <w14:ligatures w14:val="none"/>
        </w:rPr>
        <w:t xml:space="preserve">. </w:t>
      </w:r>
      <w:hyperlink r:id="rId10" w:history="1">
        <w:r w:rsidR="00466783" w:rsidRPr="0083783A">
          <w:rPr>
            <w:rStyle w:val="Hyperlink"/>
            <w:rFonts w:ascii="Times New Roman" w:hAnsi="Times New Roman" w:cs="Times New Roman"/>
            <w:sz w:val="24"/>
            <w:szCs w:val="24"/>
          </w:rPr>
          <w:t>Las finanzas abiertas en América Latina y el Caribe: grandes oportunidades, grandes desafíos | Publicaciones (iadb.org)</w:t>
        </w:r>
      </w:hyperlink>
    </w:p>
    <w:p w14:paraId="2FC51DA4" w14:textId="50FC1BD2" w:rsidR="00EC3A0A" w:rsidRPr="0083783A" w:rsidRDefault="00D26C6E" w:rsidP="005D513F">
      <w:pPr>
        <w:jc w:val="both"/>
        <w:rPr>
          <w:rFonts w:ascii="Times New Roman" w:eastAsia="Times New Roman" w:hAnsi="Times New Roman" w:cs="Times New Roman"/>
          <w:sz w:val="24"/>
          <w:szCs w:val="24"/>
          <w:lang w:val="en-US"/>
        </w:rPr>
      </w:pPr>
      <w:r w:rsidRPr="0083783A">
        <w:rPr>
          <w:rFonts w:ascii="Times New Roman" w:eastAsia="Times New Roman" w:hAnsi="Times New Roman" w:cs="Times New Roman"/>
          <w:sz w:val="24"/>
          <w:szCs w:val="24"/>
          <w:lang w:val="es-CO"/>
        </w:rPr>
        <w:t>Colombia Policy Notes (Vol. 2) (Spanish). </w:t>
      </w:r>
      <w:r w:rsidRPr="0083783A">
        <w:rPr>
          <w:rFonts w:ascii="Times New Roman" w:eastAsia="Times New Roman" w:hAnsi="Times New Roman" w:cs="Times New Roman"/>
          <w:sz w:val="24"/>
          <w:szCs w:val="24"/>
          <w:lang w:val="en-US"/>
        </w:rPr>
        <w:t>Washington, D.C.: World Bank Group. http://documents.worldbank.org/curated/en/375251544569089932/Colombia-Policy-Notes</w:t>
      </w:r>
    </w:p>
    <w:p w14:paraId="1487E76D" w14:textId="59599DBE" w:rsidR="00FF55ED" w:rsidRPr="0083783A" w:rsidRDefault="000070DA" w:rsidP="000070DA">
      <w:pPr>
        <w:jc w:val="both"/>
        <w:rPr>
          <w:rFonts w:ascii="Times New Roman" w:eastAsia="Times New Roman" w:hAnsi="Times New Roman" w:cs="Times New Roman"/>
          <w:sz w:val="24"/>
          <w:szCs w:val="24"/>
        </w:rPr>
      </w:pPr>
      <w:r w:rsidRPr="0083783A">
        <w:rPr>
          <w:rFonts w:ascii="Times New Roman" w:eastAsia="Times New Roman" w:hAnsi="Times New Roman" w:cs="Times New Roman"/>
          <w:sz w:val="24"/>
          <w:szCs w:val="24"/>
        </w:rPr>
        <w:t xml:space="preserve">Lizarazo, D. (2021). </w:t>
      </w:r>
      <w:r w:rsidRPr="0083783A">
        <w:rPr>
          <w:rFonts w:ascii="Times New Roman" w:eastAsia="Times New Roman" w:hAnsi="Times New Roman" w:cs="Times New Roman"/>
          <w:i/>
          <w:iCs/>
          <w:sz w:val="24"/>
          <w:szCs w:val="24"/>
        </w:rPr>
        <w:t xml:space="preserve">Análisis de soluciones de Open Banking en Colombia que puedan ser aplicadas en bancos locales como una línea de negocio adicional a la banca tradicional </w:t>
      </w:r>
      <w:r w:rsidRPr="0083783A">
        <w:rPr>
          <w:rFonts w:ascii="Times New Roman" w:eastAsia="Times New Roman" w:hAnsi="Times New Roman" w:cs="Times New Roman"/>
          <w:sz w:val="24"/>
          <w:szCs w:val="24"/>
        </w:rPr>
        <w:t>(Trabajo de grado, Universidad del Rosario).</w:t>
      </w:r>
      <w:r w:rsidR="009A2DED" w:rsidRPr="0083783A">
        <w:rPr>
          <w:rFonts w:ascii="Times New Roman" w:eastAsia="Times New Roman" w:hAnsi="Times New Roman" w:cs="Times New Roman"/>
          <w:sz w:val="24"/>
          <w:szCs w:val="24"/>
        </w:rPr>
        <w:t xml:space="preserve"> Repositorio Unive</w:t>
      </w:r>
      <w:r w:rsidR="00A44B06" w:rsidRPr="0083783A">
        <w:rPr>
          <w:rFonts w:ascii="Times New Roman" w:eastAsia="Times New Roman" w:hAnsi="Times New Roman" w:cs="Times New Roman"/>
          <w:sz w:val="24"/>
          <w:szCs w:val="24"/>
        </w:rPr>
        <w:t>rsidad del Rosario.</w:t>
      </w:r>
      <w:r w:rsidRPr="0083783A">
        <w:rPr>
          <w:rFonts w:ascii="Times New Roman" w:eastAsia="Times New Roman" w:hAnsi="Times New Roman" w:cs="Times New Roman"/>
          <w:sz w:val="24"/>
          <w:szCs w:val="24"/>
        </w:rPr>
        <w:t xml:space="preserve"> </w:t>
      </w:r>
      <w:hyperlink r:id="rId11" w:history="1">
        <w:r w:rsidR="009A2DED" w:rsidRPr="0083783A">
          <w:rPr>
            <w:rStyle w:val="Hyperlink"/>
            <w:rFonts w:ascii="Times New Roman" w:hAnsi="Times New Roman" w:cs="Times New Roman"/>
            <w:sz w:val="24"/>
            <w:szCs w:val="24"/>
          </w:rPr>
          <w:t>content (urosario.edu.co)</w:t>
        </w:r>
      </w:hyperlink>
    </w:p>
    <w:sectPr w:rsidR="00FF55ED" w:rsidRPr="008378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552C7"/>
    <w:multiLevelType w:val="hybridMultilevel"/>
    <w:tmpl w:val="054C9B0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7695DC2"/>
    <w:multiLevelType w:val="multilevel"/>
    <w:tmpl w:val="F4BE9DE8"/>
    <w:lvl w:ilvl="0">
      <w:start w:val="1"/>
      <w:numFmt w:val="decimal"/>
      <w:lvlText w:val="%1."/>
      <w:lvlJc w:val="left"/>
      <w:pPr>
        <w:ind w:left="1035" w:hanging="675"/>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B7F00EA"/>
    <w:multiLevelType w:val="multilevel"/>
    <w:tmpl w:val="F4BE9DE8"/>
    <w:lvl w:ilvl="0">
      <w:start w:val="1"/>
      <w:numFmt w:val="decimal"/>
      <w:lvlText w:val="%1."/>
      <w:lvlJc w:val="left"/>
      <w:pPr>
        <w:ind w:left="1383" w:hanging="675"/>
      </w:pPr>
      <w:rPr>
        <w:rFonts w:hint="default"/>
      </w:rPr>
    </w:lvl>
    <w:lvl w:ilvl="1">
      <w:start w:val="1"/>
      <w:numFmt w:val="decimal"/>
      <w:isLgl/>
      <w:lvlText w:val="%1.%2."/>
      <w:lvlJc w:val="left"/>
      <w:pPr>
        <w:ind w:left="1668" w:hanging="960"/>
      </w:pPr>
      <w:rPr>
        <w:rFonts w:hint="default"/>
      </w:rPr>
    </w:lvl>
    <w:lvl w:ilvl="2">
      <w:start w:val="1"/>
      <w:numFmt w:val="decimal"/>
      <w:isLgl/>
      <w:lvlText w:val="%1.%2.%3."/>
      <w:lvlJc w:val="left"/>
      <w:pPr>
        <w:ind w:left="1668" w:hanging="960"/>
      </w:pPr>
      <w:rPr>
        <w:rFonts w:hint="default"/>
      </w:rPr>
    </w:lvl>
    <w:lvl w:ilvl="3">
      <w:start w:val="1"/>
      <w:numFmt w:val="decimal"/>
      <w:isLgl/>
      <w:lvlText w:val="%1.%2.%3.%4."/>
      <w:lvlJc w:val="left"/>
      <w:pPr>
        <w:ind w:left="1668" w:hanging="96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 w15:restartNumberingAfterBreak="0">
    <w:nsid w:val="2F9E04BA"/>
    <w:multiLevelType w:val="hybridMultilevel"/>
    <w:tmpl w:val="01B853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32120EFC"/>
    <w:multiLevelType w:val="hybridMultilevel"/>
    <w:tmpl w:val="59D472C2"/>
    <w:lvl w:ilvl="0" w:tplc="580A0001">
      <w:start w:val="1"/>
      <w:numFmt w:val="bullet"/>
      <w:lvlText w:val=""/>
      <w:lvlJc w:val="left"/>
      <w:pPr>
        <w:ind w:left="720" w:hanging="360"/>
      </w:pPr>
      <w:rPr>
        <w:rFonts w:ascii="Symbol" w:hAnsi="Symbol" w:hint="default"/>
      </w:rPr>
    </w:lvl>
    <w:lvl w:ilvl="1" w:tplc="580A0003">
      <w:start w:val="1"/>
      <w:numFmt w:val="bullet"/>
      <w:lvlText w:val="o"/>
      <w:lvlJc w:val="left"/>
      <w:pPr>
        <w:ind w:left="1440" w:hanging="360"/>
      </w:pPr>
      <w:rPr>
        <w:rFonts w:ascii="Courier New" w:hAnsi="Courier New" w:cs="Courier New" w:hint="default"/>
      </w:rPr>
    </w:lvl>
    <w:lvl w:ilvl="2" w:tplc="580A0005">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3AE761E3"/>
    <w:multiLevelType w:val="hybridMultilevel"/>
    <w:tmpl w:val="F9D278FE"/>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6C9F55A4"/>
    <w:multiLevelType w:val="hybridMultilevel"/>
    <w:tmpl w:val="70A00DE6"/>
    <w:lvl w:ilvl="0" w:tplc="580A0001">
      <w:start w:val="1"/>
      <w:numFmt w:val="bullet"/>
      <w:lvlText w:val=""/>
      <w:lvlJc w:val="left"/>
      <w:pPr>
        <w:ind w:left="980" w:hanging="360"/>
      </w:pPr>
      <w:rPr>
        <w:rFonts w:ascii="Symbol" w:hAnsi="Symbol" w:hint="default"/>
      </w:rPr>
    </w:lvl>
    <w:lvl w:ilvl="1" w:tplc="580A0003" w:tentative="1">
      <w:start w:val="1"/>
      <w:numFmt w:val="bullet"/>
      <w:lvlText w:val="o"/>
      <w:lvlJc w:val="left"/>
      <w:pPr>
        <w:ind w:left="1700" w:hanging="360"/>
      </w:pPr>
      <w:rPr>
        <w:rFonts w:ascii="Courier New" w:hAnsi="Courier New" w:cs="Courier New" w:hint="default"/>
      </w:rPr>
    </w:lvl>
    <w:lvl w:ilvl="2" w:tplc="580A0005" w:tentative="1">
      <w:start w:val="1"/>
      <w:numFmt w:val="bullet"/>
      <w:lvlText w:val=""/>
      <w:lvlJc w:val="left"/>
      <w:pPr>
        <w:ind w:left="2420" w:hanging="360"/>
      </w:pPr>
      <w:rPr>
        <w:rFonts w:ascii="Wingdings" w:hAnsi="Wingdings" w:hint="default"/>
      </w:rPr>
    </w:lvl>
    <w:lvl w:ilvl="3" w:tplc="580A0001" w:tentative="1">
      <w:start w:val="1"/>
      <w:numFmt w:val="bullet"/>
      <w:lvlText w:val=""/>
      <w:lvlJc w:val="left"/>
      <w:pPr>
        <w:ind w:left="3140" w:hanging="360"/>
      </w:pPr>
      <w:rPr>
        <w:rFonts w:ascii="Symbol" w:hAnsi="Symbol" w:hint="default"/>
      </w:rPr>
    </w:lvl>
    <w:lvl w:ilvl="4" w:tplc="580A0003" w:tentative="1">
      <w:start w:val="1"/>
      <w:numFmt w:val="bullet"/>
      <w:lvlText w:val="o"/>
      <w:lvlJc w:val="left"/>
      <w:pPr>
        <w:ind w:left="3860" w:hanging="360"/>
      </w:pPr>
      <w:rPr>
        <w:rFonts w:ascii="Courier New" w:hAnsi="Courier New" w:cs="Courier New" w:hint="default"/>
      </w:rPr>
    </w:lvl>
    <w:lvl w:ilvl="5" w:tplc="580A0005" w:tentative="1">
      <w:start w:val="1"/>
      <w:numFmt w:val="bullet"/>
      <w:lvlText w:val=""/>
      <w:lvlJc w:val="left"/>
      <w:pPr>
        <w:ind w:left="4580" w:hanging="360"/>
      </w:pPr>
      <w:rPr>
        <w:rFonts w:ascii="Wingdings" w:hAnsi="Wingdings" w:hint="default"/>
      </w:rPr>
    </w:lvl>
    <w:lvl w:ilvl="6" w:tplc="580A0001" w:tentative="1">
      <w:start w:val="1"/>
      <w:numFmt w:val="bullet"/>
      <w:lvlText w:val=""/>
      <w:lvlJc w:val="left"/>
      <w:pPr>
        <w:ind w:left="5300" w:hanging="360"/>
      </w:pPr>
      <w:rPr>
        <w:rFonts w:ascii="Symbol" w:hAnsi="Symbol" w:hint="default"/>
      </w:rPr>
    </w:lvl>
    <w:lvl w:ilvl="7" w:tplc="580A0003" w:tentative="1">
      <w:start w:val="1"/>
      <w:numFmt w:val="bullet"/>
      <w:lvlText w:val="o"/>
      <w:lvlJc w:val="left"/>
      <w:pPr>
        <w:ind w:left="6020" w:hanging="360"/>
      </w:pPr>
      <w:rPr>
        <w:rFonts w:ascii="Courier New" w:hAnsi="Courier New" w:cs="Courier New" w:hint="default"/>
      </w:rPr>
    </w:lvl>
    <w:lvl w:ilvl="8" w:tplc="580A0005" w:tentative="1">
      <w:start w:val="1"/>
      <w:numFmt w:val="bullet"/>
      <w:lvlText w:val=""/>
      <w:lvlJc w:val="left"/>
      <w:pPr>
        <w:ind w:left="6740" w:hanging="360"/>
      </w:pPr>
      <w:rPr>
        <w:rFonts w:ascii="Wingdings" w:hAnsi="Wingdings" w:hint="default"/>
      </w:rPr>
    </w:lvl>
  </w:abstractNum>
  <w:abstractNum w:abstractNumId="7" w15:restartNumberingAfterBreak="0">
    <w:nsid w:val="79230DA9"/>
    <w:multiLevelType w:val="multilevel"/>
    <w:tmpl w:val="F4BE9DE8"/>
    <w:lvl w:ilvl="0">
      <w:start w:val="1"/>
      <w:numFmt w:val="decimal"/>
      <w:lvlText w:val="%1."/>
      <w:lvlJc w:val="left"/>
      <w:pPr>
        <w:ind w:left="1035" w:hanging="675"/>
      </w:pPr>
      <w:rPr>
        <w:rFonts w:hint="default"/>
      </w:rPr>
    </w:lvl>
    <w:lvl w:ilvl="1">
      <w:start w:val="1"/>
      <w:numFmt w:val="decimal"/>
      <w:isLgl/>
      <w:lvlText w:val="%1.%2."/>
      <w:lvlJc w:val="left"/>
      <w:pPr>
        <w:ind w:left="1320" w:hanging="960"/>
      </w:pPr>
      <w:rPr>
        <w:rFonts w:hint="default"/>
      </w:rPr>
    </w:lvl>
    <w:lvl w:ilvl="2">
      <w:start w:val="1"/>
      <w:numFmt w:val="decimal"/>
      <w:isLgl/>
      <w:lvlText w:val="%1.%2.%3."/>
      <w:lvlJc w:val="left"/>
      <w:pPr>
        <w:ind w:left="1320" w:hanging="960"/>
      </w:pPr>
      <w:rPr>
        <w:rFonts w:hint="default"/>
      </w:rPr>
    </w:lvl>
    <w:lvl w:ilvl="3">
      <w:start w:val="1"/>
      <w:numFmt w:val="decimal"/>
      <w:isLgl/>
      <w:lvlText w:val="%1.%2.%3.%4."/>
      <w:lvlJc w:val="left"/>
      <w:pPr>
        <w:ind w:left="1320" w:hanging="96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BD27AFB"/>
    <w:multiLevelType w:val="hybridMultilevel"/>
    <w:tmpl w:val="8B64E21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16cid:durableId="72627730">
    <w:abstractNumId w:val="0"/>
  </w:num>
  <w:num w:numId="2" w16cid:durableId="1045788708">
    <w:abstractNumId w:val="8"/>
  </w:num>
  <w:num w:numId="3" w16cid:durableId="2136559770">
    <w:abstractNumId w:val="6"/>
  </w:num>
  <w:num w:numId="4" w16cid:durableId="1685939891">
    <w:abstractNumId w:val="4"/>
  </w:num>
  <w:num w:numId="5" w16cid:durableId="776218661">
    <w:abstractNumId w:val="5"/>
  </w:num>
  <w:num w:numId="6" w16cid:durableId="477456785">
    <w:abstractNumId w:val="1"/>
  </w:num>
  <w:num w:numId="7" w16cid:durableId="1751653550">
    <w:abstractNumId w:val="7"/>
  </w:num>
  <w:num w:numId="8" w16cid:durableId="1747340747">
    <w:abstractNumId w:val="2"/>
  </w:num>
  <w:num w:numId="9" w16cid:durableId="417361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5BE"/>
    <w:rsid w:val="000070DA"/>
    <w:rsid w:val="00015BA8"/>
    <w:rsid w:val="00016632"/>
    <w:rsid w:val="0001701B"/>
    <w:rsid w:val="00020146"/>
    <w:rsid w:val="00021545"/>
    <w:rsid w:val="00022C81"/>
    <w:rsid w:val="00025E9B"/>
    <w:rsid w:val="00032695"/>
    <w:rsid w:val="00033CBF"/>
    <w:rsid w:val="000363F5"/>
    <w:rsid w:val="000417FC"/>
    <w:rsid w:val="00044F97"/>
    <w:rsid w:val="00076944"/>
    <w:rsid w:val="0008046D"/>
    <w:rsid w:val="00085775"/>
    <w:rsid w:val="00086F18"/>
    <w:rsid w:val="00091DEA"/>
    <w:rsid w:val="00092A7C"/>
    <w:rsid w:val="000A2926"/>
    <w:rsid w:val="000A3033"/>
    <w:rsid w:val="000B3F99"/>
    <w:rsid w:val="000B4D27"/>
    <w:rsid w:val="000B69EC"/>
    <w:rsid w:val="000B7B93"/>
    <w:rsid w:val="000C10D7"/>
    <w:rsid w:val="000C652D"/>
    <w:rsid w:val="000C7619"/>
    <w:rsid w:val="000D4668"/>
    <w:rsid w:val="000E20E5"/>
    <w:rsid w:val="000E3279"/>
    <w:rsid w:val="000F230D"/>
    <w:rsid w:val="000F53C8"/>
    <w:rsid w:val="00105D3A"/>
    <w:rsid w:val="001076EF"/>
    <w:rsid w:val="001229DF"/>
    <w:rsid w:val="001236C5"/>
    <w:rsid w:val="00131467"/>
    <w:rsid w:val="0013798A"/>
    <w:rsid w:val="00137D67"/>
    <w:rsid w:val="00143112"/>
    <w:rsid w:val="00146DA2"/>
    <w:rsid w:val="0015102B"/>
    <w:rsid w:val="00172AF4"/>
    <w:rsid w:val="001B05D6"/>
    <w:rsid w:val="001B3263"/>
    <w:rsid w:val="001C4648"/>
    <w:rsid w:val="001C6443"/>
    <w:rsid w:val="001D423C"/>
    <w:rsid w:val="001D4E53"/>
    <w:rsid w:val="001E096A"/>
    <w:rsid w:val="001F3227"/>
    <w:rsid w:val="001F52FE"/>
    <w:rsid w:val="002059E0"/>
    <w:rsid w:val="002162F3"/>
    <w:rsid w:val="00217FBB"/>
    <w:rsid w:val="002210A3"/>
    <w:rsid w:val="00230A10"/>
    <w:rsid w:val="00231336"/>
    <w:rsid w:val="00233106"/>
    <w:rsid w:val="002332B3"/>
    <w:rsid w:val="00233789"/>
    <w:rsid w:val="00253F44"/>
    <w:rsid w:val="002557BF"/>
    <w:rsid w:val="00260C62"/>
    <w:rsid w:val="00265E6E"/>
    <w:rsid w:val="00285790"/>
    <w:rsid w:val="00287DDC"/>
    <w:rsid w:val="00290B2F"/>
    <w:rsid w:val="002932CF"/>
    <w:rsid w:val="002B45EB"/>
    <w:rsid w:val="002B5E69"/>
    <w:rsid w:val="002D0F10"/>
    <w:rsid w:val="002D4985"/>
    <w:rsid w:val="002E24CA"/>
    <w:rsid w:val="002F03A6"/>
    <w:rsid w:val="00305854"/>
    <w:rsid w:val="003063D3"/>
    <w:rsid w:val="00310C94"/>
    <w:rsid w:val="003268D9"/>
    <w:rsid w:val="00330313"/>
    <w:rsid w:val="0033193B"/>
    <w:rsid w:val="003340DC"/>
    <w:rsid w:val="0033647E"/>
    <w:rsid w:val="003376F2"/>
    <w:rsid w:val="00342B59"/>
    <w:rsid w:val="0034571F"/>
    <w:rsid w:val="00350888"/>
    <w:rsid w:val="00354373"/>
    <w:rsid w:val="003810AB"/>
    <w:rsid w:val="0039282C"/>
    <w:rsid w:val="003944A8"/>
    <w:rsid w:val="00395420"/>
    <w:rsid w:val="003A3687"/>
    <w:rsid w:val="003A3BFB"/>
    <w:rsid w:val="003B790C"/>
    <w:rsid w:val="003C35F4"/>
    <w:rsid w:val="003C5570"/>
    <w:rsid w:val="003D6DD0"/>
    <w:rsid w:val="003E372A"/>
    <w:rsid w:val="003E4F33"/>
    <w:rsid w:val="003F0121"/>
    <w:rsid w:val="003F3967"/>
    <w:rsid w:val="003F466F"/>
    <w:rsid w:val="00405E7F"/>
    <w:rsid w:val="0040676F"/>
    <w:rsid w:val="004228A3"/>
    <w:rsid w:val="00423E53"/>
    <w:rsid w:val="004519A1"/>
    <w:rsid w:val="004526B7"/>
    <w:rsid w:val="00454E80"/>
    <w:rsid w:val="004602CD"/>
    <w:rsid w:val="00466783"/>
    <w:rsid w:val="00473621"/>
    <w:rsid w:val="00474448"/>
    <w:rsid w:val="004759B0"/>
    <w:rsid w:val="00483DF6"/>
    <w:rsid w:val="004850D8"/>
    <w:rsid w:val="00487297"/>
    <w:rsid w:val="004A4D5C"/>
    <w:rsid w:val="004B4884"/>
    <w:rsid w:val="004C12B2"/>
    <w:rsid w:val="004C204D"/>
    <w:rsid w:val="004C2BF0"/>
    <w:rsid w:val="004E2758"/>
    <w:rsid w:val="004E6A00"/>
    <w:rsid w:val="004F6111"/>
    <w:rsid w:val="00503B3B"/>
    <w:rsid w:val="00506A41"/>
    <w:rsid w:val="005421D0"/>
    <w:rsid w:val="0054488F"/>
    <w:rsid w:val="00544975"/>
    <w:rsid w:val="005602A1"/>
    <w:rsid w:val="00566089"/>
    <w:rsid w:val="00575BEB"/>
    <w:rsid w:val="00577779"/>
    <w:rsid w:val="005803F0"/>
    <w:rsid w:val="0059318F"/>
    <w:rsid w:val="00597303"/>
    <w:rsid w:val="005A462C"/>
    <w:rsid w:val="005A52FF"/>
    <w:rsid w:val="005A7F12"/>
    <w:rsid w:val="005B3E3B"/>
    <w:rsid w:val="005B7215"/>
    <w:rsid w:val="005C03FE"/>
    <w:rsid w:val="005C2FAE"/>
    <w:rsid w:val="005C4791"/>
    <w:rsid w:val="005C56D0"/>
    <w:rsid w:val="005D2200"/>
    <w:rsid w:val="005D513F"/>
    <w:rsid w:val="005F17BE"/>
    <w:rsid w:val="005F6001"/>
    <w:rsid w:val="00605004"/>
    <w:rsid w:val="00645F76"/>
    <w:rsid w:val="006504BE"/>
    <w:rsid w:val="00655473"/>
    <w:rsid w:val="0067081B"/>
    <w:rsid w:val="00672F8B"/>
    <w:rsid w:val="00684653"/>
    <w:rsid w:val="00693B05"/>
    <w:rsid w:val="00695F5A"/>
    <w:rsid w:val="00696D15"/>
    <w:rsid w:val="00696FE9"/>
    <w:rsid w:val="006A1364"/>
    <w:rsid w:val="006B6653"/>
    <w:rsid w:val="006B7AC3"/>
    <w:rsid w:val="006C63D9"/>
    <w:rsid w:val="006C6B0C"/>
    <w:rsid w:val="006C7BCB"/>
    <w:rsid w:val="006D3EF4"/>
    <w:rsid w:val="006D424C"/>
    <w:rsid w:val="006D7801"/>
    <w:rsid w:val="006E3F28"/>
    <w:rsid w:val="006E4851"/>
    <w:rsid w:val="006F155A"/>
    <w:rsid w:val="006F1DEE"/>
    <w:rsid w:val="006F2FA0"/>
    <w:rsid w:val="006F4226"/>
    <w:rsid w:val="006F5941"/>
    <w:rsid w:val="006F6451"/>
    <w:rsid w:val="00700E24"/>
    <w:rsid w:val="0070613F"/>
    <w:rsid w:val="007063B2"/>
    <w:rsid w:val="00706F12"/>
    <w:rsid w:val="00717434"/>
    <w:rsid w:val="00726813"/>
    <w:rsid w:val="0073012A"/>
    <w:rsid w:val="00740C46"/>
    <w:rsid w:val="007426D2"/>
    <w:rsid w:val="007531DF"/>
    <w:rsid w:val="0075513D"/>
    <w:rsid w:val="00756E56"/>
    <w:rsid w:val="0076265C"/>
    <w:rsid w:val="007676A1"/>
    <w:rsid w:val="00770772"/>
    <w:rsid w:val="0077751B"/>
    <w:rsid w:val="0078484D"/>
    <w:rsid w:val="0079069D"/>
    <w:rsid w:val="0079200D"/>
    <w:rsid w:val="00793F7C"/>
    <w:rsid w:val="00796317"/>
    <w:rsid w:val="00796C3A"/>
    <w:rsid w:val="0079765D"/>
    <w:rsid w:val="007A075C"/>
    <w:rsid w:val="007A094C"/>
    <w:rsid w:val="007C50FF"/>
    <w:rsid w:val="007C5BA8"/>
    <w:rsid w:val="007F35DC"/>
    <w:rsid w:val="00812386"/>
    <w:rsid w:val="00813193"/>
    <w:rsid w:val="0082027E"/>
    <w:rsid w:val="00825704"/>
    <w:rsid w:val="008364AC"/>
    <w:rsid w:val="0083783A"/>
    <w:rsid w:val="0084069C"/>
    <w:rsid w:val="008427F4"/>
    <w:rsid w:val="008443D1"/>
    <w:rsid w:val="008466F9"/>
    <w:rsid w:val="00846E72"/>
    <w:rsid w:val="008533A9"/>
    <w:rsid w:val="00854909"/>
    <w:rsid w:val="00863420"/>
    <w:rsid w:val="0086717C"/>
    <w:rsid w:val="00867FBB"/>
    <w:rsid w:val="00871B3D"/>
    <w:rsid w:val="00880B54"/>
    <w:rsid w:val="008A4A2C"/>
    <w:rsid w:val="008A635B"/>
    <w:rsid w:val="008A71BE"/>
    <w:rsid w:val="008B57AC"/>
    <w:rsid w:val="008B5F6D"/>
    <w:rsid w:val="008D5D8D"/>
    <w:rsid w:val="008D76E3"/>
    <w:rsid w:val="008F6E7C"/>
    <w:rsid w:val="00911873"/>
    <w:rsid w:val="00912F55"/>
    <w:rsid w:val="009201C8"/>
    <w:rsid w:val="0092378D"/>
    <w:rsid w:val="00934B11"/>
    <w:rsid w:val="00954343"/>
    <w:rsid w:val="00961C9D"/>
    <w:rsid w:val="009629E7"/>
    <w:rsid w:val="00970C78"/>
    <w:rsid w:val="009728D2"/>
    <w:rsid w:val="009738C2"/>
    <w:rsid w:val="00981A8A"/>
    <w:rsid w:val="009842A7"/>
    <w:rsid w:val="00991096"/>
    <w:rsid w:val="00992C02"/>
    <w:rsid w:val="00994302"/>
    <w:rsid w:val="00996862"/>
    <w:rsid w:val="00997525"/>
    <w:rsid w:val="00997D63"/>
    <w:rsid w:val="009A2DED"/>
    <w:rsid w:val="009B66A7"/>
    <w:rsid w:val="009C019D"/>
    <w:rsid w:val="009C0669"/>
    <w:rsid w:val="009C21B9"/>
    <w:rsid w:val="009D1E96"/>
    <w:rsid w:val="009D394B"/>
    <w:rsid w:val="009E591F"/>
    <w:rsid w:val="009F2230"/>
    <w:rsid w:val="009F3063"/>
    <w:rsid w:val="009F60FD"/>
    <w:rsid w:val="00A11A12"/>
    <w:rsid w:val="00A11CBF"/>
    <w:rsid w:val="00A12443"/>
    <w:rsid w:val="00A13CAA"/>
    <w:rsid w:val="00A31EE0"/>
    <w:rsid w:val="00A354CC"/>
    <w:rsid w:val="00A44B06"/>
    <w:rsid w:val="00A45D9B"/>
    <w:rsid w:val="00A66B78"/>
    <w:rsid w:val="00A72C03"/>
    <w:rsid w:val="00A75549"/>
    <w:rsid w:val="00A86998"/>
    <w:rsid w:val="00A87924"/>
    <w:rsid w:val="00A905BE"/>
    <w:rsid w:val="00A91129"/>
    <w:rsid w:val="00A9506C"/>
    <w:rsid w:val="00A96D6F"/>
    <w:rsid w:val="00AA1A20"/>
    <w:rsid w:val="00AA48ED"/>
    <w:rsid w:val="00AB00DC"/>
    <w:rsid w:val="00AB1DAA"/>
    <w:rsid w:val="00AB7C5F"/>
    <w:rsid w:val="00AC07C2"/>
    <w:rsid w:val="00AD24D1"/>
    <w:rsid w:val="00AD525A"/>
    <w:rsid w:val="00AE4E91"/>
    <w:rsid w:val="00AF40C8"/>
    <w:rsid w:val="00B019F2"/>
    <w:rsid w:val="00B1520C"/>
    <w:rsid w:val="00B267A6"/>
    <w:rsid w:val="00B27145"/>
    <w:rsid w:val="00B327F7"/>
    <w:rsid w:val="00B32DCD"/>
    <w:rsid w:val="00B36013"/>
    <w:rsid w:val="00B4261F"/>
    <w:rsid w:val="00B47710"/>
    <w:rsid w:val="00B5249D"/>
    <w:rsid w:val="00B539D4"/>
    <w:rsid w:val="00B6012C"/>
    <w:rsid w:val="00B61547"/>
    <w:rsid w:val="00B63678"/>
    <w:rsid w:val="00B63AAE"/>
    <w:rsid w:val="00B6715B"/>
    <w:rsid w:val="00B77F5E"/>
    <w:rsid w:val="00B867C1"/>
    <w:rsid w:val="00B96293"/>
    <w:rsid w:val="00BA4BCD"/>
    <w:rsid w:val="00BA5D83"/>
    <w:rsid w:val="00BB20D6"/>
    <w:rsid w:val="00BB2D16"/>
    <w:rsid w:val="00BC6D14"/>
    <w:rsid w:val="00BC7961"/>
    <w:rsid w:val="00BD103C"/>
    <w:rsid w:val="00BD4C6A"/>
    <w:rsid w:val="00BD72C5"/>
    <w:rsid w:val="00BF0723"/>
    <w:rsid w:val="00BF7615"/>
    <w:rsid w:val="00BF7DD0"/>
    <w:rsid w:val="00C060B5"/>
    <w:rsid w:val="00C064AB"/>
    <w:rsid w:val="00C07FDE"/>
    <w:rsid w:val="00C10782"/>
    <w:rsid w:val="00C22C71"/>
    <w:rsid w:val="00C262F2"/>
    <w:rsid w:val="00C30756"/>
    <w:rsid w:val="00C35F71"/>
    <w:rsid w:val="00C36108"/>
    <w:rsid w:val="00C407C1"/>
    <w:rsid w:val="00C45AC9"/>
    <w:rsid w:val="00C5335D"/>
    <w:rsid w:val="00C573F4"/>
    <w:rsid w:val="00C62575"/>
    <w:rsid w:val="00C634A9"/>
    <w:rsid w:val="00C65BF9"/>
    <w:rsid w:val="00C6769C"/>
    <w:rsid w:val="00C7046E"/>
    <w:rsid w:val="00C73432"/>
    <w:rsid w:val="00C807A6"/>
    <w:rsid w:val="00C94972"/>
    <w:rsid w:val="00C95627"/>
    <w:rsid w:val="00C961CC"/>
    <w:rsid w:val="00C977A9"/>
    <w:rsid w:val="00CA228A"/>
    <w:rsid w:val="00CA5684"/>
    <w:rsid w:val="00CA5C24"/>
    <w:rsid w:val="00CB2C50"/>
    <w:rsid w:val="00CC09EB"/>
    <w:rsid w:val="00CC1004"/>
    <w:rsid w:val="00CC5332"/>
    <w:rsid w:val="00CD62E2"/>
    <w:rsid w:val="00CE6DAC"/>
    <w:rsid w:val="00D00586"/>
    <w:rsid w:val="00D0282D"/>
    <w:rsid w:val="00D1590B"/>
    <w:rsid w:val="00D2561A"/>
    <w:rsid w:val="00D26C6E"/>
    <w:rsid w:val="00D45CA5"/>
    <w:rsid w:val="00D465E6"/>
    <w:rsid w:val="00D53E0D"/>
    <w:rsid w:val="00D703A2"/>
    <w:rsid w:val="00D776F8"/>
    <w:rsid w:val="00D778E0"/>
    <w:rsid w:val="00D821E1"/>
    <w:rsid w:val="00D83E8A"/>
    <w:rsid w:val="00D9735D"/>
    <w:rsid w:val="00DA319E"/>
    <w:rsid w:val="00DA7D1C"/>
    <w:rsid w:val="00DB4350"/>
    <w:rsid w:val="00DC172A"/>
    <w:rsid w:val="00DD149F"/>
    <w:rsid w:val="00DD5CF6"/>
    <w:rsid w:val="00DD68A4"/>
    <w:rsid w:val="00DD73B5"/>
    <w:rsid w:val="00DE36FC"/>
    <w:rsid w:val="00DF17A3"/>
    <w:rsid w:val="00DF1CF3"/>
    <w:rsid w:val="00E00501"/>
    <w:rsid w:val="00E05EE7"/>
    <w:rsid w:val="00E15FD6"/>
    <w:rsid w:val="00E2011E"/>
    <w:rsid w:val="00E22401"/>
    <w:rsid w:val="00E2746C"/>
    <w:rsid w:val="00E27D2F"/>
    <w:rsid w:val="00E33D14"/>
    <w:rsid w:val="00E530E4"/>
    <w:rsid w:val="00E55E2E"/>
    <w:rsid w:val="00E622C9"/>
    <w:rsid w:val="00E62E52"/>
    <w:rsid w:val="00E633BE"/>
    <w:rsid w:val="00E8469D"/>
    <w:rsid w:val="00E84C21"/>
    <w:rsid w:val="00E875BA"/>
    <w:rsid w:val="00E952FB"/>
    <w:rsid w:val="00EA781D"/>
    <w:rsid w:val="00EC0B66"/>
    <w:rsid w:val="00EC3A0A"/>
    <w:rsid w:val="00ED2F53"/>
    <w:rsid w:val="00ED3536"/>
    <w:rsid w:val="00EE0571"/>
    <w:rsid w:val="00EE20B3"/>
    <w:rsid w:val="00EE2C72"/>
    <w:rsid w:val="00EE30AD"/>
    <w:rsid w:val="00EF170B"/>
    <w:rsid w:val="00EF4923"/>
    <w:rsid w:val="00F027BD"/>
    <w:rsid w:val="00F043DD"/>
    <w:rsid w:val="00F1535D"/>
    <w:rsid w:val="00F21566"/>
    <w:rsid w:val="00F223D1"/>
    <w:rsid w:val="00F244AB"/>
    <w:rsid w:val="00F31691"/>
    <w:rsid w:val="00F467AB"/>
    <w:rsid w:val="00F46DDF"/>
    <w:rsid w:val="00F55097"/>
    <w:rsid w:val="00F56DD8"/>
    <w:rsid w:val="00F67503"/>
    <w:rsid w:val="00F73BD4"/>
    <w:rsid w:val="00F73E53"/>
    <w:rsid w:val="00F76BD1"/>
    <w:rsid w:val="00F83858"/>
    <w:rsid w:val="00F86F14"/>
    <w:rsid w:val="00F87E81"/>
    <w:rsid w:val="00F90ABC"/>
    <w:rsid w:val="00F9458C"/>
    <w:rsid w:val="00F97824"/>
    <w:rsid w:val="00FA08C9"/>
    <w:rsid w:val="00FA4528"/>
    <w:rsid w:val="00FA4A74"/>
    <w:rsid w:val="00FA4EF4"/>
    <w:rsid w:val="00FA7DE7"/>
    <w:rsid w:val="00FB0763"/>
    <w:rsid w:val="00FB2BA7"/>
    <w:rsid w:val="00FB4C5B"/>
    <w:rsid w:val="00FB51DA"/>
    <w:rsid w:val="00FB5CCD"/>
    <w:rsid w:val="00FC1563"/>
    <w:rsid w:val="00FD4DA1"/>
    <w:rsid w:val="00FE63F1"/>
    <w:rsid w:val="00FE7FCA"/>
    <w:rsid w:val="00FF3ADE"/>
    <w:rsid w:val="00FF55ED"/>
    <w:rsid w:val="00FF7128"/>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E705"/>
  <w15:chartTrackingRefBased/>
  <w15:docId w15:val="{79710C4B-C545-4814-8619-AAC6538CE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05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05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05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05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05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05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05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05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05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5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05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05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05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05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05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05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05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05BE"/>
    <w:rPr>
      <w:rFonts w:eastAsiaTheme="majorEastAsia" w:cstheme="majorBidi"/>
      <w:color w:val="272727" w:themeColor="text1" w:themeTint="D8"/>
    </w:rPr>
  </w:style>
  <w:style w:type="paragraph" w:styleId="Title">
    <w:name w:val="Title"/>
    <w:basedOn w:val="Normal"/>
    <w:next w:val="Normal"/>
    <w:link w:val="TitleChar"/>
    <w:uiPriority w:val="10"/>
    <w:qFormat/>
    <w:rsid w:val="00A905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05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05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05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05BE"/>
    <w:pPr>
      <w:spacing w:before="160"/>
      <w:jc w:val="center"/>
    </w:pPr>
    <w:rPr>
      <w:i/>
      <w:iCs/>
      <w:color w:val="404040" w:themeColor="text1" w:themeTint="BF"/>
    </w:rPr>
  </w:style>
  <w:style w:type="character" w:customStyle="1" w:styleId="QuoteChar">
    <w:name w:val="Quote Char"/>
    <w:basedOn w:val="DefaultParagraphFont"/>
    <w:link w:val="Quote"/>
    <w:uiPriority w:val="29"/>
    <w:rsid w:val="00A905BE"/>
    <w:rPr>
      <w:i/>
      <w:iCs/>
      <w:color w:val="404040" w:themeColor="text1" w:themeTint="BF"/>
    </w:rPr>
  </w:style>
  <w:style w:type="paragraph" w:styleId="ListParagraph">
    <w:name w:val="List Paragraph"/>
    <w:basedOn w:val="Normal"/>
    <w:uiPriority w:val="34"/>
    <w:qFormat/>
    <w:rsid w:val="00A905BE"/>
    <w:pPr>
      <w:ind w:left="720"/>
      <w:contextualSpacing/>
    </w:pPr>
  </w:style>
  <w:style w:type="character" w:styleId="IntenseEmphasis">
    <w:name w:val="Intense Emphasis"/>
    <w:basedOn w:val="DefaultParagraphFont"/>
    <w:uiPriority w:val="21"/>
    <w:qFormat/>
    <w:rsid w:val="00A905BE"/>
    <w:rPr>
      <w:i/>
      <w:iCs/>
      <w:color w:val="0F4761" w:themeColor="accent1" w:themeShade="BF"/>
    </w:rPr>
  </w:style>
  <w:style w:type="paragraph" w:styleId="IntenseQuote">
    <w:name w:val="Intense Quote"/>
    <w:basedOn w:val="Normal"/>
    <w:next w:val="Normal"/>
    <w:link w:val="IntenseQuoteChar"/>
    <w:uiPriority w:val="30"/>
    <w:qFormat/>
    <w:rsid w:val="00A905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05BE"/>
    <w:rPr>
      <w:i/>
      <w:iCs/>
      <w:color w:val="0F4761" w:themeColor="accent1" w:themeShade="BF"/>
    </w:rPr>
  </w:style>
  <w:style w:type="character" w:styleId="IntenseReference">
    <w:name w:val="Intense Reference"/>
    <w:basedOn w:val="DefaultParagraphFont"/>
    <w:uiPriority w:val="32"/>
    <w:qFormat/>
    <w:rsid w:val="00A905BE"/>
    <w:rPr>
      <w:b/>
      <w:bCs/>
      <w:smallCaps/>
      <w:color w:val="0F4761" w:themeColor="accent1" w:themeShade="BF"/>
      <w:spacing w:val="5"/>
    </w:rPr>
  </w:style>
  <w:style w:type="character" w:styleId="Hyperlink">
    <w:name w:val="Hyperlink"/>
    <w:basedOn w:val="DefaultParagraphFont"/>
    <w:uiPriority w:val="99"/>
    <w:unhideWhenUsed/>
    <w:rsid w:val="00867FBB"/>
    <w:rPr>
      <w:color w:val="467886" w:themeColor="hyperlink"/>
      <w:u w:val="single"/>
    </w:rPr>
  </w:style>
  <w:style w:type="character" w:styleId="UnresolvedMention">
    <w:name w:val="Unresolved Mention"/>
    <w:basedOn w:val="DefaultParagraphFont"/>
    <w:uiPriority w:val="99"/>
    <w:semiHidden/>
    <w:unhideWhenUsed/>
    <w:rsid w:val="00867FBB"/>
    <w:rPr>
      <w:color w:val="605E5C"/>
      <w:shd w:val="clear" w:color="auto" w:fill="E1DFDD"/>
    </w:rPr>
  </w:style>
  <w:style w:type="character" w:styleId="FollowedHyperlink">
    <w:name w:val="FollowedHyperlink"/>
    <w:basedOn w:val="DefaultParagraphFont"/>
    <w:uiPriority w:val="99"/>
    <w:semiHidden/>
    <w:unhideWhenUsed/>
    <w:rsid w:val="00E22401"/>
    <w:rPr>
      <w:color w:val="96607D" w:themeColor="followedHyperlink"/>
      <w:u w:val="single"/>
    </w:rPr>
  </w:style>
  <w:style w:type="paragraph" w:styleId="Revision">
    <w:name w:val="Revision"/>
    <w:hidden/>
    <w:uiPriority w:val="99"/>
    <w:semiHidden/>
    <w:rsid w:val="005A7F12"/>
    <w:pPr>
      <w:spacing w:after="0" w:line="240" w:lineRule="auto"/>
    </w:pPr>
  </w:style>
  <w:style w:type="paragraph" w:customStyle="1" w:styleId="whitespace-pre-wrap">
    <w:name w:val="whitespace-pre-wrap"/>
    <w:basedOn w:val="Normal"/>
    <w:rsid w:val="0034571F"/>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425292">
      <w:bodyDiv w:val="1"/>
      <w:marLeft w:val="0"/>
      <w:marRight w:val="0"/>
      <w:marTop w:val="0"/>
      <w:marBottom w:val="0"/>
      <w:divBdr>
        <w:top w:val="none" w:sz="0" w:space="0" w:color="auto"/>
        <w:left w:val="none" w:sz="0" w:space="0" w:color="auto"/>
        <w:bottom w:val="none" w:sz="0" w:space="0" w:color="auto"/>
        <w:right w:val="none" w:sz="0" w:space="0" w:color="auto"/>
      </w:divBdr>
    </w:div>
    <w:div w:id="722409000">
      <w:bodyDiv w:val="1"/>
      <w:marLeft w:val="0"/>
      <w:marRight w:val="0"/>
      <w:marTop w:val="0"/>
      <w:marBottom w:val="0"/>
      <w:divBdr>
        <w:top w:val="none" w:sz="0" w:space="0" w:color="auto"/>
        <w:left w:val="none" w:sz="0" w:space="0" w:color="auto"/>
        <w:bottom w:val="none" w:sz="0" w:space="0" w:color="auto"/>
        <w:right w:val="none" w:sz="0" w:space="0" w:color="auto"/>
      </w:divBdr>
    </w:div>
    <w:div w:id="1368065299">
      <w:bodyDiv w:val="1"/>
      <w:marLeft w:val="0"/>
      <w:marRight w:val="0"/>
      <w:marTop w:val="0"/>
      <w:marBottom w:val="0"/>
      <w:divBdr>
        <w:top w:val="none" w:sz="0" w:space="0" w:color="auto"/>
        <w:left w:val="none" w:sz="0" w:space="0" w:color="auto"/>
        <w:bottom w:val="none" w:sz="0" w:space="0" w:color="auto"/>
        <w:right w:val="none" w:sz="0" w:space="0" w:color="auto"/>
      </w:divBdr>
    </w:div>
    <w:div w:id="1668632654">
      <w:bodyDiv w:val="1"/>
      <w:marLeft w:val="0"/>
      <w:marRight w:val="0"/>
      <w:marTop w:val="0"/>
      <w:marBottom w:val="0"/>
      <w:divBdr>
        <w:top w:val="none" w:sz="0" w:space="0" w:color="auto"/>
        <w:left w:val="none" w:sz="0" w:space="0" w:color="auto"/>
        <w:bottom w:val="none" w:sz="0" w:space="0" w:color="auto"/>
        <w:right w:val="none" w:sz="0" w:space="0" w:color="auto"/>
      </w:divBdr>
    </w:div>
    <w:div w:id="1710107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pository.urosario.edu.co/server/api/core/bitstreams/749f5373-cf8d-4062-9c4c-94c5797bd62c/content" TargetMode="External"/><Relationship Id="rId5" Type="http://schemas.openxmlformats.org/officeDocument/2006/relationships/numbering" Target="numbering.xml"/><Relationship Id="rId10" Type="http://schemas.openxmlformats.org/officeDocument/2006/relationships/hyperlink" Target="https://publications.iadb.org/es/publications/spanish/viewer/Las-finanzas-abiertas-en-America-Latina-y-el-Caribe-grandes-oportunidades-grandes-desafios.pdf" TargetMode="External"/><Relationship Id="rId4" Type="http://schemas.openxmlformats.org/officeDocument/2006/relationships/customXml" Target="../customXml/item4.xml"/><Relationship Id="rId9" Type="http://schemas.openxmlformats.org/officeDocument/2006/relationships/hyperlink" Target="https://asobancaria.com/ws/semanas-economicas/1382-BE.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5D4B339A9D5994482DA8179A1B161C8" ma:contentTypeVersion="5" ma:contentTypeDescription="Crear nuevo documento." ma:contentTypeScope="" ma:versionID="b9635a543913decde059493c4aeb00b8">
  <xsd:schema xmlns:xsd="http://www.w3.org/2001/XMLSchema" xmlns:xs="http://www.w3.org/2001/XMLSchema" xmlns:p="http://schemas.microsoft.com/office/2006/metadata/properties" xmlns:ns2="6bb00d47-a5e1-4223-8b3c-271d66707ebc" targetNamespace="http://schemas.microsoft.com/office/2006/metadata/properties" ma:root="true" ma:fieldsID="fd3b24b725873fd6d64998db7aad1418" ns2:_="">
    <xsd:import namespace="6bb00d47-a5e1-4223-8b3c-271d66707e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N_x00fa_mer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b00d47-a5e1-4223-8b3c-271d66707e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N_x00fa_mero" ma:index="12" nillable="true" ma:displayName="Número" ma:format="Dropdown" ma:internalName="N_x00fa_mero"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N_x00fa_mero xmlns="6bb00d47-a5e1-4223-8b3c-271d66707eb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78B229-AA34-4182-9984-87B65EA0815B}"/>
</file>

<file path=customXml/itemProps2.xml><?xml version="1.0" encoding="utf-8"?>
<ds:datastoreItem xmlns:ds="http://schemas.openxmlformats.org/officeDocument/2006/customXml" ds:itemID="{228A734D-AC01-4D02-BF11-7CB0AC6D1412}">
  <ds:schemaRefs>
    <ds:schemaRef ds:uri="http://schemas.openxmlformats.org/officeDocument/2006/bibliography"/>
  </ds:schemaRefs>
</ds:datastoreItem>
</file>

<file path=customXml/itemProps3.xml><?xml version="1.0" encoding="utf-8"?>
<ds:datastoreItem xmlns:ds="http://schemas.openxmlformats.org/officeDocument/2006/customXml" ds:itemID="{E2AD9366-B366-43AD-B59D-5853F513E0E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697E98-29BA-489D-A3C0-584BF53394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1</Pages>
  <Words>1525</Words>
  <Characters>8699</Characters>
  <Application>Microsoft Office Word</Application>
  <DocSecurity>4</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10204</CharactersWithSpaces>
  <SharedDoc>false</SharedDoc>
  <HLinks>
    <vt:vector size="18" baseType="variant">
      <vt:variant>
        <vt:i4>3342382</vt:i4>
      </vt:variant>
      <vt:variant>
        <vt:i4>6</vt:i4>
      </vt:variant>
      <vt:variant>
        <vt:i4>0</vt:i4>
      </vt:variant>
      <vt:variant>
        <vt:i4>5</vt:i4>
      </vt:variant>
      <vt:variant>
        <vt:lpwstr>https://repository.urosario.edu.co/server/api/core/bitstreams/749f5373-cf8d-4062-9c4c-94c5797bd62c/content</vt:lpwstr>
      </vt:variant>
      <vt:variant>
        <vt:lpwstr/>
      </vt:variant>
      <vt:variant>
        <vt:i4>3539054</vt:i4>
      </vt:variant>
      <vt:variant>
        <vt:i4>3</vt:i4>
      </vt:variant>
      <vt:variant>
        <vt:i4>0</vt:i4>
      </vt:variant>
      <vt:variant>
        <vt:i4>5</vt:i4>
      </vt:variant>
      <vt:variant>
        <vt:lpwstr>https://publications.iadb.org/es/publications/spanish/viewer/Las-finanzas-abiertas-en-America-Latina-y-el-Caribe-grandes-oportunidades-grandes-desafios.pdf</vt:lpwstr>
      </vt:variant>
      <vt:variant>
        <vt:lpwstr/>
      </vt:variant>
      <vt:variant>
        <vt:i4>1245184</vt:i4>
      </vt:variant>
      <vt:variant>
        <vt:i4>0</vt:i4>
      </vt:variant>
      <vt:variant>
        <vt:i4>0</vt:i4>
      </vt:variant>
      <vt:variant>
        <vt:i4>5</vt:i4>
      </vt:variant>
      <vt:variant>
        <vt:lpwstr>https://asobancaria.com/ws/semanas-economicas/1382-BE.pdf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ELIANA MARCELA ROJAS PEREZ</dc:creator>
  <cp:keywords/>
  <dc:description/>
  <cp:lastModifiedBy>Eliana Marcela Rojas Perez</cp:lastModifiedBy>
  <cp:revision>380</cp:revision>
  <dcterms:created xsi:type="dcterms:W3CDTF">2024-06-07T02:50:00Z</dcterms:created>
  <dcterms:modified xsi:type="dcterms:W3CDTF">2024-06-12T06:13:00Z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0x010100C5D4B339A9D5994482DA8179A1B161C8</vt:lpwstr>
  </property>
</Properties>
</file>