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all-for-papers"/>
    <w:p>
      <w:pPr>
        <w:pStyle w:val="Heading1"/>
      </w:pPr>
      <w:r>
        <w:t xml:space="preserve">Call for Papers</w:t>
      </w:r>
    </w:p>
    <w:bookmarkStart w:id="36" w:name="reach-ai-2026"/>
    <w:p>
      <w:pPr>
        <w:pStyle w:val="Heading2"/>
      </w:pPr>
      <w:r>
        <w:t xml:space="preserve">REACH-AI 2026</w:t>
      </w:r>
    </w:p>
    <w:bookmarkStart w:id="20" w:name="X71137dc355e309a4976b1ad9796871326ffa4ef"/>
    <w:p>
      <w:pPr>
        <w:pStyle w:val="Heading3"/>
      </w:pPr>
      <w:r>
        <w:t xml:space="preserve">Community-Informed Evaluation and Benchmarking of Culturally Competent Generative AI</w:t>
      </w:r>
    </w:p>
    <w:p>
      <w:pPr>
        <w:pStyle w:val="FirstParagraph"/>
      </w:pPr>
      <w:r>
        <w:rPr>
          <w:b/>
          <w:bCs/>
        </w:rPr>
        <w:t xml:space="preserve">In conjunction with The 35th ACM International Conference on Information and Knowledge Management (CIKM 2026)</w:t>
      </w:r>
      <w:r>
        <w:br/>
      </w:r>
      <w:r>
        <w:rPr>
          <w:b/>
          <w:bCs/>
        </w:rPr>
        <w:t xml:space="preserve">Rome, Italy | November 8, 2026</w:t>
      </w:r>
    </w:p>
    <w:bookmarkEnd w:id="20"/>
    <w:bookmarkStart w:id="21" w:name="workshop-overview"/>
    <w:p>
      <w:pPr>
        <w:pStyle w:val="Heading3"/>
      </w:pPr>
      <w:r>
        <w:t xml:space="preserve">Workshop Overview</w:t>
      </w:r>
    </w:p>
    <w:p>
      <w:pPr>
        <w:pStyle w:val="FirstParagraph"/>
      </w:pPr>
      <w:r>
        <w:t xml:space="preserve">Recent advances in Generative AI (GenAI) and Large Language Models (LLMs) have transformed information access, knowledge discovery, decision support, and human-computer interaction. Despite remarkable progress, existing evaluation frameworks and benchmarks often fail to adequately assess how these systems perform across diverse cultural, linguistic, socioeconomic, and community contexts. As GenAI technologies become increasingly integrated into education, healthcare, government, social services, and everyday life, ensuring cultural competence, fairness, inclusiveness, and trustworthiness has become a critical research challenge.</w:t>
      </w:r>
    </w:p>
    <w:p>
      <w:pPr>
        <w:pStyle w:val="BodyText"/>
      </w:pPr>
      <w:r>
        <w:t xml:space="preserve">The</w:t>
      </w:r>
      <w:r>
        <w:t xml:space="preserve"> </w:t>
      </w:r>
      <w:r>
        <w:rPr>
          <w:b/>
          <w:bCs/>
        </w:rPr>
        <w:t xml:space="preserve">REACH-AI 2026 Workshop (Community-Informed Evaluation and Benchmarking of Culturally Competent Generative AI)</w:t>
      </w:r>
      <w:r>
        <w:t xml:space="preserve"> </w:t>
      </w:r>
      <w:r>
        <w:t xml:space="preserve">aims to bring together researchers, practitioners, policymakers, community stakeholders, and industry leaders to advance methodologies, datasets, benchmarks, and evaluation frameworks that enable culturally aware and socially responsible AI systems. The workshop will foster interdisciplinary dialogue across AI, information retrieval, knowledge management, NLP, HCI, social sciences, public policy, and community-engaged research.</w:t>
      </w:r>
    </w:p>
    <w:bookmarkEnd w:id="21"/>
    <w:bookmarkStart w:id="27" w:name="topics-of-interest"/>
    <w:p>
      <w:pPr>
        <w:pStyle w:val="Heading3"/>
      </w:pPr>
      <w:r>
        <w:t xml:space="preserve">Topics of Interest</w:t>
      </w:r>
    </w:p>
    <w:p>
      <w:pPr>
        <w:pStyle w:val="FirstParagraph"/>
      </w:pPr>
      <w:r>
        <w:t xml:space="preserve">We invite original research, position papers, system demonstrations, datasets, benchmark papers, and case studies on topics including, but not limited to:</w:t>
      </w:r>
    </w:p>
    <w:bookmarkStart w:id="22" w:name="cultural-competence-in-generative-ai"/>
    <w:p>
      <w:pPr>
        <w:pStyle w:val="Heading4"/>
      </w:pPr>
      <w:r>
        <w:t xml:space="preserve">Cultural Competence in Generative AI</w:t>
      </w:r>
    </w:p>
    <w:p>
      <w:pPr>
        <w:pStyle w:val="Compact"/>
        <w:numPr>
          <w:ilvl w:val="0"/>
          <w:numId w:val="1001"/>
        </w:numPr>
      </w:pPr>
      <w:r>
        <w:t xml:space="preserve">Definitions, theories, and measurement of cultural competence in AI systems</w:t>
      </w:r>
    </w:p>
    <w:p>
      <w:pPr>
        <w:pStyle w:val="Compact"/>
        <w:numPr>
          <w:ilvl w:val="0"/>
          <w:numId w:val="1001"/>
        </w:numPr>
      </w:pPr>
      <w:r>
        <w:t xml:space="preserve">Cross-cultural and multilingual evaluation of LLMs</w:t>
      </w:r>
    </w:p>
    <w:p>
      <w:pPr>
        <w:pStyle w:val="Compact"/>
        <w:numPr>
          <w:ilvl w:val="0"/>
          <w:numId w:val="1001"/>
        </w:numPr>
      </w:pPr>
      <w:r>
        <w:t xml:space="preserve">Representation and inclusion of underrepresented communities</w:t>
      </w:r>
    </w:p>
    <w:p>
      <w:pPr>
        <w:pStyle w:val="Compact"/>
        <w:numPr>
          <w:ilvl w:val="0"/>
          <w:numId w:val="1001"/>
        </w:numPr>
      </w:pPr>
      <w:r>
        <w:t xml:space="preserve">Cultural adaptation and localization of foundation models</w:t>
      </w:r>
    </w:p>
    <w:p>
      <w:pPr>
        <w:pStyle w:val="Compact"/>
        <w:numPr>
          <w:ilvl w:val="0"/>
          <w:numId w:val="1001"/>
        </w:numPr>
      </w:pPr>
      <w:r>
        <w:t xml:space="preserve">Community-centered AI design methodologies</w:t>
      </w:r>
    </w:p>
    <w:bookmarkEnd w:id="22"/>
    <w:bookmarkStart w:id="23" w:name="evaluation-and-benchmarking"/>
    <w:p>
      <w:pPr>
        <w:pStyle w:val="Heading4"/>
      </w:pPr>
      <w:r>
        <w:t xml:space="preserve">Evaluation and Benchmarking</w:t>
      </w:r>
    </w:p>
    <w:p>
      <w:pPr>
        <w:pStyle w:val="Compact"/>
        <w:numPr>
          <w:ilvl w:val="0"/>
          <w:numId w:val="1002"/>
        </w:numPr>
      </w:pPr>
      <w:r>
        <w:t xml:space="preserve">Novel benchmarks for culturally competent AI</w:t>
      </w:r>
    </w:p>
    <w:p>
      <w:pPr>
        <w:pStyle w:val="Compact"/>
        <w:numPr>
          <w:ilvl w:val="0"/>
          <w:numId w:val="1002"/>
        </w:numPr>
      </w:pPr>
      <w:r>
        <w:t xml:space="preserve">Human-centered evaluation methodologies</w:t>
      </w:r>
    </w:p>
    <w:p>
      <w:pPr>
        <w:pStyle w:val="Compact"/>
        <w:numPr>
          <w:ilvl w:val="0"/>
          <w:numId w:val="1002"/>
        </w:numPr>
      </w:pPr>
      <w:r>
        <w:t xml:space="preserve">Participatory and community-informed assessment frameworks</w:t>
      </w:r>
    </w:p>
    <w:p>
      <w:pPr>
        <w:pStyle w:val="Compact"/>
        <w:numPr>
          <w:ilvl w:val="0"/>
          <w:numId w:val="1002"/>
        </w:numPr>
      </w:pPr>
      <w:r>
        <w:t xml:space="preserve">Metrics for fairness, equity, inclusiveness, and social impact</w:t>
      </w:r>
    </w:p>
    <w:p>
      <w:pPr>
        <w:pStyle w:val="Compact"/>
        <w:numPr>
          <w:ilvl w:val="0"/>
          <w:numId w:val="1002"/>
        </w:numPr>
      </w:pPr>
      <w:r>
        <w:t xml:space="preserve">Benchmarking across demographic, linguistic, and geographic populations</w:t>
      </w:r>
    </w:p>
    <w:p>
      <w:pPr>
        <w:pStyle w:val="Compact"/>
        <w:numPr>
          <w:ilvl w:val="0"/>
          <w:numId w:val="1002"/>
        </w:numPr>
      </w:pPr>
      <w:r>
        <w:t xml:space="preserve">Evaluation of culturally grounded reasoning and contextual understanding</w:t>
      </w:r>
    </w:p>
    <w:bookmarkEnd w:id="23"/>
    <w:bookmarkStart w:id="24" w:name="Xf9a327e45456d7b373db97b24e9f498d863ed4c"/>
    <w:p>
      <w:pPr>
        <w:pStyle w:val="Heading4"/>
      </w:pPr>
      <w:r>
        <w:t xml:space="preserve">Knowledge Management and Information Access</w:t>
      </w:r>
    </w:p>
    <w:p>
      <w:pPr>
        <w:pStyle w:val="Compact"/>
        <w:numPr>
          <w:ilvl w:val="0"/>
          <w:numId w:val="1003"/>
        </w:numPr>
      </w:pPr>
      <w:r>
        <w:t xml:space="preserve">Culturally aware information retrieval and recommendation systems</w:t>
      </w:r>
    </w:p>
    <w:p>
      <w:pPr>
        <w:pStyle w:val="Compact"/>
        <w:numPr>
          <w:ilvl w:val="0"/>
          <w:numId w:val="1003"/>
        </w:numPr>
      </w:pPr>
      <w:r>
        <w:t xml:space="preserve">Knowledge representation of cultural and indigenous knowledge</w:t>
      </w:r>
    </w:p>
    <w:p>
      <w:pPr>
        <w:pStyle w:val="Compact"/>
        <w:numPr>
          <w:ilvl w:val="0"/>
          <w:numId w:val="1003"/>
        </w:numPr>
      </w:pPr>
      <w:r>
        <w:t xml:space="preserve">Retrieval-augmented generation for diverse communities</w:t>
      </w:r>
    </w:p>
    <w:p>
      <w:pPr>
        <w:pStyle w:val="Compact"/>
        <w:numPr>
          <w:ilvl w:val="0"/>
          <w:numId w:val="1003"/>
        </w:numPr>
      </w:pPr>
      <w:r>
        <w:t xml:space="preserve">Community-specific knowledge graphs and knowledge bases</w:t>
      </w:r>
    </w:p>
    <w:p>
      <w:pPr>
        <w:pStyle w:val="Compact"/>
        <w:numPr>
          <w:ilvl w:val="0"/>
          <w:numId w:val="1003"/>
        </w:numPr>
      </w:pPr>
      <w:r>
        <w:t xml:space="preserve">Cross-cultural information seeking and knowledge discovery</w:t>
      </w:r>
    </w:p>
    <w:bookmarkEnd w:id="24"/>
    <w:bookmarkStart w:id="25" w:name="trustworthy-and-responsible-ai"/>
    <w:p>
      <w:pPr>
        <w:pStyle w:val="Heading4"/>
      </w:pPr>
      <w:r>
        <w:t xml:space="preserve">Trustworthy and Responsible AI</w:t>
      </w:r>
    </w:p>
    <w:p>
      <w:pPr>
        <w:pStyle w:val="Compact"/>
        <w:numPr>
          <w:ilvl w:val="0"/>
          <w:numId w:val="1004"/>
        </w:numPr>
      </w:pPr>
      <w:r>
        <w:t xml:space="preserve">Bias detection, mitigation, and auditing</w:t>
      </w:r>
    </w:p>
    <w:p>
      <w:pPr>
        <w:pStyle w:val="Compact"/>
        <w:numPr>
          <w:ilvl w:val="0"/>
          <w:numId w:val="1004"/>
        </w:numPr>
      </w:pPr>
      <w:r>
        <w:t xml:space="preserve">Transparency, explainability, and accountability</w:t>
      </w:r>
    </w:p>
    <w:p>
      <w:pPr>
        <w:pStyle w:val="Compact"/>
        <w:numPr>
          <w:ilvl w:val="0"/>
          <w:numId w:val="1004"/>
        </w:numPr>
      </w:pPr>
      <w:r>
        <w:t xml:space="preserve">Safety and alignment across cultural contexts</w:t>
      </w:r>
    </w:p>
    <w:p>
      <w:pPr>
        <w:pStyle w:val="Compact"/>
        <w:numPr>
          <w:ilvl w:val="0"/>
          <w:numId w:val="1004"/>
        </w:numPr>
      </w:pPr>
      <w:r>
        <w:t xml:space="preserve">Fairness in multilingual and multimodal foundation models</w:t>
      </w:r>
    </w:p>
    <w:p>
      <w:pPr>
        <w:pStyle w:val="Compact"/>
        <w:numPr>
          <w:ilvl w:val="0"/>
          <w:numId w:val="1004"/>
        </w:numPr>
      </w:pPr>
      <w:r>
        <w:t xml:space="preserve">Privacy-preserving and ethical evaluation practices</w:t>
      </w:r>
    </w:p>
    <w:bookmarkEnd w:id="25"/>
    <w:bookmarkStart w:id="26" w:name="community-engagement-and-applications"/>
    <w:p>
      <w:pPr>
        <w:pStyle w:val="Heading4"/>
      </w:pPr>
      <w:r>
        <w:t xml:space="preserve">Community Engagement and Applications</w:t>
      </w:r>
    </w:p>
    <w:p>
      <w:pPr>
        <w:pStyle w:val="Compact"/>
        <w:numPr>
          <w:ilvl w:val="0"/>
          <w:numId w:val="1005"/>
        </w:numPr>
      </w:pPr>
      <w:r>
        <w:t xml:space="preserve">Participatory AI development and co-design</w:t>
      </w:r>
    </w:p>
    <w:p>
      <w:pPr>
        <w:pStyle w:val="Compact"/>
        <w:numPr>
          <w:ilvl w:val="0"/>
          <w:numId w:val="1005"/>
        </w:numPr>
      </w:pPr>
      <w:r>
        <w:t xml:space="preserve">AI for education, healthcare, social services, and public policy</w:t>
      </w:r>
    </w:p>
    <w:p>
      <w:pPr>
        <w:pStyle w:val="Compact"/>
        <w:numPr>
          <w:ilvl w:val="0"/>
          <w:numId w:val="1005"/>
        </w:numPr>
      </w:pPr>
      <w:r>
        <w:t xml:space="preserve">Community-driven datasets and benchmark creation</w:t>
      </w:r>
    </w:p>
    <w:p>
      <w:pPr>
        <w:pStyle w:val="Compact"/>
        <w:numPr>
          <w:ilvl w:val="0"/>
          <w:numId w:val="1005"/>
        </w:numPr>
      </w:pPr>
      <w:r>
        <w:t xml:space="preserve">Case studies involving historically underserved populations</w:t>
      </w:r>
    </w:p>
    <w:p>
      <w:pPr>
        <w:pStyle w:val="Compact"/>
        <w:numPr>
          <w:ilvl w:val="0"/>
          <w:numId w:val="1005"/>
        </w:numPr>
      </w:pPr>
      <w:r>
        <w:t xml:space="preserve">Real-world deployment experiences and lessons learned</w:t>
      </w:r>
    </w:p>
    <w:bookmarkEnd w:id="26"/>
    <w:bookmarkEnd w:id="27"/>
    <w:bookmarkStart w:id="28" w:name="submission-categories"/>
    <w:p>
      <w:pPr>
        <w:pStyle w:val="Heading3"/>
      </w:pPr>
      <w:r>
        <w:t xml:space="preserve">Submission Categories</w:t>
      </w:r>
    </w:p>
    <w:p>
      <w:pPr>
        <w:pStyle w:val="FirstParagraph"/>
      </w:pPr>
      <w:r>
        <w:t xml:space="preserve">We welcome the following types of submissions:</w:t>
      </w:r>
    </w:p>
    <w:p>
      <w:pPr>
        <w:pStyle w:val="Compact"/>
        <w:numPr>
          <w:ilvl w:val="0"/>
          <w:numId w:val="1006"/>
        </w:numPr>
      </w:pPr>
      <w:r>
        <w:rPr>
          <w:b/>
          <w:bCs/>
        </w:rPr>
        <w:t xml:space="preserve">Full Research Papers</w:t>
      </w:r>
      <w:r>
        <w:t xml:space="preserve"> </w:t>
      </w:r>
      <w:r>
        <w:t xml:space="preserve">(up to 8 pages + references)</w:t>
      </w:r>
    </w:p>
    <w:p>
      <w:pPr>
        <w:pStyle w:val="Compact"/>
        <w:numPr>
          <w:ilvl w:val="0"/>
          <w:numId w:val="1006"/>
        </w:numPr>
      </w:pPr>
      <w:r>
        <w:rPr>
          <w:b/>
          <w:bCs/>
        </w:rPr>
        <w:t xml:space="preserve">Short Papers / Position Papers</w:t>
      </w:r>
      <w:r>
        <w:t xml:space="preserve"> </w:t>
      </w:r>
      <w:r>
        <w:t xml:space="preserve">(up to 4 pages + references)</w:t>
      </w:r>
    </w:p>
    <w:p>
      <w:pPr>
        <w:pStyle w:val="Compact"/>
        <w:numPr>
          <w:ilvl w:val="0"/>
          <w:numId w:val="1006"/>
        </w:numPr>
      </w:pPr>
      <w:r>
        <w:rPr>
          <w:b/>
          <w:bCs/>
        </w:rPr>
        <w:t xml:space="preserve">Demo and System Papers</w:t>
      </w:r>
      <w:r>
        <w:t xml:space="preserve"> </w:t>
      </w:r>
      <w:r>
        <w:t xml:space="preserve">(up to 4 pages + references)</w:t>
      </w:r>
    </w:p>
    <w:p>
      <w:pPr>
        <w:pStyle w:val="Compact"/>
        <w:numPr>
          <w:ilvl w:val="0"/>
          <w:numId w:val="1006"/>
        </w:numPr>
      </w:pPr>
      <w:r>
        <w:rPr>
          <w:b/>
          <w:bCs/>
        </w:rPr>
        <w:t xml:space="preserve">Dataset and Benchmark Papers</w:t>
      </w:r>
      <w:r>
        <w:t xml:space="preserve"> </w:t>
      </w:r>
      <w:r>
        <w:t xml:space="preserve">(up to 6 pages + references)</w:t>
      </w:r>
    </w:p>
    <w:p>
      <w:pPr>
        <w:pStyle w:val="FirstParagraph"/>
      </w:pPr>
      <w:r>
        <w:t xml:space="preserve">Submissions should follow the ACM conference format and be submitted in PDF format through the workshop submission site.</w:t>
      </w:r>
    </w:p>
    <w:bookmarkEnd w:id="28"/>
    <w:bookmarkStart w:id="29" w:name="review-process"/>
    <w:p>
      <w:pPr>
        <w:pStyle w:val="Heading3"/>
      </w:pPr>
      <w:r>
        <w:t xml:space="preserve">Review Process</w:t>
      </w:r>
    </w:p>
    <w:p>
      <w:pPr>
        <w:pStyle w:val="FirstParagraph"/>
      </w:pPr>
      <w:r>
        <w:t xml:space="preserve">All submissions will undergo peer review by members of the Program Committee. Accepted papers will be selected based on originality, technical quality, relevance, significance, and potential to stimulate discussion within the workshop community.</w:t>
      </w:r>
    </w:p>
    <w:bookmarkEnd w:id="29"/>
    <w:bookmarkStart w:id="30" w:name="workshop-format"/>
    <w:p>
      <w:pPr>
        <w:pStyle w:val="Heading3"/>
      </w:pPr>
      <w:r>
        <w:t xml:space="preserve">Workshop Format</w:t>
      </w:r>
    </w:p>
    <w:p>
      <w:pPr>
        <w:pStyle w:val="FirstParagraph"/>
      </w:pPr>
      <w:r>
        <w:t xml:space="preserve">The workshop will feature:</w:t>
      </w:r>
    </w:p>
    <w:p>
      <w:pPr>
        <w:pStyle w:val="Compact"/>
        <w:numPr>
          <w:ilvl w:val="0"/>
          <w:numId w:val="1007"/>
        </w:numPr>
      </w:pPr>
      <w:r>
        <w:t xml:space="preserve">Keynote presentations by leading experts in trustworthy and culturally competent AI</w:t>
      </w:r>
    </w:p>
    <w:p>
      <w:pPr>
        <w:pStyle w:val="Compact"/>
        <w:numPr>
          <w:ilvl w:val="0"/>
          <w:numId w:val="1007"/>
        </w:numPr>
      </w:pPr>
      <w:r>
        <w:t xml:space="preserve">Research paper presentations</w:t>
      </w:r>
    </w:p>
    <w:p>
      <w:pPr>
        <w:pStyle w:val="Compact"/>
        <w:numPr>
          <w:ilvl w:val="0"/>
          <w:numId w:val="1007"/>
        </w:numPr>
      </w:pPr>
      <w:r>
        <w:t xml:space="preserve">Panel discussions involving academic, industry, and community representatives</w:t>
      </w:r>
    </w:p>
    <w:p>
      <w:pPr>
        <w:pStyle w:val="Compact"/>
        <w:numPr>
          <w:ilvl w:val="0"/>
          <w:numId w:val="1007"/>
        </w:numPr>
      </w:pPr>
      <w:r>
        <w:t xml:space="preserve">Interactive breakout sessions focused on benchmark design and evaluation challenges</w:t>
      </w:r>
    </w:p>
    <w:p>
      <w:pPr>
        <w:pStyle w:val="Compact"/>
        <w:numPr>
          <w:ilvl w:val="0"/>
          <w:numId w:val="1007"/>
        </w:numPr>
      </w:pPr>
      <w:r>
        <w:t xml:space="preserve">Community-building activities to foster interdisciplinary collaborations</w:t>
      </w:r>
    </w:p>
    <w:bookmarkEnd w:id="30"/>
    <w:bookmarkStart w:id="31" w:name="important-dates"/>
    <w:p>
      <w:pPr>
        <w:pStyle w:val="Heading3"/>
      </w:pPr>
      <w:r>
        <w:t xml:space="preserve">Important Dates</w:t>
      </w:r>
    </w:p>
    <w:p>
      <w:pPr>
        <w:pStyle w:val="FirstParagraph"/>
      </w:pPr>
      <w:r>
        <w:rPr>
          <w:i/>
          <w:iCs/>
        </w:rPr>
        <w:t xml:space="preserve">(Tentative – to be finalized upon workshop approval)</w:t>
      </w:r>
    </w:p>
    <w:p>
      <w:pPr>
        <w:pStyle w:val="Compact"/>
        <w:numPr>
          <w:ilvl w:val="0"/>
          <w:numId w:val="1008"/>
        </w:numPr>
      </w:pPr>
      <w:r>
        <w:t xml:space="preserve">Paper Submission Deadline: August 24, 2026</w:t>
      </w:r>
    </w:p>
    <w:p>
      <w:pPr>
        <w:pStyle w:val="Compact"/>
        <w:numPr>
          <w:ilvl w:val="0"/>
          <w:numId w:val="1008"/>
        </w:numPr>
      </w:pPr>
      <w:r>
        <w:t xml:space="preserve">Notification of Acceptance: September 23, 2026</w:t>
      </w:r>
    </w:p>
    <w:p>
      <w:pPr>
        <w:pStyle w:val="Compact"/>
        <w:numPr>
          <w:ilvl w:val="0"/>
          <w:numId w:val="1008"/>
        </w:numPr>
      </w:pPr>
      <w:r>
        <w:t xml:space="preserve">Camera-Ready Papers Due: October 7, 2026</w:t>
      </w:r>
    </w:p>
    <w:p>
      <w:pPr>
        <w:pStyle w:val="Compact"/>
        <w:numPr>
          <w:ilvl w:val="0"/>
          <w:numId w:val="1008"/>
        </w:numPr>
      </w:pPr>
      <w:r>
        <w:t xml:space="preserve">Workshop Date: November 8, 2026</w:t>
      </w:r>
    </w:p>
    <w:bookmarkEnd w:id="31"/>
    <w:bookmarkStart w:id="32" w:name="expected-outcomes"/>
    <w:p>
      <w:pPr>
        <w:pStyle w:val="Heading3"/>
      </w:pPr>
      <w:r>
        <w:t xml:space="preserve">Expected Outcomes</w:t>
      </w:r>
    </w:p>
    <w:p>
      <w:pPr>
        <w:pStyle w:val="FirstParagraph"/>
      </w:pPr>
      <w:r>
        <w:t xml:space="preserve">REACH-AI 2026 seeks to establish a research agenda for culturally competent generative AI, identify gaps in current evaluation methodologies, promote community-informed benchmark development, and foster collaborations among researchers, practitioners, policymakers, and community organizations. The workshop aims to contribute toward more equitable, inclusive, and trustworthy AI systems that effectively serve diverse populations worldwide.</w:t>
      </w:r>
    </w:p>
    <w:bookmarkEnd w:id="32"/>
    <w:bookmarkStart w:id="33" w:name="organizing-committee"/>
    <w:p>
      <w:pPr>
        <w:pStyle w:val="Heading3"/>
      </w:pPr>
      <w:r>
        <w:t xml:space="preserve">Organizing Committee</w:t>
      </w:r>
    </w:p>
    <w:p>
      <w:pPr>
        <w:pStyle w:val="FirstParagraph"/>
      </w:pPr>
      <w:r>
        <w:rPr>
          <w:i/>
          <w:iCs/>
        </w:rPr>
        <w:t xml:space="preserve">To be announced.</w:t>
      </w:r>
    </w:p>
    <w:bookmarkEnd w:id="33"/>
    <w:bookmarkStart w:id="34" w:name="contact"/>
    <w:p>
      <w:pPr>
        <w:pStyle w:val="Heading3"/>
      </w:pPr>
      <w:r>
        <w:t xml:space="preserve">Contact</w:t>
      </w:r>
    </w:p>
    <w:p>
      <w:pPr>
        <w:pStyle w:val="FirstParagraph"/>
      </w:pPr>
      <w:r>
        <w:t xml:space="preserve">For questions regarding the workshop, please contact the organizing committee at:</w:t>
      </w:r>
    </w:p>
    <w:p>
      <w:pPr>
        <w:pStyle w:val="BodyText"/>
      </w:pPr>
      <w:r>
        <w:rPr>
          <w:b/>
          <w:bCs/>
        </w:rPr>
        <w:t xml:space="preserve">reachai2026@yourinstitution.edu</w:t>
      </w:r>
    </w:p>
    <w:bookmarkEnd w:id="34"/>
    <w:bookmarkStart w:id="35" w:name="workshop-website"/>
    <w:p>
      <w:pPr>
        <w:pStyle w:val="Heading3"/>
      </w:pPr>
      <w:r>
        <w:t xml:space="preserve">Workshop Website</w:t>
      </w:r>
    </w:p>
    <w:p>
      <w:pPr>
        <w:pStyle w:val="FirstParagraph"/>
      </w:pPr>
      <w:r>
        <w:t xml:space="preserve">Workshop website and submission portal information will be announced following workshop acceptance.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2026-07-08T16:51:31Z</dcterms:created>
  <dcterms:modified xsi:type="dcterms:W3CDTF">2026-07-08T16:51:31Z</dcterms:modified>
</cp:coreProperties>
</file>

<file path=docProps/custom.xml><?xml version="1.0" encoding="utf-8"?>
<Properties xmlns="http://schemas.openxmlformats.org/officeDocument/2006/custom-properties" xmlns:vt="http://schemas.openxmlformats.org/officeDocument/2006/docPropsVTypes"/>
</file>