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
          <w:szCs w:val="36"/>
          <w:u w:val="none"/>
          <w:shd w:fill="auto" w:val="clear"/>
          <w:vertAlign w:val="baseline"/>
          <w:rtl w:val="0"/>
        </w:rPr>
        <w:t xml:space="preserve">ABOUT US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
          <w:szCs w:val="36"/>
          <w:u w:val="none"/>
          <w:shd w:fill="auto" w:val="clear"/>
          <w:vertAlign w:val="baseline"/>
          <w:rtl w:val="0"/>
        </w:rPr>
        <w:t xml:space="preserve">A Legacy of Sight, Style &amp; Storytelling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At Granada Production House, production is in our DNA. Founded by two sisters with over 30 years of combined experience in fashion, editorial, and print production, we blend international production standards with the beauty and soul of Andalucía.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Based in Granada, we help brands, photographers, and agencies bring their creative visions to life through unforgettable locations, seamless coordination, and local expertise. From hidden gems and iconic backdrops to permits, accommodations, equipment rentals, and production support — we handle every detail so your team can focus on creating exceptional work.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As a sister-led company, we bring a shared creative eye, strong industry experience, and a personal approach to every project.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Locally rooted. Globally minded.</w:t>
        <w:br w:type="textWrapping"/>
        <w:t xml:space="preserve">Let’s create something unforgettable together.</w:t>
      </w: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CAK5mgkKgs3NHtS9oe+v9eHyCQ==">CgMxLjA4AHIhMUp1QUFCM25VS2hRTXpFVEo2VXpDZERIT2pwaXR0ZFdi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