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065A4" w14:textId="77777777" w:rsidR="00391E92" w:rsidRDefault="00837F5F">
      <w:pPr>
        <w:pStyle w:val="Ttulo"/>
      </w:pPr>
      <w:r>
        <w:t>Análisis de resultados</w:t>
      </w:r>
    </w:p>
    <w:p w14:paraId="11A065A5" w14:textId="77777777" w:rsidR="00391E92" w:rsidRDefault="00837F5F">
      <w:pPr>
        <w:pStyle w:val="Subttulo"/>
      </w:pPr>
      <w:r>
        <w:t>Unit Commitment IEEE-24 con almacenamiento en baterías (BESS) · Tarea Módulo 2, Diplomado UPB–XM</w:t>
      </w:r>
    </w:p>
    <w:p w14:paraId="11A065A6" w14:textId="77777777" w:rsidR="00391E92" w:rsidRPr="00407BBF" w:rsidRDefault="00837F5F">
      <w:pPr>
        <w:pStyle w:val="Fecha"/>
        <w:rPr>
          <w:color w:val="000000" w:themeColor="text1"/>
        </w:rPr>
      </w:pPr>
      <w:r w:rsidRPr="00407BBF">
        <w:rPr>
          <w:color w:val="000000" w:themeColor="text1"/>
        </w:rPr>
        <w:t>18 de octubre de 2026</w:t>
      </w:r>
    </w:p>
    <w:p w14:paraId="11A065A7" w14:textId="77777777" w:rsidR="00391E92" w:rsidRDefault="00837F5F">
      <w:pPr>
        <w:pStyle w:val="Ttulo1"/>
      </w:pPr>
      <w:bookmarkStart w:id="0" w:name="resumen"/>
      <w:r>
        <w:t>1. Resumen</w:t>
      </w:r>
    </w:p>
    <w:p w14:paraId="11A065A8" w14:textId="77777777" w:rsidR="00391E92" w:rsidRDefault="00837F5F">
      <w:pPr>
        <w:pStyle w:val="Compact"/>
        <w:numPr>
          <w:ilvl w:val="0"/>
          <w:numId w:val="2"/>
        </w:numPr>
        <w:spacing w:after="60"/>
      </w:pPr>
      <w:r>
        <w:rPr>
          <w:b/>
          <w:bCs/>
          <w:sz w:val="21"/>
        </w:rPr>
        <w:t>Capacidad inicial:</w:t>
      </w:r>
      <w:r>
        <w:rPr>
          <w:sz w:val="21"/>
        </w:rPr>
        <w:t xml:space="preserve"> con la cédula 1’036’450’633 la suma de ternas es 633 + 450 + 036 + 001 = </w:t>
      </w:r>
      <w:r>
        <w:rPr>
          <w:b/>
          <w:bCs/>
          <w:sz w:val="21"/>
        </w:rPr>
        <w:t>1.120 MWh</w:t>
      </w:r>
      <w:r>
        <w:rPr>
          <w:sz w:val="21"/>
        </w:rPr>
        <w:t>.</w:t>
      </w:r>
    </w:p>
    <w:p w14:paraId="11A065A9" w14:textId="77777777" w:rsidR="00391E92" w:rsidRDefault="00837F5F">
      <w:pPr>
        <w:pStyle w:val="Compact"/>
        <w:numPr>
          <w:ilvl w:val="0"/>
          <w:numId w:val="2"/>
        </w:numPr>
        <w:spacing w:after="60"/>
      </w:pPr>
      <w:r>
        <w:rPr>
          <w:b/>
          <w:bCs/>
          <w:sz w:val="21"/>
        </w:rPr>
        <w:t>Sin baterías</w:t>
      </w:r>
      <w:r>
        <w:rPr>
          <w:sz w:val="21"/>
        </w:rPr>
        <w:t xml:space="preserve"> la función objetivo (FO) es $43.531.806. Con la capacidad inicial baja a $36.133.368 (17,0 % menos).</w:t>
      </w:r>
    </w:p>
    <w:p w14:paraId="11A065AA" w14:textId="77777777" w:rsidR="00391E92" w:rsidRDefault="00837F5F">
      <w:pPr>
        <w:pStyle w:val="Compact"/>
        <w:numPr>
          <w:ilvl w:val="0"/>
          <w:numId w:val="2"/>
        </w:numPr>
        <w:spacing w:after="60"/>
      </w:pPr>
      <w:r>
        <w:rPr>
          <w:b/>
          <w:bCs/>
          <w:sz w:val="21"/>
        </w:rPr>
        <w:t>Mitad de la FO:</w:t>
      </w:r>
      <w:r>
        <w:rPr>
          <w:sz w:val="21"/>
        </w:rPr>
        <w:t xml:space="preserve"> se alcanza con </w:t>
      </w:r>
      <w:r>
        <w:rPr>
          <w:b/>
          <w:bCs/>
          <w:sz w:val="21"/>
        </w:rPr>
        <w:t>4.127,8 MWh</w:t>
      </w:r>
      <w:r>
        <w:rPr>
          <w:sz w:val="21"/>
        </w:rPr>
        <w:t xml:space="preserve"> instalados (3,7 veces la capacidad inicial), con FO = $21.748.892 (49,96 % de la FO base). El cruce exacto con el 50 % está entre 4.120 y 4.127,8 MWh (≈ 4.124 MWh por interpolación).</w:t>
      </w:r>
    </w:p>
    <w:p w14:paraId="11A065AB" w14:textId="77777777" w:rsidR="00391E92" w:rsidRDefault="00837F5F">
      <w:pPr>
        <w:pStyle w:val="Compact"/>
        <w:numPr>
          <w:ilvl w:val="0"/>
          <w:numId w:val="2"/>
        </w:numPr>
        <w:spacing w:after="60"/>
      </w:pPr>
      <w:r>
        <w:rPr>
          <w:b/>
          <w:bCs/>
          <w:sz w:val="21"/>
        </w:rPr>
        <w:t>La FO es casi toda penalización por vertimiento eólico</w:t>
      </w:r>
      <w:r>
        <w:rPr>
          <w:sz w:val="21"/>
        </w:rPr>
        <w:t xml:space="preserve"> (99,3 % de la FO sin baterías). Por eso “bajar la FO a la mitad” equivale a reducir a la mitad la energía eólica vertida; el costo térmico solo baja $14.052 (4,9 %).</w:t>
      </w:r>
    </w:p>
    <w:p w14:paraId="11A065AC" w14:textId="77777777" w:rsidR="00391E92" w:rsidRDefault="00837F5F">
      <w:pPr>
        <w:pStyle w:val="Compact"/>
        <w:numPr>
          <w:ilvl w:val="0"/>
          <w:numId w:val="2"/>
        </w:numPr>
        <w:spacing w:after="60"/>
      </w:pPr>
      <w:r>
        <w:rPr>
          <w:b/>
          <w:bCs/>
          <w:sz w:val="21"/>
        </w:rPr>
        <w:t>Forma de la curva:</w:t>
      </w:r>
      <w:r>
        <w:rPr>
          <w:sz w:val="21"/>
        </w:rPr>
        <w:t xml:space="preserve"> casi lineal, con pendiente que baja por escalones (de ≈ $6.606 a ≈ $4.401 por MWh instalado) y se explica por el número de horas con vertimiento que las baterías todavía pueden absorber (sección 3.2).</w:t>
      </w:r>
    </w:p>
    <w:p w14:paraId="11A065AD" w14:textId="77777777" w:rsidR="00391E92" w:rsidRDefault="00837F5F">
      <w:pPr>
        <w:pStyle w:val="Compact"/>
        <w:numPr>
          <w:ilvl w:val="0"/>
          <w:numId w:val="2"/>
        </w:numPr>
        <w:spacing w:after="60"/>
      </w:pPr>
      <w:r>
        <w:rPr>
          <w:b/>
          <w:bCs/>
          <w:sz w:val="21"/>
        </w:rPr>
        <w:t>Con y sin red</w:t>
      </w:r>
      <w:r>
        <w:rPr>
          <w:sz w:val="21"/>
        </w:rPr>
        <w:t xml:space="preserve"> la FO es la misma (diferencia de $43,85 sin baterías y $0,00 con baterías, dentro de la tolerancia del solver): la red no se congestiona (carga máxima de línea: 91,2 %).</w:t>
      </w:r>
    </w:p>
    <w:p w14:paraId="11A065AE" w14:textId="77777777" w:rsidR="00391E92" w:rsidRDefault="00837F5F">
      <w:pPr>
        <w:pStyle w:val="Ttulo1"/>
      </w:pPr>
      <w:bookmarkStart w:id="1" w:name="qué-se-hizo"/>
      <w:bookmarkEnd w:id="0"/>
      <w:r>
        <w:t>2. Qué se hizo</w:t>
      </w:r>
    </w:p>
    <w:p w14:paraId="11A065AF" w14:textId="77777777" w:rsidR="00391E92" w:rsidRDefault="00837F5F">
      <w:pPr>
        <w:pStyle w:val="FirstParagraph"/>
      </w:pPr>
      <w:r>
        <w:t xml:space="preserve">El modelo es un despacho con compromiso de unidades (MILP) de 24 horas del sistema IEEE de 24 barras: 32 unidades térmicas, 9 parques eólicos, 38 líneas (flujo DC) y 10 baterías. Se resolvió con HiGHS desde Pyomo. La documentación completa (conjuntos, parámetros, variables y ecuaciones E1–E24) está en el documento </w:t>
      </w:r>
      <w:r>
        <w:rPr>
          <w:i/>
          <w:iCs/>
        </w:rPr>
        <w:t>Documentación del modelo BESS</w:t>
      </w:r>
      <w:r>
        <w:t>.</w:t>
      </w:r>
    </w:p>
    <w:p w14:paraId="11A065B0" w14:textId="77777777" w:rsidR="00391E92" w:rsidRDefault="00837F5F">
      <w:pPr>
        <w:pStyle w:val="Textoindependiente"/>
      </w:pPr>
      <w:r>
        <w:rPr>
          <w:b/>
          <w:bCs/>
        </w:rPr>
        <w:t>Cómo se varió la capacidad.</w:t>
      </w:r>
      <w:r>
        <w:t xml:space="preserve"> Las 10 baterías se escalan con el mismo factor k = capacidad total / 615 MWh (615 MWh es la capacidad de los datos). La potencia de carga y de descarga crece con el mismo factor, de modo que se mantiene la relación de los datos (descarga máxima = 0,10 × capacidad y carga máxima = 0,11 × capacidad, por hora).</w:t>
      </w:r>
    </w:p>
    <w:p w14:paraId="11A065B1" w14:textId="77777777" w:rsidR="00391E92" w:rsidRDefault="00837F5F">
      <w:pPr>
        <w:pStyle w:val="Textoindependiente"/>
      </w:pPr>
      <w:r>
        <w:rPr>
          <w:b/>
          <w:bCs/>
        </w:rPr>
        <w:t>Punto 2.1.</w:t>
      </w:r>
      <w:r>
        <w:t xml:space="preserve"> Se parte de C₀ = 1.120 MWh y se suman 250 MWh por paso hasta que la FO baja del 50 % de la FO sin baterías; luego se refina el cruce por bisección hasta una precisión de 10 MWh. La FO sin baterías es $43.531.806 y el objetivo es $21.765.903. Se usó un gap del solver de 10⁻⁴.</w:t>
      </w:r>
    </w:p>
    <w:p w14:paraId="11A065B2" w14:textId="77777777" w:rsidR="00391E92" w:rsidRDefault="00837F5F">
      <w:pPr>
        <w:pStyle w:val="Textoindependiente"/>
      </w:pPr>
      <w:r>
        <w:rPr>
          <w:b/>
          <w:bCs/>
        </w:rPr>
        <w:t>Punto 2.3.</w:t>
      </w:r>
      <w:r>
        <w:t xml:space="preserve"> Con la capacidad encontrada se resolvieron cuatro casos (con y sin red, con y sin baterías) con un gap más estricto (10⁻⁵).</w:t>
      </w:r>
    </w:p>
    <w:p w14:paraId="11A065B3" w14:textId="77777777" w:rsidR="00391E92" w:rsidRDefault="00837F5F">
      <w:pPr>
        <w:pStyle w:val="Textoindependiente"/>
      </w:pPr>
      <w:r>
        <w:rPr>
          <w:b/>
          <w:bCs/>
        </w:rPr>
        <w:lastRenderedPageBreak/>
        <w:t>Corrección al código del curso.</w:t>
      </w:r>
      <w:r>
        <w:t xml:space="preserve"> En </w:t>
      </w:r>
      <w:r>
        <w:rPr>
          <w:rStyle w:val="VerbatimChar"/>
        </w:rPr>
        <w:t>bess.py</w:t>
      </w:r>
      <w:r>
        <w:t xml:space="preserve"> la restricción de carga máxima usa la potencia de </w:t>
      </w:r>
      <w:r>
        <w:rPr>
          <w:i/>
          <w:iCs/>
        </w:rPr>
        <w:t>descarga</w:t>
      </w:r>
      <w:r>
        <w:t xml:space="preserve"> (</w:t>
      </w:r>
      <w:r>
        <w:rPr>
          <w:rStyle w:val="VerbatimChar"/>
        </w:rPr>
        <w:t>p_bess_pd</w:t>
      </w:r>
      <w:r>
        <w:t xml:space="preserve">); aquí usa la de </w:t>
      </w:r>
      <w:r>
        <w:rPr>
          <w:i/>
          <w:iCs/>
        </w:rPr>
        <w:t>carga</w:t>
      </w:r>
      <w:r>
        <w:t xml:space="preserve"> (</w:t>
      </w:r>
      <w:r>
        <w:rPr>
          <w:rStyle w:val="VerbatimChar"/>
        </w:rPr>
        <w:t>p_bess_pc</w:t>
      </w:r>
      <w:r>
        <w:t>), que es el parámetro que corresponde. El efecto de esa corrección se mide en la sección 6.</w:t>
      </w:r>
    </w:p>
    <w:p w14:paraId="11A065B4" w14:textId="77777777" w:rsidR="00391E92" w:rsidRDefault="00837F5F">
      <w:pPr>
        <w:pStyle w:val="Ttulo1"/>
      </w:pPr>
      <w:bookmarkStart w:id="2" w:name="X352072229f9d0567a7b4a211af452664ebb1214"/>
      <w:bookmarkEnd w:id="1"/>
      <w:r>
        <w:t>3. Punto 2.1: capacidad instalada vs función objetivo</w:t>
      </w:r>
    </w:p>
    <w:p w14:paraId="11A065B5" w14:textId="77777777" w:rsidR="00391E92" w:rsidRDefault="00837F5F">
      <w:pPr>
        <w:pStyle w:val="CaptionedFigure"/>
      </w:pPr>
      <w:r>
        <w:rPr>
          <w:noProof/>
        </w:rPr>
        <w:drawing>
          <wp:inline distT="0" distB="0" distL="0" distR="0" wp14:anchorId="11A0668A" wp14:editId="11A0668B">
            <wp:extent cx="5212080" cy="4660702"/>
            <wp:effectExtent l="0" t="0" r="0" b="0"/>
            <wp:docPr id="23" name="Picture" descr="Figura 1. Capacidad instalada de baterías vs función objetivo (arriba) y qué cambia en la operación (abajo)."/>
            <wp:cNvGraphicFramePr/>
            <a:graphic xmlns:a="http://schemas.openxmlformats.org/drawingml/2006/main">
              <a:graphicData uri="http://schemas.openxmlformats.org/drawingml/2006/picture">
                <pic:pic xmlns:pic="http://schemas.openxmlformats.org/drawingml/2006/picture">
                  <pic:nvPicPr>
                    <pic:cNvPr id="24" name="Picture" descr="results/fig_2_1_capacidad_vs_FO.png"/>
                    <pic:cNvPicPr>
                      <a:picLocks noChangeAspect="1" noChangeArrowheads="1"/>
                    </pic:cNvPicPr>
                  </pic:nvPicPr>
                  <pic:blipFill>
                    <a:blip r:embed="rId7"/>
                    <a:stretch>
                      <a:fillRect/>
                    </a:stretch>
                  </pic:blipFill>
                  <pic:spPr bwMode="auto">
                    <a:xfrm>
                      <a:off x="0" y="0"/>
                      <a:ext cx="5212080" cy="4660702"/>
                    </a:xfrm>
                    <a:prstGeom prst="rect">
                      <a:avLst/>
                    </a:prstGeom>
                    <a:noFill/>
                    <a:ln w="9525">
                      <a:noFill/>
                      <a:headEnd/>
                      <a:tailEnd/>
                    </a:ln>
                  </pic:spPr>
                </pic:pic>
              </a:graphicData>
            </a:graphic>
          </wp:inline>
        </w:drawing>
      </w:r>
    </w:p>
    <w:p w14:paraId="11A065B6" w14:textId="77777777" w:rsidR="00391E92" w:rsidRDefault="00837F5F">
      <w:pPr>
        <w:pStyle w:val="ImageCaption"/>
      </w:pPr>
      <w:r>
        <w:t>Figura 1. Capacidad instalada de baterías vs función objetivo (arriba) y qué cambia en la operación (abajo).</w:t>
      </w:r>
    </w:p>
    <w:p w14:paraId="11A065B7" w14:textId="77777777" w:rsidR="00391E92" w:rsidRDefault="00837F5F">
      <w:pPr>
        <w:pStyle w:val="TableCaption"/>
      </w:pPr>
      <w:r>
        <w:t xml:space="preserve">Tabla 1. Puntos seleccionados del barrido (la tabla completa está en </w:t>
      </w:r>
      <w:r>
        <w:rPr>
          <w:rStyle w:val="VerbatimChar"/>
        </w:rPr>
        <w:t>resultados.xlsx</w:t>
      </w:r>
      <w:r>
        <w:t>, hoja 2.1).</w:t>
      </w:r>
    </w:p>
    <w:tbl>
      <w:tblPr>
        <w:tblStyle w:val="Table"/>
        <w:tblW w:w="96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020" w:firstRow="1" w:lastRow="0" w:firstColumn="0" w:lastColumn="0" w:noHBand="0" w:noVBand="0"/>
      </w:tblPr>
      <w:tblGrid>
        <w:gridCol w:w="1034"/>
        <w:gridCol w:w="1724"/>
        <w:gridCol w:w="1378"/>
        <w:gridCol w:w="1378"/>
        <w:gridCol w:w="1378"/>
        <w:gridCol w:w="1378"/>
        <w:gridCol w:w="1378"/>
      </w:tblGrid>
      <w:tr w:rsidR="00391E92" w14:paraId="11A065BF" w14:textId="77777777" w:rsidTr="00391E92">
        <w:trPr>
          <w:cnfStyle w:val="100000000000" w:firstRow="1" w:lastRow="0" w:firstColumn="0" w:lastColumn="0" w:oddVBand="0" w:evenVBand="0" w:oddHBand="0" w:evenHBand="0" w:firstRowFirstColumn="0" w:firstRowLastColumn="0" w:lastRowFirstColumn="0" w:lastRowLastColumn="0"/>
          <w:tblHeader/>
        </w:trPr>
        <w:tc>
          <w:tcPr>
            <w:tcW w:w="1033" w:type="dxa"/>
            <w:shd w:val="clear" w:color="auto" w:fill="1F4E79"/>
          </w:tcPr>
          <w:p w14:paraId="11A065B8" w14:textId="77777777" w:rsidR="00391E92" w:rsidRDefault="00837F5F">
            <w:pPr>
              <w:pStyle w:val="Compact"/>
              <w:jc w:val="right"/>
            </w:pPr>
            <w:r>
              <w:rPr>
                <w:b/>
                <w:color w:val="FFFFFF"/>
              </w:rPr>
              <w:t>Capacidad [MWh]</w:t>
            </w:r>
          </w:p>
        </w:tc>
        <w:tc>
          <w:tcPr>
            <w:tcW w:w="1723" w:type="dxa"/>
            <w:shd w:val="clear" w:color="auto" w:fill="1F4E79"/>
          </w:tcPr>
          <w:p w14:paraId="11A065B9" w14:textId="77777777" w:rsidR="00391E92" w:rsidRDefault="00837F5F">
            <w:pPr>
              <w:pStyle w:val="Compact"/>
              <w:jc w:val="right"/>
            </w:pPr>
            <w:r>
              <w:rPr>
                <w:b/>
                <w:color w:val="FFFFFF"/>
              </w:rPr>
              <w:t>FO [$]</w:t>
            </w:r>
          </w:p>
        </w:tc>
        <w:tc>
          <w:tcPr>
            <w:tcW w:w="1378" w:type="dxa"/>
            <w:shd w:val="clear" w:color="auto" w:fill="1F4E79"/>
          </w:tcPr>
          <w:p w14:paraId="11A065BA" w14:textId="77777777" w:rsidR="00391E92" w:rsidRDefault="00837F5F">
            <w:pPr>
              <w:pStyle w:val="Compact"/>
              <w:jc w:val="right"/>
            </w:pPr>
            <w:r>
              <w:rPr>
                <w:b/>
                <w:color w:val="FFFFFF"/>
              </w:rPr>
              <w:t>FO / FO base</w:t>
            </w:r>
          </w:p>
        </w:tc>
        <w:tc>
          <w:tcPr>
            <w:tcW w:w="1378" w:type="dxa"/>
            <w:shd w:val="clear" w:color="auto" w:fill="1F4E79"/>
          </w:tcPr>
          <w:p w14:paraId="11A065BB" w14:textId="77777777" w:rsidR="00391E92" w:rsidRDefault="00837F5F">
            <w:pPr>
              <w:pStyle w:val="Compact"/>
              <w:jc w:val="right"/>
            </w:pPr>
            <w:r>
              <w:rPr>
                <w:b/>
                <w:color w:val="FFFFFF"/>
              </w:rPr>
              <w:t>Vertimiento [MWh]</w:t>
            </w:r>
          </w:p>
        </w:tc>
        <w:tc>
          <w:tcPr>
            <w:tcW w:w="1378" w:type="dxa"/>
            <w:shd w:val="clear" w:color="auto" w:fill="1F4E79"/>
          </w:tcPr>
          <w:p w14:paraId="11A065BC" w14:textId="77777777" w:rsidR="00391E92" w:rsidRDefault="00837F5F">
            <w:pPr>
              <w:pStyle w:val="Compact"/>
              <w:jc w:val="right"/>
            </w:pPr>
            <w:r>
              <w:rPr>
                <w:b/>
                <w:color w:val="FFFFFF"/>
              </w:rPr>
              <w:t>Carga [MWh]</w:t>
            </w:r>
          </w:p>
        </w:tc>
        <w:tc>
          <w:tcPr>
            <w:tcW w:w="1378" w:type="dxa"/>
            <w:shd w:val="clear" w:color="auto" w:fill="1F4E79"/>
          </w:tcPr>
          <w:p w14:paraId="11A065BD" w14:textId="77777777" w:rsidR="00391E92" w:rsidRDefault="00837F5F">
            <w:pPr>
              <w:pStyle w:val="Compact"/>
              <w:jc w:val="right"/>
            </w:pPr>
            <w:r>
              <w:rPr>
                <w:b/>
                <w:color w:val="FFFFFF"/>
              </w:rPr>
              <w:t>Descarga [MWh]</w:t>
            </w:r>
          </w:p>
        </w:tc>
        <w:tc>
          <w:tcPr>
            <w:tcW w:w="1378" w:type="dxa"/>
            <w:shd w:val="clear" w:color="auto" w:fill="1F4E79"/>
          </w:tcPr>
          <w:p w14:paraId="11A065BE" w14:textId="77777777" w:rsidR="00391E92" w:rsidRDefault="00837F5F">
            <w:pPr>
              <w:pStyle w:val="Compact"/>
              <w:jc w:val="right"/>
            </w:pPr>
            <w:r>
              <w:rPr>
                <w:b/>
                <w:color w:val="FFFFFF"/>
              </w:rPr>
              <w:t>Pendiente [$ ahorrados por MWh]</w:t>
            </w:r>
          </w:p>
        </w:tc>
      </w:tr>
      <w:tr w:rsidR="00391E92" w14:paraId="11A065C7" w14:textId="77777777" w:rsidTr="00391E92">
        <w:trPr>
          <w:cantSplit/>
        </w:trPr>
        <w:tc>
          <w:tcPr>
            <w:tcW w:w="1033" w:type="dxa"/>
          </w:tcPr>
          <w:p w14:paraId="11A065C0" w14:textId="77777777" w:rsidR="00391E92" w:rsidRDefault="00837F5F">
            <w:pPr>
              <w:pStyle w:val="Compact"/>
              <w:jc w:val="right"/>
            </w:pPr>
            <w:r>
              <w:t>0</w:t>
            </w:r>
          </w:p>
        </w:tc>
        <w:tc>
          <w:tcPr>
            <w:tcW w:w="1723" w:type="dxa"/>
          </w:tcPr>
          <w:p w14:paraId="11A065C1" w14:textId="77777777" w:rsidR="00391E92" w:rsidRDefault="00837F5F">
            <w:pPr>
              <w:pStyle w:val="Compact"/>
              <w:jc w:val="right"/>
            </w:pPr>
            <w:r>
              <w:t>43.531.806</w:t>
            </w:r>
          </w:p>
        </w:tc>
        <w:tc>
          <w:tcPr>
            <w:tcW w:w="1378" w:type="dxa"/>
          </w:tcPr>
          <w:p w14:paraId="11A065C2" w14:textId="77777777" w:rsidR="00391E92" w:rsidRDefault="00837F5F">
            <w:pPr>
              <w:pStyle w:val="Compact"/>
              <w:jc w:val="right"/>
            </w:pPr>
            <w:r>
              <w:t>100,00 %</w:t>
            </w:r>
          </w:p>
        </w:tc>
        <w:tc>
          <w:tcPr>
            <w:tcW w:w="1378" w:type="dxa"/>
          </w:tcPr>
          <w:p w14:paraId="11A065C3" w14:textId="77777777" w:rsidR="00391E92" w:rsidRDefault="00837F5F">
            <w:pPr>
              <w:pStyle w:val="Compact"/>
              <w:jc w:val="right"/>
            </w:pPr>
            <w:r>
              <w:t>4.324</w:t>
            </w:r>
          </w:p>
        </w:tc>
        <w:tc>
          <w:tcPr>
            <w:tcW w:w="1378" w:type="dxa"/>
          </w:tcPr>
          <w:p w14:paraId="11A065C4" w14:textId="77777777" w:rsidR="00391E92" w:rsidRDefault="00837F5F">
            <w:pPr>
              <w:pStyle w:val="Compact"/>
              <w:jc w:val="right"/>
            </w:pPr>
            <w:r>
              <w:t>0</w:t>
            </w:r>
          </w:p>
        </w:tc>
        <w:tc>
          <w:tcPr>
            <w:tcW w:w="1378" w:type="dxa"/>
          </w:tcPr>
          <w:p w14:paraId="11A065C5" w14:textId="77777777" w:rsidR="00391E92" w:rsidRDefault="00837F5F">
            <w:pPr>
              <w:pStyle w:val="Compact"/>
              <w:jc w:val="right"/>
            </w:pPr>
            <w:r>
              <w:t>0</w:t>
            </w:r>
          </w:p>
        </w:tc>
        <w:tc>
          <w:tcPr>
            <w:tcW w:w="1378" w:type="dxa"/>
          </w:tcPr>
          <w:p w14:paraId="11A065C6" w14:textId="77777777" w:rsidR="00391E92" w:rsidRDefault="00837F5F">
            <w:pPr>
              <w:pStyle w:val="Compact"/>
              <w:jc w:val="right"/>
            </w:pPr>
            <w:r>
              <w:t>—</w:t>
            </w:r>
          </w:p>
        </w:tc>
      </w:tr>
      <w:tr w:rsidR="00391E92" w14:paraId="11A065CF" w14:textId="77777777" w:rsidTr="00391E92">
        <w:trPr>
          <w:cantSplit/>
        </w:trPr>
        <w:tc>
          <w:tcPr>
            <w:tcW w:w="1033" w:type="dxa"/>
            <w:shd w:val="clear" w:color="auto" w:fill="F3F6FA"/>
          </w:tcPr>
          <w:p w14:paraId="11A065C8" w14:textId="77777777" w:rsidR="00391E92" w:rsidRDefault="00837F5F">
            <w:pPr>
              <w:pStyle w:val="Compact"/>
              <w:jc w:val="right"/>
            </w:pPr>
            <w:r>
              <w:t>1.120</w:t>
            </w:r>
          </w:p>
        </w:tc>
        <w:tc>
          <w:tcPr>
            <w:tcW w:w="1723" w:type="dxa"/>
            <w:shd w:val="clear" w:color="auto" w:fill="F3F6FA"/>
          </w:tcPr>
          <w:p w14:paraId="11A065C9" w14:textId="77777777" w:rsidR="00391E92" w:rsidRDefault="00837F5F">
            <w:pPr>
              <w:pStyle w:val="Compact"/>
              <w:jc w:val="right"/>
            </w:pPr>
            <w:r>
              <w:t>36.133.368</w:t>
            </w:r>
          </w:p>
        </w:tc>
        <w:tc>
          <w:tcPr>
            <w:tcW w:w="1378" w:type="dxa"/>
            <w:shd w:val="clear" w:color="auto" w:fill="F3F6FA"/>
          </w:tcPr>
          <w:p w14:paraId="11A065CA" w14:textId="77777777" w:rsidR="00391E92" w:rsidRDefault="00837F5F">
            <w:pPr>
              <w:pStyle w:val="Compact"/>
              <w:jc w:val="right"/>
            </w:pPr>
            <w:r>
              <w:t>83,00 %</w:t>
            </w:r>
          </w:p>
        </w:tc>
        <w:tc>
          <w:tcPr>
            <w:tcW w:w="1378" w:type="dxa"/>
            <w:shd w:val="clear" w:color="auto" w:fill="F3F6FA"/>
          </w:tcPr>
          <w:p w14:paraId="11A065CB" w14:textId="77777777" w:rsidR="00391E92" w:rsidRDefault="00837F5F">
            <w:pPr>
              <w:pStyle w:val="Compact"/>
              <w:jc w:val="right"/>
            </w:pPr>
            <w:r>
              <w:t>3.585</w:t>
            </w:r>
          </w:p>
        </w:tc>
        <w:tc>
          <w:tcPr>
            <w:tcW w:w="1378" w:type="dxa"/>
            <w:shd w:val="clear" w:color="auto" w:fill="F3F6FA"/>
          </w:tcPr>
          <w:p w14:paraId="11A065CC" w14:textId="77777777" w:rsidR="00391E92" w:rsidRDefault="00837F5F">
            <w:pPr>
              <w:pStyle w:val="Compact"/>
              <w:jc w:val="right"/>
            </w:pPr>
            <w:r>
              <w:t>1.421</w:t>
            </w:r>
          </w:p>
        </w:tc>
        <w:tc>
          <w:tcPr>
            <w:tcW w:w="1378" w:type="dxa"/>
            <w:shd w:val="clear" w:color="auto" w:fill="F3F6FA"/>
          </w:tcPr>
          <w:p w14:paraId="11A065CD" w14:textId="77777777" w:rsidR="00391E92" w:rsidRDefault="00837F5F">
            <w:pPr>
              <w:pStyle w:val="Compact"/>
              <w:jc w:val="right"/>
            </w:pPr>
            <w:r>
              <w:t>580</w:t>
            </w:r>
          </w:p>
        </w:tc>
        <w:tc>
          <w:tcPr>
            <w:tcW w:w="1378" w:type="dxa"/>
            <w:shd w:val="clear" w:color="auto" w:fill="F3F6FA"/>
          </w:tcPr>
          <w:p w14:paraId="11A065CE" w14:textId="77777777" w:rsidR="00391E92" w:rsidRDefault="00837F5F">
            <w:pPr>
              <w:pStyle w:val="Compact"/>
              <w:jc w:val="right"/>
            </w:pPr>
            <w:r>
              <w:t>6.606</w:t>
            </w:r>
          </w:p>
        </w:tc>
      </w:tr>
      <w:tr w:rsidR="00391E92" w14:paraId="11A065D7" w14:textId="77777777" w:rsidTr="00391E92">
        <w:trPr>
          <w:cantSplit/>
        </w:trPr>
        <w:tc>
          <w:tcPr>
            <w:tcW w:w="1033" w:type="dxa"/>
          </w:tcPr>
          <w:p w14:paraId="11A065D0" w14:textId="77777777" w:rsidR="00391E92" w:rsidRDefault="00837F5F">
            <w:pPr>
              <w:pStyle w:val="Compact"/>
              <w:jc w:val="right"/>
            </w:pPr>
            <w:r>
              <w:t>2.120</w:t>
            </w:r>
          </w:p>
        </w:tc>
        <w:tc>
          <w:tcPr>
            <w:tcW w:w="1723" w:type="dxa"/>
          </w:tcPr>
          <w:p w14:paraId="11A065D1" w14:textId="77777777" w:rsidR="00391E92" w:rsidRDefault="00837F5F">
            <w:pPr>
              <w:pStyle w:val="Compact"/>
              <w:jc w:val="right"/>
            </w:pPr>
            <w:r>
              <w:t>30.585.911</w:t>
            </w:r>
          </w:p>
        </w:tc>
        <w:tc>
          <w:tcPr>
            <w:tcW w:w="1378" w:type="dxa"/>
          </w:tcPr>
          <w:p w14:paraId="11A065D2" w14:textId="77777777" w:rsidR="00391E92" w:rsidRDefault="00837F5F">
            <w:pPr>
              <w:pStyle w:val="Compact"/>
              <w:jc w:val="right"/>
            </w:pPr>
            <w:r>
              <w:t>70,26 %</w:t>
            </w:r>
          </w:p>
        </w:tc>
        <w:tc>
          <w:tcPr>
            <w:tcW w:w="1378" w:type="dxa"/>
          </w:tcPr>
          <w:p w14:paraId="11A065D3" w14:textId="77777777" w:rsidR="00391E92" w:rsidRDefault="00837F5F">
            <w:pPr>
              <w:pStyle w:val="Compact"/>
              <w:jc w:val="right"/>
            </w:pPr>
            <w:r>
              <w:t>3.031</w:t>
            </w:r>
          </w:p>
        </w:tc>
        <w:tc>
          <w:tcPr>
            <w:tcW w:w="1378" w:type="dxa"/>
          </w:tcPr>
          <w:p w14:paraId="11A065D4" w14:textId="77777777" w:rsidR="00391E92" w:rsidRDefault="00837F5F">
            <w:pPr>
              <w:pStyle w:val="Compact"/>
              <w:jc w:val="right"/>
            </w:pPr>
            <w:r>
              <w:t>2.507</w:t>
            </w:r>
          </w:p>
        </w:tc>
        <w:tc>
          <w:tcPr>
            <w:tcW w:w="1378" w:type="dxa"/>
          </w:tcPr>
          <w:p w14:paraId="11A065D5" w14:textId="77777777" w:rsidR="00391E92" w:rsidRDefault="00837F5F">
            <w:pPr>
              <w:pStyle w:val="Compact"/>
              <w:jc w:val="right"/>
            </w:pPr>
            <w:r>
              <w:t>997</w:t>
            </w:r>
          </w:p>
        </w:tc>
        <w:tc>
          <w:tcPr>
            <w:tcW w:w="1378" w:type="dxa"/>
          </w:tcPr>
          <w:p w14:paraId="11A065D6" w14:textId="77777777" w:rsidR="00391E92" w:rsidRDefault="00837F5F">
            <w:pPr>
              <w:pStyle w:val="Compact"/>
              <w:jc w:val="right"/>
            </w:pPr>
            <w:r>
              <w:t>5.002</w:t>
            </w:r>
          </w:p>
        </w:tc>
      </w:tr>
      <w:tr w:rsidR="00391E92" w14:paraId="11A065DF" w14:textId="77777777" w:rsidTr="00391E92">
        <w:trPr>
          <w:cantSplit/>
        </w:trPr>
        <w:tc>
          <w:tcPr>
            <w:tcW w:w="1033" w:type="dxa"/>
            <w:shd w:val="clear" w:color="auto" w:fill="F3F6FA"/>
          </w:tcPr>
          <w:p w14:paraId="11A065D8" w14:textId="77777777" w:rsidR="00391E92" w:rsidRDefault="00837F5F">
            <w:pPr>
              <w:pStyle w:val="Compact"/>
              <w:jc w:val="right"/>
            </w:pPr>
            <w:r>
              <w:t>3.120</w:t>
            </w:r>
          </w:p>
        </w:tc>
        <w:tc>
          <w:tcPr>
            <w:tcW w:w="1723" w:type="dxa"/>
            <w:shd w:val="clear" w:color="auto" w:fill="F3F6FA"/>
          </w:tcPr>
          <w:p w14:paraId="11A065D9" w14:textId="77777777" w:rsidR="00391E92" w:rsidRDefault="00837F5F">
            <w:pPr>
              <w:pStyle w:val="Compact"/>
              <w:jc w:val="right"/>
            </w:pPr>
            <w:r>
              <w:t>26.184.340</w:t>
            </w:r>
          </w:p>
        </w:tc>
        <w:tc>
          <w:tcPr>
            <w:tcW w:w="1378" w:type="dxa"/>
            <w:shd w:val="clear" w:color="auto" w:fill="F3F6FA"/>
          </w:tcPr>
          <w:p w14:paraId="11A065DA" w14:textId="77777777" w:rsidR="00391E92" w:rsidRDefault="00837F5F">
            <w:pPr>
              <w:pStyle w:val="Compact"/>
              <w:jc w:val="right"/>
            </w:pPr>
            <w:r>
              <w:t>60,15 %</w:t>
            </w:r>
          </w:p>
        </w:tc>
        <w:tc>
          <w:tcPr>
            <w:tcW w:w="1378" w:type="dxa"/>
            <w:shd w:val="clear" w:color="auto" w:fill="F3F6FA"/>
          </w:tcPr>
          <w:p w14:paraId="11A065DB" w14:textId="77777777" w:rsidR="00391E92" w:rsidRDefault="00837F5F">
            <w:pPr>
              <w:pStyle w:val="Compact"/>
              <w:jc w:val="right"/>
            </w:pPr>
            <w:r>
              <w:t>2.591</w:t>
            </w:r>
          </w:p>
        </w:tc>
        <w:tc>
          <w:tcPr>
            <w:tcW w:w="1378" w:type="dxa"/>
            <w:shd w:val="clear" w:color="auto" w:fill="F3F6FA"/>
          </w:tcPr>
          <w:p w14:paraId="11A065DC" w14:textId="77777777" w:rsidR="00391E92" w:rsidRDefault="00837F5F">
            <w:pPr>
              <w:pStyle w:val="Compact"/>
              <w:jc w:val="right"/>
            </w:pPr>
            <w:r>
              <w:t>3.295</w:t>
            </w:r>
          </w:p>
        </w:tc>
        <w:tc>
          <w:tcPr>
            <w:tcW w:w="1378" w:type="dxa"/>
            <w:shd w:val="clear" w:color="auto" w:fill="F3F6FA"/>
          </w:tcPr>
          <w:p w14:paraId="11A065DD" w14:textId="77777777" w:rsidR="00391E92" w:rsidRDefault="00837F5F">
            <w:pPr>
              <w:pStyle w:val="Compact"/>
              <w:jc w:val="right"/>
            </w:pPr>
            <w:r>
              <w:t>1.304</w:t>
            </w:r>
          </w:p>
        </w:tc>
        <w:tc>
          <w:tcPr>
            <w:tcW w:w="1378" w:type="dxa"/>
            <w:shd w:val="clear" w:color="auto" w:fill="F3F6FA"/>
          </w:tcPr>
          <w:p w14:paraId="11A065DE" w14:textId="77777777" w:rsidR="00391E92" w:rsidRDefault="00837F5F">
            <w:pPr>
              <w:pStyle w:val="Compact"/>
              <w:jc w:val="right"/>
            </w:pPr>
            <w:r>
              <w:t>4.402</w:t>
            </w:r>
          </w:p>
        </w:tc>
      </w:tr>
      <w:tr w:rsidR="00391E92" w14:paraId="11A065E7" w14:textId="77777777" w:rsidTr="00391E92">
        <w:trPr>
          <w:cantSplit/>
        </w:trPr>
        <w:tc>
          <w:tcPr>
            <w:tcW w:w="1033" w:type="dxa"/>
          </w:tcPr>
          <w:p w14:paraId="11A065E0" w14:textId="77777777" w:rsidR="00391E92" w:rsidRDefault="00837F5F">
            <w:pPr>
              <w:pStyle w:val="Compact"/>
              <w:jc w:val="right"/>
            </w:pPr>
            <w:r>
              <w:t>4.120</w:t>
            </w:r>
          </w:p>
        </w:tc>
        <w:tc>
          <w:tcPr>
            <w:tcW w:w="1723" w:type="dxa"/>
          </w:tcPr>
          <w:p w14:paraId="11A065E1" w14:textId="77777777" w:rsidR="00391E92" w:rsidRDefault="00837F5F">
            <w:pPr>
              <w:pStyle w:val="Compact"/>
              <w:jc w:val="right"/>
            </w:pPr>
            <w:r>
              <w:t>21.783.274</w:t>
            </w:r>
          </w:p>
        </w:tc>
        <w:tc>
          <w:tcPr>
            <w:tcW w:w="1378" w:type="dxa"/>
          </w:tcPr>
          <w:p w14:paraId="11A065E2" w14:textId="77777777" w:rsidR="00391E92" w:rsidRDefault="00837F5F">
            <w:pPr>
              <w:pStyle w:val="Compact"/>
              <w:jc w:val="right"/>
            </w:pPr>
            <w:r>
              <w:t>50,04 %</w:t>
            </w:r>
          </w:p>
        </w:tc>
        <w:tc>
          <w:tcPr>
            <w:tcW w:w="1378" w:type="dxa"/>
          </w:tcPr>
          <w:p w14:paraId="11A065E3" w14:textId="77777777" w:rsidR="00391E92" w:rsidRDefault="00837F5F">
            <w:pPr>
              <w:pStyle w:val="Compact"/>
              <w:jc w:val="right"/>
            </w:pPr>
            <w:r>
              <w:t>2.151</w:t>
            </w:r>
          </w:p>
        </w:tc>
        <w:tc>
          <w:tcPr>
            <w:tcW w:w="1378" w:type="dxa"/>
          </w:tcPr>
          <w:p w14:paraId="11A065E4" w14:textId="77777777" w:rsidR="00391E92" w:rsidRDefault="00837F5F">
            <w:pPr>
              <w:pStyle w:val="Compact"/>
              <w:jc w:val="right"/>
            </w:pPr>
            <w:r>
              <w:t>3.759</w:t>
            </w:r>
          </w:p>
        </w:tc>
        <w:tc>
          <w:tcPr>
            <w:tcW w:w="1378" w:type="dxa"/>
          </w:tcPr>
          <w:p w14:paraId="11A065E5" w14:textId="77777777" w:rsidR="00391E92" w:rsidRDefault="00837F5F">
            <w:pPr>
              <w:pStyle w:val="Compact"/>
              <w:jc w:val="right"/>
            </w:pPr>
            <w:r>
              <w:t>1.381</w:t>
            </w:r>
          </w:p>
        </w:tc>
        <w:tc>
          <w:tcPr>
            <w:tcW w:w="1378" w:type="dxa"/>
          </w:tcPr>
          <w:p w14:paraId="11A065E6" w14:textId="77777777" w:rsidR="00391E92" w:rsidRDefault="00837F5F">
            <w:pPr>
              <w:pStyle w:val="Compact"/>
              <w:jc w:val="right"/>
            </w:pPr>
            <w:r>
              <w:t>4.401</w:t>
            </w:r>
          </w:p>
        </w:tc>
      </w:tr>
      <w:tr w:rsidR="00391E92" w14:paraId="11A065EF" w14:textId="77777777" w:rsidTr="00391E92">
        <w:trPr>
          <w:cantSplit/>
        </w:trPr>
        <w:tc>
          <w:tcPr>
            <w:tcW w:w="1033" w:type="dxa"/>
            <w:shd w:val="clear" w:color="auto" w:fill="F3F6FA"/>
          </w:tcPr>
          <w:p w14:paraId="11A065E8" w14:textId="77777777" w:rsidR="00391E92" w:rsidRDefault="00837F5F">
            <w:pPr>
              <w:pStyle w:val="Compact"/>
              <w:jc w:val="right"/>
            </w:pPr>
            <w:r>
              <w:t>4.127,8</w:t>
            </w:r>
          </w:p>
        </w:tc>
        <w:tc>
          <w:tcPr>
            <w:tcW w:w="1723" w:type="dxa"/>
            <w:shd w:val="clear" w:color="auto" w:fill="F3F6FA"/>
          </w:tcPr>
          <w:p w14:paraId="11A065E9" w14:textId="77777777" w:rsidR="00391E92" w:rsidRDefault="00837F5F">
            <w:pPr>
              <w:pStyle w:val="Compact"/>
              <w:jc w:val="right"/>
            </w:pPr>
            <w:r>
              <w:t>21.748.892</w:t>
            </w:r>
          </w:p>
        </w:tc>
        <w:tc>
          <w:tcPr>
            <w:tcW w:w="1378" w:type="dxa"/>
            <w:shd w:val="clear" w:color="auto" w:fill="F3F6FA"/>
          </w:tcPr>
          <w:p w14:paraId="11A065EA" w14:textId="77777777" w:rsidR="00391E92" w:rsidRDefault="00837F5F">
            <w:pPr>
              <w:pStyle w:val="Compact"/>
              <w:jc w:val="right"/>
            </w:pPr>
            <w:r>
              <w:t>49,96 %</w:t>
            </w:r>
          </w:p>
        </w:tc>
        <w:tc>
          <w:tcPr>
            <w:tcW w:w="1378" w:type="dxa"/>
            <w:shd w:val="clear" w:color="auto" w:fill="F3F6FA"/>
          </w:tcPr>
          <w:p w14:paraId="11A065EB" w14:textId="77777777" w:rsidR="00391E92" w:rsidRDefault="00837F5F">
            <w:pPr>
              <w:pStyle w:val="Compact"/>
              <w:jc w:val="right"/>
            </w:pPr>
            <w:r>
              <w:t>2.148</w:t>
            </w:r>
          </w:p>
        </w:tc>
        <w:tc>
          <w:tcPr>
            <w:tcW w:w="1378" w:type="dxa"/>
            <w:shd w:val="clear" w:color="auto" w:fill="F3F6FA"/>
          </w:tcPr>
          <w:p w14:paraId="11A065EC" w14:textId="77777777" w:rsidR="00391E92" w:rsidRDefault="00837F5F">
            <w:pPr>
              <w:pStyle w:val="Compact"/>
              <w:jc w:val="right"/>
            </w:pPr>
            <w:r>
              <w:t>3.763</w:t>
            </w:r>
          </w:p>
        </w:tc>
        <w:tc>
          <w:tcPr>
            <w:tcW w:w="1378" w:type="dxa"/>
            <w:shd w:val="clear" w:color="auto" w:fill="F3F6FA"/>
          </w:tcPr>
          <w:p w14:paraId="11A065ED" w14:textId="77777777" w:rsidR="00391E92" w:rsidRDefault="00837F5F">
            <w:pPr>
              <w:pStyle w:val="Compact"/>
              <w:jc w:val="right"/>
            </w:pPr>
            <w:r>
              <w:t>1.382</w:t>
            </w:r>
          </w:p>
        </w:tc>
        <w:tc>
          <w:tcPr>
            <w:tcW w:w="1378" w:type="dxa"/>
            <w:shd w:val="clear" w:color="auto" w:fill="F3F6FA"/>
          </w:tcPr>
          <w:p w14:paraId="11A065EE" w14:textId="77777777" w:rsidR="00391E92" w:rsidRDefault="00837F5F">
            <w:pPr>
              <w:pStyle w:val="Compact"/>
              <w:jc w:val="right"/>
            </w:pPr>
            <w:r>
              <w:t>4.401</w:t>
            </w:r>
          </w:p>
        </w:tc>
      </w:tr>
      <w:tr w:rsidR="00391E92" w14:paraId="11A065F7" w14:textId="77777777" w:rsidTr="00391E92">
        <w:trPr>
          <w:cantSplit/>
        </w:trPr>
        <w:tc>
          <w:tcPr>
            <w:tcW w:w="1033" w:type="dxa"/>
          </w:tcPr>
          <w:p w14:paraId="11A065F0" w14:textId="77777777" w:rsidR="00391E92" w:rsidRDefault="00837F5F">
            <w:pPr>
              <w:pStyle w:val="Compact"/>
              <w:jc w:val="right"/>
            </w:pPr>
            <w:r>
              <w:lastRenderedPageBreak/>
              <w:t>4.370</w:t>
            </w:r>
          </w:p>
        </w:tc>
        <w:tc>
          <w:tcPr>
            <w:tcW w:w="1723" w:type="dxa"/>
          </w:tcPr>
          <w:p w14:paraId="11A065F1" w14:textId="77777777" w:rsidR="00391E92" w:rsidRDefault="00837F5F">
            <w:pPr>
              <w:pStyle w:val="Compact"/>
              <w:jc w:val="right"/>
            </w:pPr>
            <w:r>
              <w:t>20.681.944</w:t>
            </w:r>
          </w:p>
        </w:tc>
        <w:tc>
          <w:tcPr>
            <w:tcW w:w="1378" w:type="dxa"/>
          </w:tcPr>
          <w:p w14:paraId="11A065F2" w14:textId="77777777" w:rsidR="00391E92" w:rsidRDefault="00837F5F">
            <w:pPr>
              <w:pStyle w:val="Compact"/>
              <w:jc w:val="right"/>
            </w:pPr>
            <w:r>
              <w:t>47,51 %</w:t>
            </w:r>
          </w:p>
        </w:tc>
        <w:tc>
          <w:tcPr>
            <w:tcW w:w="1378" w:type="dxa"/>
          </w:tcPr>
          <w:p w14:paraId="11A065F3" w14:textId="77777777" w:rsidR="00391E92" w:rsidRDefault="00837F5F">
            <w:pPr>
              <w:pStyle w:val="Compact"/>
              <w:jc w:val="right"/>
            </w:pPr>
            <w:r>
              <w:t>2.041</w:t>
            </w:r>
          </w:p>
        </w:tc>
        <w:tc>
          <w:tcPr>
            <w:tcW w:w="1378" w:type="dxa"/>
          </w:tcPr>
          <w:p w14:paraId="11A065F4" w14:textId="77777777" w:rsidR="00391E92" w:rsidRDefault="00837F5F">
            <w:pPr>
              <w:pStyle w:val="Compact"/>
              <w:jc w:val="right"/>
            </w:pPr>
            <w:r>
              <w:t>3.900</w:t>
            </w:r>
          </w:p>
        </w:tc>
        <w:tc>
          <w:tcPr>
            <w:tcW w:w="1378" w:type="dxa"/>
          </w:tcPr>
          <w:p w14:paraId="11A065F5" w14:textId="77777777" w:rsidR="00391E92" w:rsidRDefault="00837F5F">
            <w:pPr>
              <w:pStyle w:val="Compact"/>
              <w:jc w:val="right"/>
            </w:pPr>
            <w:r>
              <w:t>1.425</w:t>
            </w:r>
          </w:p>
        </w:tc>
        <w:tc>
          <w:tcPr>
            <w:tcW w:w="1378" w:type="dxa"/>
          </w:tcPr>
          <w:p w14:paraId="11A065F6" w14:textId="77777777" w:rsidR="00391E92" w:rsidRDefault="00837F5F">
            <w:pPr>
              <w:pStyle w:val="Compact"/>
              <w:jc w:val="right"/>
            </w:pPr>
            <w:r>
              <w:t>4.401</w:t>
            </w:r>
          </w:p>
        </w:tc>
      </w:tr>
    </w:tbl>
    <w:p w14:paraId="11A065F8" w14:textId="77777777" w:rsidR="00391E92" w:rsidRDefault="00837F5F">
      <w:pPr>
        <w:pStyle w:val="Textoindependiente"/>
        <w:spacing w:before="160"/>
      </w:pPr>
      <w:r>
        <w:t>La pendiente de la última columna es el ahorro de FO por cada MWh instalado respecto del punto anterior de la tabla completa del barrido.</w:t>
      </w:r>
    </w:p>
    <w:p w14:paraId="11A065F9" w14:textId="77777777" w:rsidR="00391E92" w:rsidRDefault="00837F5F">
      <w:pPr>
        <w:pStyle w:val="Ttulo2"/>
      </w:pPr>
      <w:bookmarkStart w:id="3" w:name="resultado"/>
      <w:r>
        <w:t>3.1 Resultado</w:t>
      </w:r>
    </w:p>
    <w:p w14:paraId="11A065FA" w14:textId="77777777" w:rsidR="00391E92" w:rsidRDefault="00837F5F">
      <w:pPr>
        <w:pStyle w:val="FirstParagraph"/>
      </w:pPr>
      <w:r>
        <w:t xml:space="preserve">La capacidad que lleva la FO a la mitad es </w:t>
      </w:r>
      <w:r>
        <w:rPr>
          <w:b/>
          <w:bCs/>
        </w:rPr>
        <w:t>4.127,8 MWh</w:t>
      </w:r>
      <w:r>
        <w:t xml:space="preserve"> (FO = $21.748.892, 49,96 % de la base). Es la menor capacidad evaluada que cumple el objetivo; el punto inmediatamente anterior (4.120 MWh) queda en 50,04 %.</w:t>
      </w:r>
    </w:p>
    <w:p w14:paraId="11A065FB" w14:textId="77777777" w:rsidR="00391E92" w:rsidRDefault="00837F5F">
      <w:pPr>
        <w:pStyle w:val="Ttulo2"/>
      </w:pPr>
      <w:bookmarkStart w:id="4" w:name="comportamiento-observado-y-por-qué"/>
      <w:bookmarkEnd w:id="3"/>
      <w:r>
        <w:t>3.2 Comportamiento observado y por qué</w:t>
      </w:r>
    </w:p>
    <w:p w14:paraId="11A065FC" w14:textId="77777777" w:rsidR="00391E92" w:rsidRDefault="00837F5F">
      <w:pPr>
        <w:pStyle w:val="FirstParagraph"/>
      </w:pPr>
      <w:r>
        <w:rPr>
          <w:b/>
          <w:bCs/>
        </w:rPr>
        <w:t>La FO es, en la práctica, el vertimiento eólico.</w:t>
      </w:r>
      <w:r>
        <w:t xml:space="preserve"> La penalización por vertimiento ($10.000 por MWh) pesa mucho más que cualquier costo térmico. Esto determina todo lo demás:</w:t>
      </w:r>
    </w:p>
    <w:tbl>
      <w:tblPr>
        <w:tblStyle w:val="Table"/>
        <w:tblW w:w="96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020" w:firstRow="1" w:lastRow="0" w:firstColumn="0" w:lastColumn="0" w:noHBand="0" w:noVBand="0"/>
      </w:tblPr>
      <w:tblGrid>
        <w:gridCol w:w="2412"/>
        <w:gridCol w:w="2412"/>
        <w:gridCol w:w="2412"/>
        <w:gridCol w:w="2412"/>
      </w:tblGrid>
      <w:tr w:rsidR="00391E92" w14:paraId="11A06601" w14:textId="77777777" w:rsidTr="00391E92">
        <w:trPr>
          <w:cnfStyle w:val="100000000000" w:firstRow="1" w:lastRow="0" w:firstColumn="0" w:lastColumn="0" w:oddVBand="0" w:evenVBand="0" w:oddHBand="0" w:evenHBand="0" w:firstRowFirstColumn="0" w:firstRowLastColumn="0" w:lastRowFirstColumn="0" w:lastRowLastColumn="0"/>
          <w:tblHeader/>
        </w:trPr>
        <w:tc>
          <w:tcPr>
            <w:tcW w:w="2412" w:type="dxa"/>
            <w:shd w:val="clear" w:color="auto" w:fill="1F4E79"/>
          </w:tcPr>
          <w:p w14:paraId="11A065FD" w14:textId="77777777" w:rsidR="00391E92" w:rsidRDefault="00837F5F">
            <w:pPr>
              <w:pStyle w:val="Compact"/>
            </w:pPr>
            <w:r>
              <w:rPr>
                <w:b/>
                <w:color w:val="FFFFFF"/>
              </w:rPr>
              <w:t>Concepto</w:t>
            </w:r>
          </w:p>
        </w:tc>
        <w:tc>
          <w:tcPr>
            <w:tcW w:w="2412" w:type="dxa"/>
            <w:shd w:val="clear" w:color="auto" w:fill="1F4E79"/>
          </w:tcPr>
          <w:p w14:paraId="11A065FE" w14:textId="77777777" w:rsidR="00391E92" w:rsidRDefault="00837F5F">
            <w:pPr>
              <w:pStyle w:val="Compact"/>
              <w:jc w:val="right"/>
            </w:pPr>
            <w:r>
              <w:rPr>
                <w:b/>
                <w:color w:val="FFFFFF"/>
              </w:rPr>
              <w:t>Sin baterías</w:t>
            </w:r>
          </w:p>
        </w:tc>
        <w:tc>
          <w:tcPr>
            <w:tcW w:w="2412" w:type="dxa"/>
            <w:shd w:val="clear" w:color="auto" w:fill="1F4E79"/>
          </w:tcPr>
          <w:p w14:paraId="11A065FF" w14:textId="77777777" w:rsidR="00391E92" w:rsidRDefault="00837F5F">
            <w:pPr>
              <w:pStyle w:val="Compact"/>
              <w:jc w:val="right"/>
            </w:pPr>
            <w:r>
              <w:rPr>
                <w:b/>
                <w:color w:val="FFFFFF"/>
              </w:rPr>
              <w:t>C₀ = 1.120 MWh</w:t>
            </w:r>
          </w:p>
        </w:tc>
        <w:tc>
          <w:tcPr>
            <w:tcW w:w="2412" w:type="dxa"/>
            <w:shd w:val="clear" w:color="auto" w:fill="1F4E79"/>
          </w:tcPr>
          <w:p w14:paraId="11A06600" w14:textId="77777777" w:rsidR="00391E92" w:rsidRDefault="00837F5F">
            <w:pPr>
              <w:pStyle w:val="Compact"/>
              <w:jc w:val="right"/>
            </w:pPr>
            <w:r>
              <w:rPr>
                <w:b/>
                <w:color w:val="FFFFFF"/>
              </w:rPr>
              <w:t>4.127,8 MWh</w:t>
            </w:r>
          </w:p>
        </w:tc>
      </w:tr>
      <w:tr w:rsidR="00391E92" w14:paraId="11A06606" w14:textId="77777777" w:rsidTr="00391E92">
        <w:trPr>
          <w:cantSplit/>
        </w:trPr>
        <w:tc>
          <w:tcPr>
            <w:tcW w:w="2412" w:type="dxa"/>
          </w:tcPr>
          <w:p w14:paraId="11A06602" w14:textId="77777777" w:rsidR="00391E92" w:rsidRDefault="00837F5F">
            <w:pPr>
              <w:pStyle w:val="Compact"/>
            </w:pPr>
            <w:r>
              <w:t>Costo térmico [$]</w:t>
            </w:r>
          </w:p>
        </w:tc>
        <w:tc>
          <w:tcPr>
            <w:tcW w:w="2412" w:type="dxa"/>
          </w:tcPr>
          <w:p w14:paraId="11A06603" w14:textId="77777777" w:rsidR="00391E92" w:rsidRDefault="00837F5F">
            <w:pPr>
              <w:pStyle w:val="Compact"/>
              <w:jc w:val="right"/>
            </w:pPr>
            <w:r>
              <w:t>286.928</w:t>
            </w:r>
          </w:p>
        </w:tc>
        <w:tc>
          <w:tcPr>
            <w:tcW w:w="2412" w:type="dxa"/>
          </w:tcPr>
          <w:p w14:paraId="11A06604" w14:textId="77777777" w:rsidR="00391E92" w:rsidRDefault="00837F5F">
            <w:pPr>
              <w:pStyle w:val="Compact"/>
              <w:jc w:val="right"/>
            </w:pPr>
            <w:r>
              <w:t>280.490</w:t>
            </w:r>
          </w:p>
        </w:tc>
        <w:tc>
          <w:tcPr>
            <w:tcW w:w="2412" w:type="dxa"/>
          </w:tcPr>
          <w:p w14:paraId="11A06605" w14:textId="77777777" w:rsidR="00391E92" w:rsidRDefault="00837F5F">
            <w:pPr>
              <w:pStyle w:val="Compact"/>
              <w:jc w:val="right"/>
            </w:pPr>
            <w:r>
              <w:t>272.876</w:t>
            </w:r>
          </w:p>
        </w:tc>
      </w:tr>
      <w:tr w:rsidR="00391E92" w14:paraId="11A0660B" w14:textId="77777777" w:rsidTr="00391E92">
        <w:trPr>
          <w:cantSplit/>
        </w:trPr>
        <w:tc>
          <w:tcPr>
            <w:tcW w:w="2412" w:type="dxa"/>
            <w:shd w:val="clear" w:color="auto" w:fill="F3F6FA"/>
          </w:tcPr>
          <w:p w14:paraId="11A06607" w14:textId="77777777" w:rsidR="00391E92" w:rsidRDefault="00837F5F">
            <w:pPr>
              <w:pStyle w:val="Compact"/>
            </w:pPr>
            <w:r>
              <w:t>Penalización por vertimiento [$]</w:t>
            </w:r>
          </w:p>
        </w:tc>
        <w:tc>
          <w:tcPr>
            <w:tcW w:w="2412" w:type="dxa"/>
            <w:shd w:val="clear" w:color="auto" w:fill="F3F6FA"/>
          </w:tcPr>
          <w:p w14:paraId="11A06608" w14:textId="77777777" w:rsidR="00391E92" w:rsidRDefault="00837F5F">
            <w:pPr>
              <w:pStyle w:val="Compact"/>
              <w:jc w:val="right"/>
            </w:pPr>
            <w:r>
              <w:t>43.244.878</w:t>
            </w:r>
          </w:p>
        </w:tc>
        <w:tc>
          <w:tcPr>
            <w:tcW w:w="2412" w:type="dxa"/>
            <w:shd w:val="clear" w:color="auto" w:fill="F3F6FA"/>
          </w:tcPr>
          <w:p w14:paraId="11A06609" w14:textId="77777777" w:rsidR="00391E92" w:rsidRDefault="00837F5F">
            <w:pPr>
              <w:pStyle w:val="Compact"/>
              <w:jc w:val="right"/>
            </w:pPr>
            <w:r>
              <w:t>35.852.878</w:t>
            </w:r>
          </w:p>
        </w:tc>
        <w:tc>
          <w:tcPr>
            <w:tcW w:w="2412" w:type="dxa"/>
            <w:shd w:val="clear" w:color="auto" w:fill="F3F6FA"/>
          </w:tcPr>
          <w:p w14:paraId="11A0660A" w14:textId="77777777" w:rsidR="00391E92" w:rsidRDefault="00837F5F">
            <w:pPr>
              <w:pStyle w:val="Compact"/>
              <w:jc w:val="right"/>
            </w:pPr>
            <w:r>
              <w:t>21.476.016</w:t>
            </w:r>
          </w:p>
        </w:tc>
      </w:tr>
      <w:tr w:rsidR="00391E92" w14:paraId="11A06610" w14:textId="77777777" w:rsidTr="00391E92">
        <w:trPr>
          <w:cantSplit/>
        </w:trPr>
        <w:tc>
          <w:tcPr>
            <w:tcW w:w="2412" w:type="dxa"/>
          </w:tcPr>
          <w:p w14:paraId="11A0660C" w14:textId="77777777" w:rsidR="00391E92" w:rsidRDefault="00837F5F">
            <w:pPr>
              <w:pStyle w:val="Compact"/>
            </w:pPr>
            <w:r>
              <w:rPr>
                <w:b/>
                <w:bCs/>
              </w:rPr>
              <w:t>FO total [$]</w:t>
            </w:r>
          </w:p>
        </w:tc>
        <w:tc>
          <w:tcPr>
            <w:tcW w:w="2412" w:type="dxa"/>
          </w:tcPr>
          <w:p w14:paraId="11A0660D" w14:textId="77777777" w:rsidR="00391E92" w:rsidRDefault="00837F5F">
            <w:pPr>
              <w:pStyle w:val="Compact"/>
              <w:jc w:val="right"/>
            </w:pPr>
            <w:r>
              <w:rPr>
                <w:b/>
                <w:bCs/>
              </w:rPr>
              <w:t>43.531.806</w:t>
            </w:r>
          </w:p>
        </w:tc>
        <w:tc>
          <w:tcPr>
            <w:tcW w:w="2412" w:type="dxa"/>
          </w:tcPr>
          <w:p w14:paraId="11A0660E" w14:textId="77777777" w:rsidR="00391E92" w:rsidRDefault="00837F5F">
            <w:pPr>
              <w:pStyle w:val="Compact"/>
              <w:jc w:val="right"/>
            </w:pPr>
            <w:r>
              <w:rPr>
                <w:b/>
                <w:bCs/>
              </w:rPr>
              <w:t>36.133.368</w:t>
            </w:r>
          </w:p>
        </w:tc>
        <w:tc>
          <w:tcPr>
            <w:tcW w:w="2412" w:type="dxa"/>
          </w:tcPr>
          <w:p w14:paraId="11A0660F" w14:textId="77777777" w:rsidR="00391E92" w:rsidRDefault="00837F5F">
            <w:pPr>
              <w:pStyle w:val="Compact"/>
              <w:jc w:val="right"/>
            </w:pPr>
            <w:r>
              <w:rPr>
                <w:b/>
                <w:bCs/>
              </w:rPr>
              <w:t>21.748.892</w:t>
            </w:r>
          </w:p>
        </w:tc>
      </w:tr>
      <w:tr w:rsidR="00391E92" w14:paraId="11A06615" w14:textId="77777777" w:rsidTr="00391E92">
        <w:trPr>
          <w:cantSplit/>
        </w:trPr>
        <w:tc>
          <w:tcPr>
            <w:tcW w:w="2412" w:type="dxa"/>
            <w:shd w:val="clear" w:color="auto" w:fill="F3F6FA"/>
          </w:tcPr>
          <w:p w14:paraId="11A06611" w14:textId="77777777" w:rsidR="00391E92" w:rsidRDefault="00837F5F">
            <w:pPr>
              <w:pStyle w:val="Compact"/>
            </w:pPr>
            <w:r>
              <w:t>Penalización / FO</w:t>
            </w:r>
          </w:p>
        </w:tc>
        <w:tc>
          <w:tcPr>
            <w:tcW w:w="2412" w:type="dxa"/>
            <w:shd w:val="clear" w:color="auto" w:fill="F3F6FA"/>
          </w:tcPr>
          <w:p w14:paraId="11A06612" w14:textId="77777777" w:rsidR="00391E92" w:rsidRDefault="00837F5F">
            <w:pPr>
              <w:pStyle w:val="Compact"/>
              <w:jc w:val="right"/>
            </w:pPr>
            <w:r>
              <w:t>99,3 %</w:t>
            </w:r>
          </w:p>
        </w:tc>
        <w:tc>
          <w:tcPr>
            <w:tcW w:w="2412" w:type="dxa"/>
            <w:shd w:val="clear" w:color="auto" w:fill="F3F6FA"/>
          </w:tcPr>
          <w:p w14:paraId="11A06613" w14:textId="77777777" w:rsidR="00391E92" w:rsidRDefault="00837F5F">
            <w:pPr>
              <w:pStyle w:val="Compact"/>
              <w:jc w:val="right"/>
            </w:pPr>
            <w:r>
              <w:t>99,2 %</w:t>
            </w:r>
          </w:p>
        </w:tc>
        <w:tc>
          <w:tcPr>
            <w:tcW w:w="2412" w:type="dxa"/>
            <w:shd w:val="clear" w:color="auto" w:fill="F3F6FA"/>
          </w:tcPr>
          <w:p w14:paraId="11A06614" w14:textId="77777777" w:rsidR="00391E92" w:rsidRDefault="00837F5F">
            <w:pPr>
              <w:pStyle w:val="Compact"/>
              <w:jc w:val="right"/>
            </w:pPr>
            <w:r>
              <w:t>98,7 %</w:t>
            </w:r>
          </w:p>
        </w:tc>
      </w:tr>
    </w:tbl>
    <w:p w14:paraId="11A06616" w14:textId="77777777" w:rsidR="00391E92" w:rsidRDefault="00837F5F">
      <w:pPr>
        <w:pStyle w:val="Textoindependiente"/>
        <w:spacing w:before="160"/>
      </w:pPr>
      <w:r>
        <w:t>De la reducción total de la FO ($21.782.913), el 99,94 % es penalización que deja de pagarse y solo el 0,06 % es ahorro térmico.</w:t>
      </w:r>
    </w:p>
    <w:p w14:paraId="11A06617" w14:textId="77777777" w:rsidR="00391E92" w:rsidRDefault="00837F5F">
      <w:pPr>
        <w:pStyle w:val="Textoindependiente"/>
      </w:pPr>
      <w:r>
        <w:rPr>
          <w:b/>
          <w:bCs/>
        </w:rPr>
        <w:t>La curva baja casi en línea recta, con pendiente decreciente por escalones.</w:t>
      </w:r>
      <w:r>
        <w:t xml:space="preserve"> El ahorro por MWh instalado pasa de ≈ $6.606 en el primer tramo a ≈ $4.401 y se mantiene en ese valor desde ≈ 2.400 MWh hasta el final del barrido. La razón es que, en la mayor parte del rango, </w:t>
      </w:r>
      <w:r>
        <w:rPr>
          <w:b/>
          <w:bCs/>
        </w:rPr>
        <w:t>la limitación de las baterías es de potencia y no de energía</w:t>
      </w:r>
      <w:r>
        <w:t>:</w:t>
      </w:r>
    </w:p>
    <w:p w14:paraId="11A06618" w14:textId="77777777" w:rsidR="00391E92" w:rsidRDefault="00837F5F">
      <w:pPr>
        <w:pStyle w:val="Compact"/>
        <w:numPr>
          <w:ilvl w:val="0"/>
          <w:numId w:val="3"/>
        </w:numPr>
        <w:spacing w:after="60"/>
      </w:pPr>
      <w:r>
        <w:rPr>
          <w:sz w:val="21"/>
        </w:rPr>
        <w:t xml:space="preserve">Cada MWh instalado agrega 0,11 MW de potencia de carga. En una hora en la que hay vertimiento y las baterías cargan a su potencia máxima, ese MW extra evita 0,11 MWh de vertimiento, es decir 0,11 × $10.000 = </w:t>
      </w:r>
      <w:r>
        <w:rPr>
          <w:b/>
          <w:bCs/>
          <w:sz w:val="21"/>
        </w:rPr>
        <w:t>$1.100 por MWh instalado y por hora</w:t>
      </w:r>
      <w:r>
        <w:rPr>
          <w:sz w:val="21"/>
        </w:rPr>
        <w:t>.</w:t>
      </w:r>
    </w:p>
    <w:p w14:paraId="11A06619" w14:textId="77777777" w:rsidR="00391E92" w:rsidRDefault="00837F5F">
      <w:pPr>
        <w:pStyle w:val="Compact"/>
        <w:numPr>
          <w:ilvl w:val="0"/>
          <w:numId w:val="3"/>
        </w:numPr>
        <w:spacing w:after="60"/>
      </w:pPr>
      <w:r>
        <w:rPr>
          <w:sz w:val="21"/>
        </w:rPr>
        <w:t>Sin baterías hay vertimiento en 6 horas (1, 20, 21, 22, 23, 24). Con la capacidad inicial todas siguen con vertimiento y las baterías cargan a potencia máxima en ellas: 6 horas × $1.100 = $6.600, que coincide con la pendiente del primer tramo (≈ $6.606/MWh).</w:t>
      </w:r>
    </w:p>
    <w:p w14:paraId="11A0661A" w14:textId="77777777" w:rsidR="00391E92" w:rsidRDefault="00837F5F">
      <w:pPr>
        <w:pStyle w:val="Compact"/>
        <w:numPr>
          <w:ilvl w:val="0"/>
          <w:numId w:val="3"/>
        </w:numPr>
        <w:spacing w:after="60"/>
      </w:pPr>
      <w:r>
        <w:rPr>
          <w:sz w:val="21"/>
        </w:rPr>
        <w:t>Al crecer la capacidad, la potencia de carga basta para absorber por completo el vertimiento de las horas 1, 20, que dejan de aportar ahorro adicional. Con la capacidad final solo queda vertimiento en las horas 21–24 y las baterías cargan a su potencia máxima (454,1 MW = 0,11 × 4.127,8) exactamente en esas mismas horas. Quedan 4 horas × $1.100 = $4.400 por MWh, que es la pendiente final ($4.401/MWh).</w:t>
      </w:r>
    </w:p>
    <w:p w14:paraId="11A0661B" w14:textId="77777777" w:rsidR="00391E92" w:rsidRDefault="00837F5F">
      <w:pPr>
        <w:pStyle w:val="Compact"/>
        <w:numPr>
          <w:ilvl w:val="0"/>
          <w:numId w:val="3"/>
        </w:numPr>
        <w:spacing w:after="60"/>
      </w:pPr>
      <w:r>
        <w:rPr>
          <w:sz w:val="21"/>
        </w:rPr>
        <w:t>Hay holgura de energía en casi todo el sistema: con la capacidad final, 9 de las 10 baterías no pasan de 0,76 de su capacidad (SOC máximo) y la energía almacenada al terminar el día es en promedio la mitad de la capacidad (2.057 de 4.128 MWh). La excepción es la batería q7 (SOC máximo 0,99), que sí llega a su límite de energía. Lo que limita al conjunto es la potencia de carga en las horas de excedente.</w:t>
      </w:r>
    </w:p>
    <w:p w14:paraId="11A0661C" w14:textId="77777777" w:rsidR="00391E92" w:rsidRDefault="00837F5F">
      <w:pPr>
        <w:pStyle w:val="FirstParagraph"/>
      </w:pPr>
      <w:r>
        <w:rPr>
          <w:b/>
          <w:bCs/>
        </w:rPr>
        <w:lastRenderedPageBreak/>
        <w:t>Consecuencia.</w:t>
      </w:r>
      <w:r>
        <w:t xml:space="preserve"> Dentro del rango explorado la curva no se aplana: cada MWh adicional sigue ahorrando lo mismo. Dejaría de hacerlo cuando se absorba todo el vertimiento de las horas 21–24 o cuando la energía almacenada llegue al máximo; ese tramo no se exploró porque queda fuera de lo pedido.</w:t>
      </w:r>
    </w:p>
    <w:p w14:paraId="11A0661D" w14:textId="77777777" w:rsidR="00391E92" w:rsidRDefault="00837F5F">
      <w:pPr>
        <w:pStyle w:val="Textoindependiente"/>
      </w:pPr>
      <w:r>
        <w:rPr>
          <w:b/>
          <w:bCs/>
        </w:rPr>
        <w:t>Energía cargada y descargada.</w:t>
      </w:r>
      <w:r>
        <w:t xml:space="preserve"> La energía cargada crece de 1.421 a 3.763 MWh y la descargada de 580 a 1.382 MWh. Se carga más de lo que se descarga porque las baterías terminan el día con más energía que al empezar (2.057 MWh frente a 1.356 MWh) y porque el modelo incluye pérdidas en la carga, en la descarga y en la energía almacenada.</w:t>
      </w:r>
    </w:p>
    <w:p w14:paraId="11A0661E" w14:textId="77777777" w:rsidR="00391E92" w:rsidRDefault="00837F5F">
      <w:pPr>
        <w:pStyle w:val="Ttulo1"/>
      </w:pPr>
      <w:bookmarkStart w:id="5" w:name="X781e84599f6ca68164a42808edb014f54d14cc3"/>
      <w:bookmarkEnd w:id="2"/>
      <w:bookmarkEnd w:id="4"/>
      <w:r>
        <w:t>4. Punto 2.2: demanda original vs demanda con baterías</w:t>
      </w:r>
    </w:p>
    <w:p w14:paraId="11A0661F" w14:textId="77777777" w:rsidR="00391E92" w:rsidRDefault="00837F5F">
      <w:pPr>
        <w:pStyle w:val="CaptionedFigure"/>
      </w:pPr>
      <w:r>
        <w:rPr>
          <w:noProof/>
        </w:rPr>
        <w:drawing>
          <wp:inline distT="0" distB="0" distL="0" distR="0" wp14:anchorId="11A0668C" wp14:editId="11A0668D">
            <wp:extent cx="5394960" cy="4617922"/>
            <wp:effectExtent l="0" t="0" r="0" b="0"/>
            <wp:docPr id="29" name="Picture" descr="Figura 2. Arriba: demanda original y demanda con afectación de las baterías (demanda + carga − descarga). Abajo: potencia de carga y descarga y vertimiento eólico con y sin baterías."/>
            <wp:cNvGraphicFramePr/>
            <a:graphic xmlns:a="http://schemas.openxmlformats.org/drawingml/2006/main">
              <a:graphicData uri="http://schemas.openxmlformats.org/drawingml/2006/picture">
                <pic:pic xmlns:pic="http://schemas.openxmlformats.org/drawingml/2006/picture">
                  <pic:nvPicPr>
                    <pic:cNvPr id="30" name="Picture" descr="results/fig_2_2_demanda_original_vs_con_BESS.png"/>
                    <pic:cNvPicPr>
                      <a:picLocks noChangeAspect="1" noChangeArrowheads="1"/>
                    </pic:cNvPicPr>
                  </pic:nvPicPr>
                  <pic:blipFill>
                    <a:blip r:embed="rId8"/>
                    <a:stretch>
                      <a:fillRect/>
                    </a:stretch>
                  </pic:blipFill>
                  <pic:spPr bwMode="auto">
                    <a:xfrm>
                      <a:off x="0" y="0"/>
                      <a:ext cx="5394960" cy="4617922"/>
                    </a:xfrm>
                    <a:prstGeom prst="rect">
                      <a:avLst/>
                    </a:prstGeom>
                    <a:noFill/>
                    <a:ln w="9525">
                      <a:noFill/>
                      <a:headEnd/>
                      <a:tailEnd/>
                    </a:ln>
                  </pic:spPr>
                </pic:pic>
              </a:graphicData>
            </a:graphic>
          </wp:inline>
        </w:drawing>
      </w:r>
    </w:p>
    <w:p w14:paraId="11A06620" w14:textId="77777777" w:rsidR="00391E92" w:rsidRDefault="00837F5F">
      <w:pPr>
        <w:pStyle w:val="ImageCaption"/>
      </w:pPr>
      <w:r>
        <w:t>Figura 2. Arriba: demanda original y demanda con afectación de las baterías (demanda + carga − descarga). Abajo: potencia de carga y descarga y vertimiento eólico con y sin baterías.</w:t>
      </w:r>
    </w:p>
    <w:p w14:paraId="11A06621" w14:textId="77777777" w:rsidR="00391E92" w:rsidRDefault="00837F5F">
      <w:pPr>
        <w:pStyle w:val="Textoindependiente"/>
      </w:pPr>
      <w:r>
        <w:t>Con 4.127,8 MWh instalados:</w:t>
      </w:r>
    </w:p>
    <w:p w14:paraId="11A06622" w14:textId="77777777" w:rsidR="00391E92" w:rsidRDefault="00837F5F">
      <w:pPr>
        <w:pStyle w:val="Compact"/>
        <w:numPr>
          <w:ilvl w:val="0"/>
          <w:numId w:val="4"/>
        </w:numPr>
        <w:spacing w:after="60"/>
      </w:pPr>
      <w:r>
        <w:rPr>
          <w:b/>
          <w:bCs/>
          <w:sz w:val="21"/>
        </w:rPr>
        <w:t>Carga</w:t>
      </w:r>
      <w:r>
        <w:rPr>
          <w:sz w:val="21"/>
        </w:rPr>
        <w:t xml:space="preserve"> en 21 de las 24 horas. La carga más fuerte es en las horas 21–24 (potencia máxima de 454,1 MW), que es cuando hay más viento que demanda, y en la primera hora (440 MW).</w:t>
      </w:r>
    </w:p>
    <w:p w14:paraId="11A06623" w14:textId="77777777" w:rsidR="00391E92" w:rsidRDefault="00837F5F">
      <w:pPr>
        <w:pStyle w:val="Compact"/>
        <w:numPr>
          <w:ilvl w:val="0"/>
          <w:numId w:val="4"/>
        </w:numPr>
        <w:spacing w:after="60"/>
      </w:pPr>
      <w:r>
        <w:rPr>
          <w:b/>
          <w:bCs/>
          <w:sz w:val="21"/>
        </w:rPr>
        <w:t>Descarga</w:t>
      </w:r>
      <w:r>
        <w:rPr>
          <w:sz w:val="21"/>
        </w:rPr>
        <w:t xml:space="preserve"> en 10 horas, sobre todo en la subida de demanda de la mañana: horas 7 a 10 con 353, 367, 238 y 116 MW.</w:t>
      </w:r>
    </w:p>
    <w:p w14:paraId="11A06624" w14:textId="77777777" w:rsidR="00391E92" w:rsidRDefault="00837F5F">
      <w:pPr>
        <w:pStyle w:val="Compact"/>
        <w:numPr>
          <w:ilvl w:val="0"/>
          <w:numId w:val="4"/>
        </w:numPr>
        <w:spacing w:after="60"/>
      </w:pPr>
      <w:r>
        <w:rPr>
          <w:b/>
          <w:bCs/>
          <w:sz w:val="21"/>
        </w:rPr>
        <w:lastRenderedPageBreak/>
        <w:t>El pico de demanda sube</w:t>
      </w:r>
      <w:r>
        <w:rPr>
          <w:sz w:val="21"/>
        </w:rPr>
        <w:t>, no baja: de 2.513,2 MW (hora 18–19) a 2.741,1 MW (hora 21), un 9,1 % más. Las baterías no están “recortando picos”: su función en este modelo es absorber viento que de otro modo se vertería, y la penalización por vertimiento es mucho mayor que cualquier costo de carga.</w:t>
      </w:r>
    </w:p>
    <w:p w14:paraId="11A06625" w14:textId="77777777" w:rsidR="00391E92" w:rsidRDefault="00837F5F">
      <w:pPr>
        <w:pStyle w:val="Compact"/>
        <w:numPr>
          <w:ilvl w:val="0"/>
          <w:numId w:val="4"/>
        </w:numPr>
        <w:spacing w:after="60"/>
      </w:pPr>
      <w:r>
        <w:rPr>
          <w:b/>
          <w:bCs/>
          <w:sz w:val="21"/>
        </w:rPr>
        <w:t>Vertimiento:</w:t>
      </w:r>
      <w:r>
        <w:rPr>
          <w:sz w:val="21"/>
        </w:rPr>
        <w:t xml:space="preserve"> baja de 4.324 a 2.148 MWh. En las horas 1, 20 desaparece por completo; en las horas 21–24 baja de 3.964 a 2.148 MWh (46 %) y no desaparece porque la potencia de carga ya está al máximo.</w:t>
      </w:r>
    </w:p>
    <w:p w14:paraId="11A06626" w14:textId="77777777" w:rsidR="00391E92" w:rsidRDefault="00837F5F">
      <w:pPr>
        <w:pStyle w:val="Compact"/>
        <w:numPr>
          <w:ilvl w:val="0"/>
          <w:numId w:val="4"/>
        </w:numPr>
        <w:spacing w:after="60"/>
      </w:pPr>
      <w:r>
        <w:rPr>
          <w:b/>
          <w:bCs/>
          <w:sz w:val="21"/>
        </w:rPr>
        <w:t>Energía almacenada:</w:t>
      </w:r>
      <w:r>
        <w:rPr>
          <w:sz w:val="21"/>
        </w:rPr>
        <w:t xml:space="preserve"> empieza el día con 1.356 MWh y termina con 2.057 MWh.</w:t>
      </w:r>
    </w:p>
    <w:p w14:paraId="11A06627" w14:textId="77777777" w:rsidR="00391E92" w:rsidRDefault="00837F5F">
      <w:pPr>
        <w:pStyle w:val="Compact"/>
        <w:numPr>
          <w:ilvl w:val="0"/>
          <w:numId w:val="4"/>
        </w:numPr>
        <w:spacing w:after="60"/>
      </w:pPr>
      <w:r>
        <w:rPr>
          <w:b/>
          <w:bCs/>
          <w:sz w:val="21"/>
        </w:rPr>
        <w:t>Validez:</w:t>
      </w:r>
      <w:r>
        <w:rPr>
          <w:sz w:val="21"/>
        </w:rPr>
        <w:t xml:space="preserve"> ninguna batería carga y descarga en la misma hora (0 casos). Esto importa porque el modelo no tiene una variable binaria que lo impida; si ocurriera, el solver podría “quemar” energía por las pérdidas en lugar de verterla.</w:t>
      </w:r>
    </w:p>
    <w:p w14:paraId="11A06628" w14:textId="77777777" w:rsidR="00391E92" w:rsidRDefault="00837F5F">
      <w:pPr>
        <w:pStyle w:val="Ttulo1"/>
      </w:pPr>
      <w:bookmarkStart w:id="6" w:name="punto-2.3-con-y-sin-red"/>
      <w:bookmarkEnd w:id="5"/>
      <w:r>
        <w:t>5. Punto 2.3: con y sin red</w:t>
      </w:r>
    </w:p>
    <w:p w14:paraId="11A06629" w14:textId="77777777" w:rsidR="00391E92" w:rsidRDefault="00837F5F">
      <w:pPr>
        <w:pStyle w:val="CaptionedFigure"/>
      </w:pPr>
      <w:r>
        <w:rPr>
          <w:noProof/>
        </w:rPr>
        <w:drawing>
          <wp:inline distT="0" distB="0" distL="0" distR="0" wp14:anchorId="11A0668E" wp14:editId="11A0668F">
            <wp:extent cx="5760720" cy="2589681"/>
            <wp:effectExtent l="0" t="0" r="0" b="0"/>
            <wp:docPr id="33" name="Picture" descr="Figura 3. Izquierda: función objetivo con y sin red, sin baterías y con 4.128 MWh. Derecha: carga máxima de las líneas en los casos con red."/>
            <wp:cNvGraphicFramePr/>
            <a:graphic xmlns:a="http://schemas.openxmlformats.org/drawingml/2006/main">
              <a:graphicData uri="http://schemas.openxmlformats.org/drawingml/2006/picture">
                <pic:pic xmlns:pic="http://schemas.openxmlformats.org/drawingml/2006/picture">
                  <pic:nvPicPr>
                    <pic:cNvPr id="34" name="Picture" descr="results/fig_2_3_con_y_sin_red.png"/>
                    <pic:cNvPicPr>
                      <a:picLocks noChangeAspect="1" noChangeArrowheads="1"/>
                    </pic:cNvPicPr>
                  </pic:nvPicPr>
                  <pic:blipFill>
                    <a:blip r:embed="rId9"/>
                    <a:stretch>
                      <a:fillRect/>
                    </a:stretch>
                  </pic:blipFill>
                  <pic:spPr bwMode="auto">
                    <a:xfrm>
                      <a:off x="0" y="0"/>
                      <a:ext cx="5760720" cy="2589681"/>
                    </a:xfrm>
                    <a:prstGeom prst="rect">
                      <a:avLst/>
                    </a:prstGeom>
                    <a:noFill/>
                    <a:ln w="9525">
                      <a:noFill/>
                      <a:headEnd/>
                      <a:tailEnd/>
                    </a:ln>
                  </pic:spPr>
                </pic:pic>
              </a:graphicData>
            </a:graphic>
          </wp:inline>
        </w:drawing>
      </w:r>
    </w:p>
    <w:p w14:paraId="11A0662A" w14:textId="77777777" w:rsidR="00391E92" w:rsidRDefault="00837F5F">
      <w:pPr>
        <w:pStyle w:val="ImageCaption"/>
      </w:pPr>
      <w:r>
        <w:t>Figura 3. Izquierda: función objetivo con y sin red, sin baterías y con 4.128 MWh. Derecha: carga máxima de las líneas en los casos con red.</w:t>
      </w:r>
    </w:p>
    <w:p w14:paraId="11A0662B" w14:textId="77777777" w:rsidR="00391E92" w:rsidRDefault="00837F5F">
      <w:pPr>
        <w:pStyle w:val="TableCaption"/>
      </w:pPr>
      <w:r>
        <w:t>Tabla 2. Función objetivo con y sin red (gap 10⁻⁵).</w:t>
      </w:r>
    </w:p>
    <w:tbl>
      <w:tblPr>
        <w:tblStyle w:val="Table"/>
        <w:tblW w:w="96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020" w:firstRow="1" w:lastRow="0" w:firstColumn="0" w:lastColumn="0" w:noHBand="0" w:noVBand="0"/>
      </w:tblPr>
      <w:tblGrid>
        <w:gridCol w:w="3016"/>
        <w:gridCol w:w="1809"/>
        <w:gridCol w:w="1809"/>
        <w:gridCol w:w="1507"/>
        <w:gridCol w:w="1507"/>
      </w:tblGrid>
      <w:tr w:rsidR="00391E92" w14:paraId="11A06631" w14:textId="77777777" w:rsidTr="00391E92">
        <w:trPr>
          <w:cnfStyle w:val="100000000000" w:firstRow="1" w:lastRow="0" w:firstColumn="0" w:lastColumn="0" w:oddVBand="0" w:evenVBand="0" w:oddHBand="0" w:evenHBand="0" w:firstRowFirstColumn="0" w:firstRowLastColumn="0" w:lastRowFirstColumn="0" w:lastRowLastColumn="0"/>
          <w:tblHeader/>
        </w:trPr>
        <w:tc>
          <w:tcPr>
            <w:tcW w:w="3015" w:type="dxa"/>
            <w:shd w:val="clear" w:color="auto" w:fill="1F4E79"/>
          </w:tcPr>
          <w:p w14:paraId="11A0662C" w14:textId="77777777" w:rsidR="00391E92" w:rsidRDefault="00837F5F">
            <w:pPr>
              <w:pStyle w:val="Compact"/>
            </w:pPr>
            <w:r>
              <w:rPr>
                <w:b/>
                <w:color w:val="FFFFFF"/>
              </w:rPr>
              <w:t>Caso</w:t>
            </w:r>
          </w:p>
        </w:tc>
        <w:tc>
          <w:tcPr>
            <w:tcW w:w="1809" w:type="dxa"/>
            <w:shd w:val="clear" w:color="auto" w:fill="1F4E79"/>
          </w:tcPr>
          <w:p w14:paraId="11A0662D" w14:textId="77777777" w:rsidR="00391E92" w:rsidRDefault="00837F5F">
            <w:pPr>
              <w:pStyle w:val="Compact"/>
              <w:jc w:val="right"/>
            </w:pPr>
            <w:r>
              <w:rPr>
                <w:b/>
                <w:color w:val="FFFFFF"/>
              </w:rPr>
              <w:t>FO [$]</w:t>
            </w:r>
          </w:p>
        </w:tc>
        <w:tc>
          <w:tcPr>
            <w:tcW w:w="1809" w:type="dxa"/>
            <w:shd w:val="clear" w:color="auto" w:fill="1F4E79"/>
          </w:tcPr>
          <w:p w14:paraId="11A0662E" w14:textId="77777777" w:rsidR="00391E92" w:rsidRDefault="00837F5F">
            <w:pPr>
              <w:pStyle w:val="Compact"/>
              <w:jc w:val="right"/>
            </w:pPr>
            <w:r>
              <w:rPr>
                <w:b/>
                <w:color w:val="FFFFFF"/>
              </w:rPr>
              <w:t>Vertimiento [MWh]</w:t>
            </w:r>
          </w:p>
        </w:tc>
        <w:tc>
          <w:tcPr>
            <w:tcW w:w="1507" w:type="dxa"/>
            <w:shd w:val="clear" w:color="auto" w:fill="1F4E79"/>
          </w:tcPr>
          <w:p w14:paraId="11A0662F" w14:textId="77777777" w:rsidR="00391E92" w:rsidRDefault="00837F5F">
            <w:pPr>
              <w:pStyle w:val="Compact"/>
              <w:jc w:val="right"/>
            </w:pPr>
            <w:r>
              <w:rPr>
                <w:b/>
                <w:color w:val="FFFFFF"/>
              </w:rPr>
              <w:t>Carga máx. de línea</w:t>
            </w:r>
          </w:p>
        </w:tc>
        <w:tc>
          <w:tcPr>
            <w:tcW w:w="1507" w:type="dxa"/>
            <w:shd w:val="clear" w:color="auto" w:fill="1F4E79"/>
          </w:tcPr>
          <w:p w14:paraId="11A06630" w14:textId="77777777" w:rsidR="00391E92" w:rsidRDefault="00837F5F">
            <w:pPr>
              <w:pStyle w:val="Compact"/>
              <w:jc w:val="right"/>
            </w:pPr>
            <w:r>
              <w:rPr>
                <w:b/>
                <w:color w:val="FFFFFF"/>
              </w:rPr>
              <w:t>Líneas-hora congestionadas</w:t>
            </w:r>
          </w:p>
        </w:tc>
      </w:tr>
      <w:tr w:rsidR="00391E92" w14:paraId="11A06637" w14:textId="77777777" w:rsidTr="00391E92">
        <w:trPr>
          <w:cantSplit/>
        </w:trPr>
        <w:tc>
          <w:tcPr>
            <w:tcW w:w="3015" w:type="dxa"/>
          </w:tcPr>
          <w:p w14:paraId="11A06632" w14:textId="77777777" w:rsidR="00391E92" w:rsidRDefault="00837F5F">
            <w:pPr>
              <w:pStyle w:val="Compact"/>
            </w:pPr>
            <w:r>
              <w:t>con red, sin BESS</w:t>
            </w:r>
          </w:p>
        </w:tc>
        <w:tc>
          <w:tcPr>
            <w:tcW w:w="1809" w:type="dxa"/>
          </w:tcPr>
          <w:p w14:paraId="11A06633" w14:textId="77777777" w:rsidR="00391E92" w:rsidRDefault="00837F5F">
            <w:pPr>
              <w:pStyle w:val="Compact"/>
              <w:jc w:val="right"/>
            </w:pPr>
            <w:r>
              <w:t>43.531.791,93</w:t>
            </w:r>
          </w:p>
        </w:tc>
        <w:tc>
          <w:tcPr>
            <w:tcW w:w="1809" w:type="dxa"/>
          </w:tcPr>
          <w:p w14:paraId="11A06634" w14:textId="77777777" w:rsidR="00391E92" w:rsidRDefault="00837F5F">
            <w:pPr>
              <w:pStyle w:val="Compact"/>
              <w:jc w:val="right"/>
            </w:pPr>
            <w:r>
              <w:t>4.324,5</w:t>
            </w:r>
          </w:p>
        </w:tc>
        <w:tc>
          <w:tcPr>
            <w:tcW w:w="1507" w:type="dxa"/>
          </w:tcPr>
          <w:p w14:paraId="11A06635" w14:textId="77777777" w:rsidR="00391E92" w:rsidRDefault="00837F5F">
            <w:pPr>
              <w:pStyle w:val="Compact"/>
              <w:jc w:val="right"/>
            </w:pPr>
            <w:r>
              <w:t>82,4 %</w:t>
            </w:r>
          </w:p>
        </w:tc>
        <w:tc>
          <w:tcPr>
            <w:tcW w:w="1507" w:type="dxa"/>
          </w:tcPr>
          <w:p w14:paraId="11A06636" w14:textId="77777777" w:rsidR="00391E92" w:rsidRDefault="00837F5F">
            <w:pPr>
              <w:pStyle w:val="Compact"/>
              <w:jc w:val="right"/>
            </w:pPr>
            <w:r>
              <w:t>0</w:t>
            </w:r>
          </w:p>
        </w:tc>
      </w:tr>
      <w:tr w:rsidR="00391E92" w14:paraId="11A0663D" w14:textId="77777777" w:rsidTr="00391E92">
        <w:trPr>
          <w:cantSplit/>
        </w:trPr>
        <w:tc>
          <w:tcPr>
            <w:tcW w:w="3015" w:type="dxa"/>
            <w:shd w:val="clear" w:color="auto" w:fill="F3F6FA"/>
          </w:tcPr>
          <w:p w14:paraId="11A06638" w14:textId="77777777" w:rsidR="00391E92" w:rsidRDefault="00837F5F">
            <w:pPr>
              <w:pStyle w:val="Compact"/>
            </w:pPr>
            <w:r>
              <w:t>sin red, sin BESS</w:t>
            </w:r>
          </w:p>
        </w:tc>
        <w:tc>
          <w:tcPr>
            <w:tcW w:w="1809" w:type="dxa"/>
            <w:shd w:val="clear" w:color="auto" w:fill="F3F6FA"/>
          </w:tcPr>
          <w:p w14:paraId="11A06639" w14:textId="77777777" w:rsidR="00391E92" w:rsidRDefault="00837F5F">
            <w:pPr>
              <w:pStyle w:val="Compact"/>
              <w:jc w:val="right"/>
            </w:pPr>
            <w:r>
              <w:t>43.531.748,09</w:t>
            </w:r>
          </w:p>
        </w:tc>
        <w:tc>
          <w:tcPr>
            <w:tcW w:w="1809" w:type="dxa"/>
            <w:shd w:val="clear" w:color="auto" w:fill="F3F6FA"/>
          </w:tcPr>
          <w:p w14:paraId="11A0663A" w14:textId="77777777" w:rsidR="00391E92" w:rsidRDefault="00837F5F">
            <w:pPr>
              <w:pStyle w:val="Compact"/>
              <w:jc w:val="right"/>
            </w:pPr>
            <w:r>
              <w:t>4.324,5</w:t>
            </w:r>
          </w:p>
        </w:tc>
        <w:tc>
          <w:tcPr>
            <w:tcW w:w="1507" w:type="dxa"/>
            <w:shd w:val="clear" w:color="auto" w:fill="F3F6FA"/>
          </w:tcPr>
          <w:p w14:paraId="11A0663B" w14:textId="77777777" w:rsidR="00391E92" w:rsidRDefault="00837F5F">
            <w:pPr>
              <w:pStyle w:val="Compact"/>
              <w:jc w:val="right"/>
            </w:pPr>
            <w:r>
              <w:t>—</w:t>
            </w:r>
          </w:p>
        </w:tc>
        <w:tc>
          <w:tcPr>
            <w:tcW w:w="1507" w:type="dxa"/>
            <w:shd w:val="clear" w:color="auto" w:fill="F3F6FA"/>
          </w:tcPr>
          <w:p w14:paraId="11A0663C" w14:textId="77777777" w:rsidR="00391E92" w:rsidRDefault="00837F5F">
            <w:pPr>
              <w:pStyle w:val="Compact"/>
              <w:jc w:val="right"/>
            </w:pPr>
            <w:r>
              <w:t>—</w:t>
            </w:r>
          </w:p>
        </w:tc>
      </w:tr>
      <w:tr w:rsidR="00391E92" w14:paraId="11A06643" w14:textId="77777777" w:rsidTr="00391E92">
        <w:trPr>
          <w:cantSplit/>
        </w:trPr>
        <w:tc>
          <w:tcPr>
            <w:tcW w:w="3015" w:type="dxa"/>
          </w:tcPr>
          <w:p w14:paraId="11A0663E" w14:textId="77777777" w:rsidR="00391E92" w:rsidRDefault="00837F5F">
            <w:pPr>
              <w:pStyle w:val="Compact"/>
            </w:pPr>
            <w:r>
              <w:t>con red, BESS 4,128 MWh</w:t>
            </w:r>
          </w:p>
        </w:tc>
        <w:tc>
          <w:tcPr>
            <w:tcW w:w="1809" w:type="dxa"/>
          </w:tcPr>
          <w:p w14:paraId="11A0663F" w14:textId="77777777" w:rsidR="00391E92" w:rsidRDefault="00837F5F">
            <w:pPr>
              <w:pStyle w:val="Compact"/>
              <w:jc w:val="right"/>
            </w:pPr>
            <w:r>
              <w:t>21.747.393,01</w:t>
            </w:r>
          </w:p>
        </w:tc>
        <w:tc>
          <w:tcPr>
            <w:tcW w:w="1809" w:type="dxa"/>
          </w:tcPr>
          <w:p w14:paraId="11A06640" w14:textId="77777777" w:rsidR="00391E92" w:rsidRDefault="00837F5F">
            <w:pPr>
              <w:pStyle w:val="Compact"/>
              <w:jc w:val="right"/>
            </w:pPr>
            <w:r>
              <w:t>2.147,6</w:t>
            </w:r>
          </w:p>
        </w:tc>
        <w:tc>
          <w:tcPr>
            <w:tcW w:w="1507" w:type="dxa"/>
          </w:tcPr>
          <w:p w14:paraId="11A06641" w14:textId="77777777" w:rsidR="00391E92" w:rsidRDefault="00837F5F">
            <w:pPr>
              <w:pStyle w:val="Compact"/>
              <w:jc w:val="right"/>
            </w:pPr>
            <w:r>
              <w:t>91,2 %</w:t>
            </w:r>
          </w:p>
        </w:tc>
        <w:tc>
          <w:tcPr>
            <w:tcW w:w="1507" w:type="dxa"/>
          </w:tcPr>
          <w:p w14:paraId="11A06642" w14:textId="77777777" w:rsidR="00391E92" w:rsidRDefault="00837F5F">
            <w:pPr>
              <w:pStyle w:val="Compact"/>
              <w:jc w:val="right"/>
            </w:pPr>
            <w:r>
              <w:t>0</w:t>
            </w:r>
          </w:p>
        </w:tc>
      </w:tr>
      <w:tr w:rsidR="00391E92" w14:paraId="11A06649" w14:textId="77777777" w:rsidTr="00391E92">
        <w:trPr>
          <w:cantSplit/>
        </w:trPr>
        <w:tc>
          <w:tcPr>
            <w:tcW w:w="3015" w:type="dxa"/>
            <w:shd w:val="clear" w:color="auto" w:fill="F3F6FA"/>
          </w:tcPr>
          <w:p w14:paraId="11A06644" w14:textId="77777777" w:rsidR="00391E92" w:rsidRDefault="00837F5F">
            <w:pPr>
              <w:pStyle w:val="Compact"/>
            </w:pPr>
            <w:r>
              <w:t>sin red, BESS 4,128 MWh</w:t>
            </w:r>
          </w:p>
        </w:tc>
        <w:tc>
          <w:tcPr>
            <w:tcW w:w="1809" w:type="dxa"/>
            <w:shd w:val="clear" w:color="auto" w:fill="F3F6FA"/>
          </w:tcPr>
          <w:p w14:paraId="11A06645" w14:textId="77777777" w:rsidR="00391E92" w:rsidRDefault="00837F5F">
            <w:pPr>
              <w:pStyle w:val="Compact"/>
              <w:jc w:val="right"/>
            </w:pPr>
            <w:r>
              <w:t>21.747.393,01</w:t>
            </w:r>
          </w:p>
        </w:tc>
        <w:tc>
          <w:tcPr>
            <w:tcW w:w="1809" w:type="dxa"/>
            <w:shd w:val="clear" w:color="auto" w:fill="F3F6FA"/>
          </w:tcPr>
          <w:p w14:paraId="11A06646" w14:textId="77777777" w:rsidR="00391E92" w:rsidRDefault="00837F5F">
            <w:pPr>
              <w:pStyle w:val="Compact"/>
              <w:jc w:val="right"/>
            </w:pPr>
            <w:r>
              <w:t>2.147,6</w:t>
            </w:r>
          </w:p>
        </w:tc>
        <w:tc>
          <w:tcPr>
            <w:tcW w:w="1507" w:type="dxa"/>
            <w:shd w:val="clear" w:color="auto" w:fill="F3F6FA"/>
          </w:tcPr>
          <w:p w14:paraId="11A06647" w14:textId="77777777" w:rsidR="00391E92" w:rsidRDefault="00837F5F">
            <w:pPr>
              <w:pStyle w:val="Compact"/>
              <w:jc w:val="right"/>
            </w:pPr>
            <w:r>
              <w:t>—</w:t>
            </w:r>
          </w:p>
        </w:tc>
        <w:tc>
          <w:tcPr>
            <w:tcW w:w="1507" w:type="dxa"/>
            <w:shd w:val="clear" w:color="auto" w:fill="F3F6FA"/>
          </w:tcPr>
          <w:p w14:paraId="11A06648" w14:textId="77777777" w:rsidR="00391E92" w:rsidRDefault="00837F5F">
            <w:pPr>
              <w:pStyle w:val="Compact"/>
              <w:jc w:val="right"/>
            </w:pPr>
            <w:r>
              <w:t>—</w:t>
            </w:r>
          </w:p>
        </w:tc>
      </w:tr>
    </w:tbl>
    <w:p w14:paraId="11A0664A" w14:textId="77777777" w:rsidR="00391E92" w:rsidRDefault="00837F5F">
      <w:pPr>
        <w:pStyle w:val="Compact"/>
        <w:numPr>
          <w:ilvl w:val="0"/>
          <w:numId w:val="5"/>
        </w:numPr>
        <w:spacing w:before="160" w:after="60"/>
      </w:pPr>
      <w:r>
        <w:rPr>
          <w:b/>
          <w:bCs/>
          <w:sz w:val="21"/>
        </w:rPr>
        <w:t>Sin baterías</w:t>
      </w:r>
      <w:r>
        <w:rPr>
          <w:sz w:val="21"/>
        </w:rPr>
        <w:t>, la FO con red supera a la FO sin red en $43,85 (0,00010 %).</w:t>
      </w:r>
    </w:p>
    <w:p w14:paraId="11A0664B" w14:textId="77777777" w:rsidR="00391E92" w:rsidRDefault="00837F5F">
      <w:pPr>
        <w:pStyle w:val="Compact"/>
        <w:numPr>
          <w:ilvl w:val="0"/>
          <w:numId w:val="5"/>
        </w:numPr>
        <w:spacing w:after="60"/>
      </w:pPr>
      <w:r>
        <w:rPr>
          <w:b/>
          <w:bCs/>
          <w:sz w:val="21"/>
        </w:rPr>
        <w:t>Con 4.127,8 MWh</w:t>
      </w:r>
      <w:r>
        <w:rPr>
          <w:sz w:val="21"/>
        </w:rPr>
        <w:t>, la diferencia es $0,00.</w:t>
      </w:r>
    </w:p>
    <w:p w14:paraId="11A0664C" w14:textId="77777777" w:rsidR="00391E92" w:rsidRDefault="00837F5F">
      <w:pPr>
        <w:pStyle w:val="FirstParagraph"/>
      </w:pPr>
      <w:r>
        <w:rPr>
          <w:b/>
          <w:bCs/>
        </w:rPr>
        <w:t>Interpretación.</w:t>
      </w:r>
      <w:r>
        <w:t xml:space="preserve"> Las restricciones de la red no están activas: ninguna línea llega a su límite en ninguna hora (máximo 82,4 % sin baterías y 91,2 % con baterías). Si la red no restringe, el despacho con red es el mismo que el despacho de barra única y la FO coincide. Las diferencias de $43,85 o menos están dentro de la tolerancia del solver (con gap 10⁻⁵ el solver puede quedarse hasta ≈ $435 por encima del óptimo sin baterías y ≈ $217 con baterías), así que no son una diferencia real.</w:t>
      </w:r>
    </w:p>
    <w:p w14:paraId="11A0664D" w14:textId="77777777" w:rsidR="00391E92" w:rsidRDefault="00837F5F">
      <w:pPr>
        <w:pStyle w:val="Textoindependiente"/>
      </w:pPr>
      <w:r>
        <w:lastRenderedPageBreak/>
        <w:t>Dos precisiones: (1) las baterías sí aumentan el uso de la red (la carga máxima de línea pasa de 82,4 % a 91,2 %), porque concentran la carga en las 10 barras donde están; (2) incluir la red no cambia la FO pero sí el esfuerzo de cómputo: el caso con red y sin baterías tardó ≈ 94 s frente a ≈ 10 s sin red. La FO con 4.127,8 MWh del barrido (2.1, gap 10⁻⁴) difiere en $1.499 de la de esta sección (gap 10⁻⁵), que es del orden de la tolerancia del barrido (≈ $2.175).</w:t>
      </w:r>
    </w:p>
    <w:p w14:paraId="11A0664E" w14:textId="77777777" w:rsidR="00391E92" w:rsidRDefault="00837F5F">
      <w:pPr>
        <w:pStyle w:val="Ttulo1"/>
      </w:pPr>
      <w:bookmarkStart w:id="7" w:name="verificaciones-y-sensibilidades"/>
      <w:bookmarkEnd w:id="6"/>
      <w:r>
        <w:t>6. Verificaciones y sensibilidades</w:t>
      </w:r>
    </w:p>
    <w:p w14:paraId="11A0664F" w14:textId="77777777" w:rsidR="00391E92" w:rsidRDefault="00837F5F">
      <w:pPr>
        <w:pStyle w:val="TableCaption"/>
      </w:pPr>
      <w:r>
        <w:t>Tabla 3. Capacidad que lleva la FO al 50 % según la variante del modelo.</w:t>
      </w:r>
    </w:p>
    <w:tbl>
      <w:tblPr>
        <w:tblStyle w:val="Table"/>
        <w:tblW w:w="96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020" w:firstRow="1" w:lastRow="0" w:firstColumn="0" w:lastColumn="0" w:noHBand="0" w:noVBand="0"/>
      </w:tblPr>
      <w:tblGrid>
        <w:gridCol w:w="3376"/>
        <w:gridCol w:w="1447"/>
        <w:gridCol w:w="4825"/>
      </w:tblGrid>
      <w:tr w:rsidR="00391E92" w14:paraId="11A06653" w14:textId="77777777" w:rsidTr="00391E92">
        <w:trPr>
          <w:cnfStyle w:val="100000000000" w:firstRow="1" w:lastRow="0" w:firstColumn="0" w:lastColumn="0" w:oddVBand="0" w:evenVBand="0" w:oddHBand="0" w:evenHBand="0" w:firstRowFirstColumn="0" w:firstRowLastColumn="0" w:lastRowFirstColumn="0" w:lastRowLastColumn="0"/>
          <w:tblHeader/>
        </w:trPr>
        <w:tc>
          <w:tcPr>
            <w:tcW w:w="3376" w:type="dxa"/>
            <w:shd w:val="clear" w:color="auto" w:fill="1F4E79"/>
          </w:tcPr>
          <w:p w14:paraId="11A06650" w14:textId="77777777" w:rsidR="00391E92" w:rsidRDefault="00837F5F">
            <w:pPr>
              <w:pStyle w:val="Compact"/>
            </w:pPr>
            <w:r>
              <w:rPr>
                <w:b/>
                <w:color w:val="FFFFFF"/>
              </w:rPr>
              <w:t>Variante</w:t>
            </w:r>
          </w:p>
        </w:tc>
        <w:tc>
          <w:tcPr>
            <w:tcW w:w="1447" w:type="dxa"/>
            <w:shd w:val="clear" w:color="auto" w:fill="1F4E79"/>
          </w:tcPr>
          <w:p w14:paraId="11A06651" w14:textId="77777777" w:rsidR="00391E92" w:rsidRDefault="00837F5F">
            <w:pPr>
              <w:pStyle w:val="Compact"/>
              <w:jc w:val="right"/>
            </w:pPr>
            <w:r>
              <w:rPr>
                <w:b/>
                <w:color w:val="FFFFFF"/>
              </w:rPr>
              <w:t>Capacidad para el 50 % [MWh]</w:t>
            </w:r>
          </w:p>
        </w:tc>
        <w:tc>
          <w:tcPr>
            <w:tcW w:w="4824" w:type="dxa"/>
            <w:shd w:val="clear" w:color="auto" w:fill="1F4E79"/>
          </w:tcPr>
          <w:p w14:paraId="11A06652" w14:textId="77777777" w:rsidR="00391E92" w:rsidRDefault="00837F5F">
            <w:pPr>
              <w:pStyle w:val="Compact"/>
            </w:pPr>
            <w:r>
              <w:rPr>
                <w:b/>
                <w:color w:val="FFFFFF"/>
              </w:rPr>
              <w:t>Comentario</w:t>
            </w:r>
          </w:p>
        </w:tc>
      </w:tr>
      <w:tr w:rsidR="00391E92" w14:paraId="11A06657" w14:textId="77777777" w:rsidTr="00391E92">
        <w:trPr>
          <w:cantSplit/>
        </w:trPr>
        <w:tc>
          <w:tcPr>
            <w:tcW w:w="3376" w:type="dxa"/>
          </w:tcPr>
          <w:p w14:paraId="11A06654" w14:textId="77777777" w:rsidR="00391E92" w:rsidRDefault="00837F5F">
            <w:pPr>
              <w:pStyle w:val="Compact"/>
            </w:pPr>
            <w:r>
              <w:t xml:space="preserve">Modelo de esta entrega (carga limitada con </w:t>
            </w:r>
            <w:r>
              <w:rPr>
                <w:rStyle w:val="VerbatimChar"/>
              </w:rPr>
              <w:t>pc</w:t>
            </w:r>
            <w:r>
              <w:t>)</w:t>
            </w:r>
          </w:p>
        </w:tc>
        <w:tc>
          <w:tcPr>
            <w:tcW w:w="1447" w:type="dxa"/>
          </w:tcPr>
          <w:p w14:paraId="11A06655" w14:textId="77777777" w:rsidR="00391E92" w:rsidRDefault="00837F5F">
            <w:pPr>
              <w:pStyle w:val="Compact"/>
              <w:jc w:val="right"/>
            </w:pPr>
            <w:r>
              <w:t>4.127,8</w:t>
            </w:r>
          </w:p>
        </w:tc>
        <w:tc>
          <w:tcPr>
            <w:tcW w:w="4824" w:type="dxa"/>
          </w:tcPr>
          <w:p w14:paraId="11A06656" w14:textId="77777777" w:rsidR="00391E92" w:rsidRDefault="00837F5F">
            <w:pPr>
              <w:pStyle w:val="Compact"/>
            </w:pPr>
            <w:r>
              <w:t>Resultado principal</w:t>
            </w:r>
          </w:p>
        </w:tc>
      </w:tr>
      <w:tr w:rsidR="00391E92" w14:paraId="11A0665B" w14:textId="77777777" w:rsidTr="00391E92">
        <w:trPr>
          <w:cantSplit/>
        </w:trPr>
        <w:tc>
          <w:tcPr>
            <w:tcW w:w="3376" w:type="dxa"/>
            <w:shd w:val="clear" w:color="auto" w:fill="F3F6FA"/>
          </w:tcPr>
          <w:p w14:paraId="11A06658" w14:textId="77777777" w:rsidR="00391E92" w:rsidRDefault="00837F5F">
            <w:pPr>
              <w:pStyle w:val="Compact"/>
            </w:pPr>
            <w:r>
              <w:t xml:space="preserve">Modelo original del curso (carga limitada con </w:t>
            </w:r>
            <w:r>
              <w:rPr>
                <w:rStyle w:val="VerbatimChar"/>
              </w:rPr>
              <w:t>pd</w:t>
            </w:r>
            <w:r>
              <w:t>)</w:t>
            </w:r>
          </w:p>
        </w:tc>
        <w:tc>
          <w:tcPr>
            <w:tcW w:w="1447" w:type="dxa"/>
            <w:shd w:val="clear" w:color="auto" w:fill="F3F6FA"/>
          </w:tcPr>
          <w:p w14:paraId="11A06659" w14:textId="77777777" w:rsidR="00391E92" w:rsidRDefault="00837F5F">
            <w:pPr>
              <w:pStyle w:val="Compact"/>
              <w:jc w:val="right"/>
            </w:pPr>
            <w:r>
              <w:t>4.541,9</w:t>
            </w:r>
          </w:p>
        </w:tc>
        <w:tc>
          <w:tcPr>
            <w:tcW w:w="4824" w:type="dxa"/>
            <w:shd w:val="clear" w:color="auto" w:fill="F3F6FA"/>
          </w:tcPr>
          <w:p w14:paraId="11A0665A" w14:textId="77777777" w:rsidR="00391E92" w:rsidRDefault="00837F5F">
            <w:pPr>
              <w:pStyle w:val="Compact"/>
            </w:pPr>
            <w:r>
              <w:t>10,0 % más capacidad</w:t>
            </w:r>
          </w:p>
        </w:tc>
      </w:tr>
      <w:tr w:rsidR="00391E92" w14:paraId="11A0665F" w14:textId="77777777" w:rsidTr="00391E92">
        <w:trPr>
          <w:cantSplit/>
        </w:trPr>
        <w:tc>
          <w:tcPr>
            <w:tcW w:w="3376" w:type="dxa"/>
          </w:tcPr>
          <w:p w14:paraId="11A0665C" w14:textId="77777777" w:rsidR="00391E92" w:rsidRDefault="00837F5F">
            <w:pPr>
              <w:pStyle w:val="Compact"/>
            </w:pPr>
            <w:r>
              <w:t>Con SOC final ≥ SOC inicial (E24)</w:t>
            </w:r>
          </w:p>
        </w:tc>
        <w:tc>
          <w:tcPr>
            <w:tcW w:w="1447" w:type="dxa"/>
          </w:tcPr>
          <w:p w14:paraId="11A0665D" w14:textId="77777777" w:rsidR="00391E92" w:rsidRDefault="00837F5F">
            <w:pPr>
              <w:pStyle w:val="Compact"/>
              <w:jc w:val="right"/>
            </w:pPr>
            <w:r>
              <w:t>4.127,8</w:t>
            </w:r>
          </w:p>
        </w:tc>
        <w:tc>
          <w:tcPr>
            <w:tcW w:w="4824" w:type="dxa"/>
          </w:tcPr>
          <w:p w14:paraId="11A0665E" w14:textId="77777777" w:rsidR="00391E92" w:rsidRDefault="00837F5F">
            <w:pPr>
              <w:pStyle w:val="Compact"/>
            </w:pPr>
            <w:r>
              <w:t>Sin cambio: la restricción no se activa</w:t>
            </w:r>
          </w:p>
        </w:tc>
      </w:tr>
    </w:tbl>
    <w:p w14:paraId="11A06660" w14:textId="77777777" w:rsidR="00391E92" w:rsidRDefault="00837F5F">
      <w:pPr>
        <w:pStyle w:val="Compact"/>
        <w:numPr>
          <w:ilvl w:val="0"/>
          <w:numId w:val="6"/>
        </w:numPr>
        <w:spacing w:before="160" w:after="60"/>
      </w:pPr>
      <w:r>
        <w:rPr>
          <w:b/>
          <w:bCs/>
          <w:sz w:val="21"/>
        </w:rPr>
        <w:t>Corrección de la carga máxima.</w:t>
      </w:r>
      <w:r>
        <w:rPr>
          <w:sz w:val="21"/>
        </w:rPr>
        <w:t xml:space="preserve"> Con el código original la capacidad necesaria sube 10,0 %. No es casualidad: la carga máxima pasa de 0,11 a 0,10 veces la capacidad, y 4.127,8 / 4.541,9 = 0,909 ≈ 0,10 / 0,11 = 0,909. Es coherente con que el factor limitante sea la potencia de carga (sección 3.2).</w:t>
      </w:r>
    </w:p>
    <w:p w14:paraId="11A06661" w14:textId="77777777" w:rsidR="00391E92" w:rsidRDefault="00837F5F">
      <w:pPr>
        <w:pStyle w:val="Compact"/>
        <w:numPr>
          <w:ilvl w:val="0"/>
          <w:numId w:val="6"/>
        </w:numPr>
        <w:spacing w:after="60"/>
      </w:pPr>
      <w:r>
        <w:rPr>
          <w:b/>
          <w:bCs/>
          <w:sz w:val="21"/>
        </w:rPr>
        <w:t>SOC final.</w:t>
      </w:r>
      <w:r>
        <w:rPr>
          <w:sz w:val="21"/>
        </w:rPr>
        <w:t xml:space="preserve"> Exigir que las baterías terminen con al menos la energía con la que empezaron no cambia el resultado, porque en la solución ya terminan con más (2.057 MWh contra 1.356 MWh).</w:t>
      </w:r>
    </w:p>
    <w:p w14:paraId="11A06662" w14:textId="77777777" w:rsidR="00391E92" w:rsidRDefault="00837F5F">
      <w:pPr>
        <w:pStyle w:val="Compact"/>
        <w:numPr>
          <w:ilvl w:val="0"/>
          <w:numId w:val="6"/>
        </w:numPr>
        <w:spacing w:after="60"/>
      </w:pPr>
      <w:r>
        <w:rPr>
          <w:b/>
          <w:bCs/>
          <w:sz w:val="21"/>
        </w:rPr>
        <w:t>Carga y descarga simultáneas:</w:t>
      </w:r>
      <w:r>
        <w:rPr>
          <w:sz w:val="21"/>
        </w:rPr>
        <w:t xml:space="preserve"> 0 casos en todas las corridas del barrido.</w:t>
      </w:r>
    </w:p>
    <w:p w14:paraId="11A06663" w14:textId="77777777" w:rsidR="00391E92" w:rsidRDefault="00837F5F">
      <w:pPr>
        <w:pStyle w:val="Compact"/>
        <w:numPr>
          <w:ilvl w:val="0"/>
          <w:numId w:val="6"/>
        </w:numPr>
        <w:spacing w:after="60"/>
      </w:pPr>
      <w:r>
        <w:rPr>
          <w:b/>
          <w:bCs/>
          <w:sz w:val="21"/>
        </w:rPr>
        <w:t>Estado del solver:</w:t>
      </w:r>
      <w:r>
        <w:rPr>
          <w:sz w:val="21"/>
        </w:rPr>
        <w:t xml:space="preserve"> todas las corridas terminaron en óptimo dentro del gap.</w:t>
      </w:r>
    </w:p>
    <w:p w14:paraId="11A06664" w14:textId="01315149" w:rsidR="00391E92" w:rsidRDefault="00837F5F">
      <w:pPr>
        <w:pStyle w:val="Ttulo1"/>
      </w:pPr>
      <w:bookmarkStart w:id="8" w:name="conclusiones-y-limitaciones"/>
      <w:bookmarkEnd w:id="7"/>
      <w:r>
        <w:t>7. Conclusiones y limitaciones</w:t>
      </w:r>
      <w:r w:rsidR="0067356B">
        <w:t xml:space="preserve"> </w:t>
      </w:r>
    </w:p>
    <w:p w14:paraId="11A06665" w14:textId="77777777" w:rsidR="00391E92" w:rsidRDefault="00837F5F">
      <w:pPr>
        <w:pStyle w:val="FirstParagraph"/>
      </w:pPr>
      <w:r>
        <w:rPr>
          <w:b/>
          <w:bCs/>
        </w:rPr>
        <w:t>Conclusiones</w:t>
      </w:r>
    </w:p>
    <w:p w14:paraId="11A06666" w14:textId="77777777" w:rsidR="00391E92" w:rsidRDefault="00837F5F">
      <w:pPr>
        <w:pStyle w:val="Compact"/>
        <w:numPr>
          <w:ilvl w:val="0"/>
          <w:numId w:val="7"/>
        </w:numPr>
        <w:spacing w:after="60"/>
      </w:pPr>
      <w:r>
        <w:rPr>
          <w:sz w:val="21"/>
        </w:rPr>
        <w:t xml:space="preserve">Hacen falta ≈ </w:t>
      </w:r>
      <w:r>
        <w:rPr>
          <w:b/>
          <w:bCs/>
          <w:sz w:val="21"/>
        </w:rPr>
        <w:t>4.128 MWh</w:t>
      </w:r>
      <w:r>
        <w:rPr>
          <w:sz w:val="21"/>
        </w:rPr>
        <w:t xml:space="preserve"> de baterías (≈ 3,7 veces la capacidad inicial) para llevar la FO a la mitad.</w:t>
      </w:r>
    </w:p>
    <w:p w14:paraId="11A06667" w14:textId="77777777" w:rsidR="00391E92" w:rsidRDefault="00837F5F">
      <w:pPr>
        <w:pStyle w:val="Compact"/>
        <w:numPr>
          <w:ilvl w:val="0"/>
          <w:numId w:val="7"/>
        </w:numPr>
        <w:spacing w:after="60"/>
      </w:pPr>
      <w:r>
        <w:rPr>
          <w:sz w:val="21"/>
        </w:rPr>
        <w:t xml:space="preserve">La mejora viene casi toda de </w:t>
      </w:r>
      <w:r>
        <w:rPr>
          <w:b/>
          <w:bCs/>
          <w:sz w:val="21"/>
        </w:rPr>
        <w:t>verter menos viento</w:t>
      </w:r>
      <w:r>
        <w:rPr>
          <w:sz w:val="21"/>
        </w:rPr>
        <w:t>, no de ahorrar combustible: la FO está dominada por la penalización de $10.000 por MWh vertido.</w:t>
      </w:r>
    </w:p>
    <w:p w14:paraId="11A06668" w14:textId="77777777" w:rsidR="00391E92" w:rsidRDefault="00837F5F">
      <w:pPr>
        <w:pStyle w:val="Compact"/>
        <w:numPr>
          <w:ilvl w:val="0"/>
          <w:numId w:val="7"/>
        </w:numPr>
        <w:spacing w:after="60"/>
      </w:pPr>
      <w:r>
        <w:rPr>
          <w:sz w:val="21"/>
        </w:rPr>
        <w:t xml:space="preserve">El beneficio por MWh instalado decrece por escalones y luego se estabiliza porque las baterías están limitadas por </w:t>
      </w:r>
      <w:r>
        <w:rPr>
          <w:b/>
          <w:bCs/>
          <w:sz w:val="21"/>
        </w:rPr>
        <w:t>potencia de carga</w:t>
      </w:r>
      <w:r>
        <w:rPr>
          <w:sz w:val="21"/>
        </w:rPr>
        <w:t xml:space="preserve"> en las horas de excedente eólico (21–24).</w:t>
      </w:r>
    </w:p>
    <w:p w14:paraId="11A06669" w14:textId="77777777" w:rsidR="00391E92" w:rsidRDefault="00837F5F">
      <w:pPr>
        <w:pStyle w:val="Compact"/>
        <w:numPr>
          <w:ilvl w:val="0"/>
          <w:numId w:val="7"/>
        </w:numPr>
        <w:spacing w:after="60"/>
      </w:pPr>
      <w:r>
        <w:rPr>
          <w:sz w:val="21"/>
        </w:rPr>
        <w:t xml:space="preserve">Con estos datos </w:t>
      </w:r>
      <w:r>
        <w:rPr>
          <w:b/>
          <w:bCs/>
          <w:sz w:val="21"/>
        </w:rPr>
        <w:t>la red no condiciona</w:t>
      </w:r>
      <w:r>
        <w:rPr>
          <w:sz w:val="21"/>
        </w:rPr>
        <w:t xml:space="preserve"> el resultado: con y sin red se obtiene la misma FO.</w:t>
      </w:r>
    </w:p>
    <w:p w14:paraId="11A0666A" w14:textId="77777777" w:rsidR="00391E92" w:rsidRDefault="00837F5F">
      <w:pPr>
        <w:pStyle w:val="FirstParagraph"/>
      </w:pPr>
      <w:r>
        <w:rPr>
          <w:b/>
          <w:bCs/>
        </w:rPr>
        <w:t>Limitaciones que conviene tener presentes</w:t>
      </w:r>
    </w:p>
    <w:p w14:paraId="11A0666B" w14:textId="77777777" w:rsidR="00391E92" w:rsidRDefault="00837F5F">
      <w:pPr>
        <w:pStyle w:val="Compact"/>
        <w:numPr>
          <w:ilvl w:val="0"/>
          <w:numId w:val="8"/>
        </w:numPr>
        <w:spacing w:after="60"/>
      </w:pPr>
      <w:r>
        <w:rPr>
          <w:b/>
          <w:bCs/>
          <w:sz w:val="21"/>
        </w:rPr>
        <w:t>No es una valoración económica.</w:t>
      </w:r>
      <w:r>
        <w:rPr>
          <w:sz w:val="21"/>
        </w:rPr>
        <w:t xml:space="preserve"> No hay costo de inversión de las baterías. Además, como la FO depende de la penalización por vertimiento, los resultados cambiarían si esa penalización fuera distinta.</w:t>
      </w:r>
    </w:p>
    <w:p w14:paraId="11A0666C" w14:textId="77777777" w:rsidR="00391E92" w:rsidRDefault="00837F5F">
      <w:pPr>
        <w:pStyle w:val="Compact"/>
        <w:numPr>
          <w:ilvl w:val="0"/>
          <w:numId w:val="8"/>
        </w:numPr>
        <w:spacing w:after="60"/>
      </w:pPr>
      <w:r>
        <w:rPr>
          <w:b/>
          <w:bCs/>
          <w:sz w:val="21"/>
        </w:rPr>
        <w:t>Un solo día.</w:t>
      </w:r>
      <w:r>
        <w:rPr>
          <w:sz w:val="21"/>
        </w:rPr>
        <w:t xml:space="preserve"> Se usan las primeras 24 horas del archivo, con mucho viento en la noche. Otro día podría dar otra capacidad.</w:t>
      </w:r>
    </w:p>
    <w:p w14:paraId="11A0666D" w14:textId="77777777" w:rsidR="00391E92" w:rsidRDefault="00837F5F">
      <w:pPr>
        <w:pStyle w:val="Compact"/>
        <w:numPr>
          <w:ilvl w:val="0"/>
          <w:numId w:val="8"/>
        </w:numPr>
        <w:spacing w:after="60"/>
      </w:pPr>
      <w:r>
        <w:rPr>
          <w:b/>
          <w:bCs/>
          <w:sz w:val="21"/>
        </w:rPr>
        <w:t>Escalamiento proporcional.</w:t>
      </w:r>
      <w:r>
        <w:rPr>
          <w:sz w:val="21"/>
        </w:rPr>
        <w:t xml:space="preserve"> Se escalan las 10 baterías por igual, con potencia proporcional a la energía y el mismo estado de carga inicial en p.u.; por eso la energía almacenada al inicio del día crece con la capacidad (1.356 MWh con la capacidad final, cerca de los 1.382 MWh que se descargan en el día). No se evaluó otra relación potencia/energía ni otra ubicación de las baterías.</w:t>
      </w:r>
    </w:p>
    <w:p w14:paraId="11A0666E" w14:textId="77777777" w:rsidR="00391E92" w:rsidRDefault="00837F5F">
      <w:pPr>
        <w:pStyle w:val="Compact"/>
        <w:numPr>
          <w:ilvl w:val="0"/>
          <w:numId w:val="8"/>
        </w:numPr>
        <w:spacing w:after="60"/>
      </w:pPr>
      <w:r>
        <w:rPr>
          <w:b/>
          <w:bCs/>
          <w:sz w:val="21"/>
        </w:rPr>
        <w:lastRenderedPageBreak/>
        <w:t>Pérdidas altas en los datos.</w:t>
      </w:r>
      <w:r>
        <w:rPr>
          <w:sz w:val="21"/>
        </w:rPr>
        <w:t xml:space="preserve"> Las baterías pierden entre 1,1 % y 8,6 % de su energía almacenada por periodo, lo que desincentiva guardar energía por muchas horas.</w:t>
      </w:r>
    </w:p>
    <w:p w14:paraId="11A0666F" w14:textId="77777777" w:rsidR="00391E92" w:rsidRDefault="00837F5F">
      <w:pPr>
        <w:pStyle w:val="Compact"/>
        <w:numPr>
          <w:ilvl w:val="0"/>
          <w:numId w:val="8"/>
        </w:numPr>
        <w:spacing w:after="60"/>
      </w:pPr>
      <w:r>
        <w:rPr>
          <w:b/>
          <w:bCs/>
          <w:sz w:val="21"/>
        </w:rPr>
        <w:t>Costos térmicos simplificados.</w:t>
      </w:r>
      <w:r>
        <w:rPr>
          <w:sz w:val="21"/>
        </w:rPr>
        <w:t xml:space="preserve"> Como en el código del curso, el costo marginal usa solo el primer bloque de la curva y el de arranque solo el primer segmento.</w:t>
      </w:r>
    </w:p>
    <w:p w14:paraId="11A06670" w14:textId="77777777" w:rsidR="00391E92" w:rsidRDefault="00837F5F">
      <w:pPr>
        <w:pStyle w:val="Ttulo1"/>
      </w:pPr>
      <w:bookmarkStart w:id="9" w:name="X13d7ebd0433273504d738fdd726d313669a6c11"/>
      <w:bookmarkEnd w:id="8"/>
      <w:r>
        <w:t>Anexo: archivos de la entrega y cómo reproducir</w:t>
      </w:r>
    </w:p>
    <w:tbl>
      <w:tblPr>
        <w:tblStyle w:val="Table"/>
        <w:tblW w:w="96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020" w:firstRow="1" w:lastRow="0" w:firstColumn="0" w:lastColumn="0" w:noHBand="0" w:noVBand="0"/>
      </w:tblPr>
      <w:tblGrid>
        <w:gridCol w:w="3445"/>
        <w:gridCol w:w="6203"/>
      </w:tblGrid>
      <w:tr w:rsidR="00391E92" w14:paraId="11A06673" w14:textId="77777777" w:rsidTr="00391E92">
        <w:trPr>
          <w:cnfStyle w:val="100000000000" w:firstRow="1" w:lastRow="0" w:firstColumn="0" w:lastColumn="0" w:oddVBand="0" w:evenVBand="0" w:oddHBand="0" w:evenHBand="0" w:firstRowFirstColumn="0" w:firstRowLastColumn="0" w:lastRowFirstColumn="0" w:lastRowLastColumn="0"/>
          <w:tblHeader/>
        </w:trPr>
        <w:tc>
          <w:tcPr>
            <w:tcW w:w="3445" w:type="dxa"/>
            <w:shd w:val="clear" w:color="auto" w:fill="1F4E79"/>
          </w:tcPr>
          <w:p w14:paraId="11A06671" w14:textId="77777777" w:rsidR="00391E92" w:rsidRDefault="00837F5F">
            <w:pPr>
              <w:pStyle w:val="Compact"/>
            </w:pPr>
            <w:r>
              <w:rPr>
                <w:b/>
                <w:color w:val="FFFFFF"/>
              </w:rPr>
              <w:t>Archivo</w:t>
            </w:r>
          </w:p>
        </w:tc>
        <w:tc>
          <w:tcPr>
            <w:tcW w:w="6202" w:type="dxa"/>
            <w:shd w:val="clear" w:color="auto" w:fill="1F4E79"/>
          </w:tcPr>
          <w:p w14:paraId="11A06672" w14:textId="77777777" w:rsidR="00391E92" w:rsidRDefault="00837F5F">
            <w:pPr>
              <w:pStyle w:val="Compact"/>
            </w:pPr>
            <w:r>
              <w:rPr>
                <w:b/>
                <w:color w:val="FFFFFF"/>
              </w:rPr>
              <w:t>Contenido</w:t>
            </w:r>
          </w:p>
        </w:tc>
      </w:tr>
      <w:tr w:rsidR="00391E92" w14:paraId="11A06676" w14:textId="77777777" w:rsidTr="00391E92">
        <w:trPr>
          <w:cantSplit/>
        </w:trPr>
        <w:tc>
          <w:tcPr>
            <w:tcW w:w="3445" w:type="dxa"/>
          </w:tcPr>
          <w:p w14:paraId="11A06674" w14:textId="77777777" w:rsidR="00391E92" w:rsidRDefault="00837F5F">
            <w:pPr>
              <w:pStyle w:val="Compact"/>
            </w:pPr>
            <w:r>
              <w:rPr>
                <w:rStyle w:val="VerbatimChar"/>
              </w:rPr>
              <w:t>bess_uc/</w:t>
            </w:r>
            <w:r>
              <w:t xml:space="preserve"> y </w:t>
            </w:r>
            <w:r>
              <w:rPr>
                <w:rStyle w:val="VerbatimChar"/>
              </w:rPr>
              <w:t>main.py</w:t>
            </w:r>
          </w:p>
        </w:tc>
        <w:tc>
          <w:tcPr>
            <w:tcW w:w="6202" w:type="dxa"/>
          </w:tcPr>
          <w:p w14:paraId="11A06675" w14:textId="77777777" w:rsidR="00391E92" w:rsidRDefault="00837F5F">
            <w:pPr>
              <w:pStyle w:val="Compact"/>
            </w:pPr>
            <w:r>
              <w:t xml:space="preserve">El modelo y el código que corre todo (punto de entrada: </w:t>
            </w:r>
            <w:r>
              <w:rPr>
                <w:rStyle w:val="VerbatimChar"/>
              </w:rPr>
              <w:t>main.py</w:t>
            </w:r>
            <w:r>
              <w:t>)</w:t>
            </w:r>
          </w:p>
        </w:tc>
      </w:tr>
      <w:tr w:rsidR="00391E92" w14:paraId="11A06679" w14:textId="77777777" w:rsidTr="00391E92">
        <w:trPr>
          <w:cantSplit/>
        </w:trPr>
        <w:tc>
          <w:tcPr>
            <w:tcW w:w="3445" w:type="dxa"/>
            <w:shd w:val="clear" w:color="auto" w:fill="F3F6FA"/>
          </w:tcPr>
          <w:p w14:paraId="11A06677" w14:textId="77777777" w:rsidR="00391E92" w:rsidRDefault="00837F5F">
            <w:pPr>
              <w:pStyle w:val="Compact"/>
            </w:pPr>
            <w:r>
              <w:rPr>
                <w:rStyle w:val="VerbatimChar"/>
              </w:rPr>
              <w:t>data/input_UC_IEEE24.xlsx</w:t>
            </w:r>
          </w:p>
        </w:tc>
        <w:tc>
          <w:tcPr>
            <w:tcW w:w="6202" w:type="dxa"/>
            <w:shd w:val="clear" w:color="auto" w:fill="F3F6FA"/>
          </w:tcPr>
          <w:p w14:paraId="11A06678" w14:textId="77777777" w:rsidR="00391E92" w:rsidRDefault="00837F5F">
            <w:pPr>
              <w:pStyle w:val="Compact"/>
            </w:pPr>
            <w:r>
              <w:t>Datos de entrada</w:t>
            </w:r>
          </w:p>
        </w:tc>
      </w:tr>
      <w:tr w:rsidR="00391E92" w14:paraId="11A0667C" w14:textId="77777777" w:rsidTr="00391E92">
        <w:trPr>
          <w:cantSplit/>
        </w:trPr>
        <w:tc>
          <w:tcPr>
            <w:tcW w:w="3445" w:type="dxa"/>
          </w:tcPr>
          <w:p w14:paraId="11A0667A" w14:textId="77777777" w:rsidR="00391E92" w:rsidRDefault="00837F5F">
            <w:pPr>
              <w:pStyle w:val="Compact"/>
            </w:pPr>
            <w:r>
              <w:rPr>
                <w:rStyle w:val="VerbatimChar"/>
              </w:rPr>
              <w:t>docs/Documentacion_modelo_BESS.docx</w:t>
            </w:r>
            <w:r>
              <w:t xml:space="preserve"> y </w:t>
            </w:r>
            <w:r>
              <w:rPr>
                <w:rStyle w:val="VerbatimChar"/>
              </w:rPr>
              <w:t>docs/modelo_bess.md</w:t>
            </w:r>
          </w:p>
        </w:tc>
        <w:tc>
          <w:tcPr>
            <w:tcW w:w="6202" w:type="dxa"/>
          </w:tcPr>
          <w:p w14:paraId="11A0667B" w14:textId="77777777" w:rsidR="00391E92" w:rsidRDefault="00837F5F">
            <w:pPr>
              <w:pStyle w:val="Compact"/>
            </w:pPr>
            <w:r>
              <w:t>Documentación del modelo (punto 1)</w:t>
            </w:r>
          </w:p>
        </w:tc>
      </w:tr>
      <w:tr w:rsidR="00391E92" w14:paraId="11A0667F" w14:textId="77777777" w:rsidTr="00391E92">
        <w:trPr>
          <w:cantSplit/>
        </w:trPr>
        <w:tc>
          <w:tcPr>
            <w:tcW w:w="3445" w:type="dxa"/>
            <w:shd w:val="clear" w:color="auto" w:fill="F3F6FA"/>
          </w:tcPr>
          <w:p w14:paraId="11A0667D" w14:textId="77777777" w:rsidR="00391E92" w:rsidRDefault="00837F5F">
            <w:pPr>
              <w:pStyle w:val="Compact"/>
            </w:pPr>
            <w:r>
              <w:rPr>
                <w:rStyle w:val="VerbatimChar"/>
              </w:rPr>
              <w:t>docs/Analisis_resultados_BESS.docx</w:t>
            </w:r>
          </w:p>
        </w:tc>
        <w:tc>
          <w:tcPr>
            <w:tcW w:w="6202" w:type="dxa"/>
            <w:shd w:val="clear" w:color="auto" w:fill="F3F6FA"/>
          </w:tcPr>
          <w:p w14:paraId="11A0667E" w14:textId="77777777" w:rsidR="00391E92" w:rsidRDefault="00837F5F">
            <w:pPr>
              <w:pStyle w:val="Compact"/>
            </w:pPr>
            <w:r>
              <w:t>Este documento de análisis</w:t>
            </w:r>
          </w:p>
        </w:tc>
      </w:tr>
      <w:tr w:rsidR="00391E92" w14:paraId="11A06682" w14:textId="77777777" w:rsidTr="00391E92">
        <w:trPr>
          <w:cantSplit/>
        </w:trPr>
        <w:tc>
          <w:tcPr>
            <w:tcW w:w="3445" w:type="dxa"/>
          </w:tcPr>
          <w:p w14:paraId="11A06680" w14:textId="77777777" w:rsidR="00391E92" w:rsidRDefault="00837F5F">
            <w:pPr>
              <w:pStyle w:val="Compact"/>
            </w:pPr>
            <w:r>
              <w:rPr>
                <w:rStyle w:val="VerbatimChar"/>
              </w:rPr>
              <w:t>results/resultados.xlsx</w:t>
            </w:r>
          </w:p>
        </w:tc>
        <w:tc>
          <w:tcPr>
            <w:tcW w:w="6202" w:type="dxa"/>
          </w:tcPr>
          <w:p w14:paraId="11A06681" w14:textId="77777777" w:rsidR="00391E92" w:rsidRDefault="00837F5F">
            <w:pPr>
              <w:pStyle w:val="Compact"/>
            </w:pPr>
            <w:r>
              <w:t>Barrido, series horarias y comparación con/sin red</w:t>
            </w:r>
          </w:p>
        </w:tc>
      </w:tr>
      <w:tr w:rsidR="00391E92" w14:paraId="11A06685" w14:textId="77777777" w:rsidTr="00391E92">
        <w:trPr>
          <w:cantSplit/>
        </w:trPr>
        <w:tc>
          <w:tcPr>
            <w:tcW w:w="3445" w:type="dxa"/>
            <w:shd w:val="clear" w:color="auto" w:fill="F3F6FA"/>
          </w:tcPr>
          <w:p w14:paraId="11A06683" w14:textId="77777777" w:rsidR="00391E92" w:rsidRDefault="00837F5F">
            <w:pPr>
              <w:pStyle w:val="Compact"/>
            </w:pPr>
            <w:r>
              <w:rPr>
                <w:rStyle w:val="VerbatimChar"/>
              </w:rPr>
              <w:t>results/resumen.md</w:t>
            </w:r>
            <w:r>
              <w:t xml:space="preserve">, </w:t>
            </w:r>
            <w:r>
              <w:rPr>
                <w:rStyle w:val="VerbatimChar"/>
              </w:rPr>
              <w:t>results/*.csv</w:t>
            </w:r>
            <w:r>
              <w:t xml:space="preserve">, </w:t>
            </w:r>
            <w:r>
              <w:rPr>
                <w:rStyle w:val="VerbatimChar"/>
              </w:rPr>
              <w:t>results/*.png</w:t>
            </w:r>
          </w:p>
        </w:tc>
        <w:tc>
          <w:tcPr>
            <w:tcW w:w="6202" w:type="dxa"/>
            <w:shd w:val="clear" w:color="auto" w:fill="F3F6FA"/>
          </w:tcPr>
          <w:p w14:paraId="11A06684" w14:textId="77777777" w:rsidR="00391E92" w:rsidRDefault="00837F5F">
            <w:pPr>
              <w:pStyle w:val="Compact"/>
            </w:pPr>
            <w:r>
              <w:t>Resumen de cifras, tablas y las tres figuras</w:t>
            </w:r>
          </w:p>
        </w:tc>
      </w:tr>
      <w:tr w:rsidR="00391E92" w14:paraId="11A06688" w14:textId="77777777" w:rsidTr="00391E92">
        <w:trPr>
          <w:cantSplit/>
        </w:trPr>
        <w:tc>
          <w:tcPr>
            <w:tcW w:w="3445" w:type="dxa"/>
          </w:tcPr>
          <w:p w14:paraId="11A06686" w14:textId="77777777" w:rsidR="00391E92" w:rsidRDefault="00837F5F">
            <w:pPr>
              <w:pStyle w:val="Compact"/>
            </w:pPr>
            <w:r>
              <w:rPr>
                <w:rStyle w:val="VerbatimChar"/>
              </w:rPr>
              <w:t>results/sensibilidades/</w:t>
            </w:r>
          </w:p>
        </w:tc>
        <w:tc>
          <w:tcPr>
            <w:tcW w:w="6202" w:type="dxa"/>
          </w:tcPr>
          <w:p w14:paraId="11A06687" w14:textId="77777777" w:rsidR="00391E92" w:rsidRDefault="00837F5F">
            <w:pPr>
              <w:pStyle w:val="Compact"/>
            </w:pPr>
            <w:r>
              <w:t>Corridas con el modelo original del curso y con SOC final</w:t>
            </w:r>
          </w:p>
        </w:tc>
      </w:tr>
    </w:tbl>
    <w:p w14:paraId="11A06689" w14:textId="77777777" w:rsidR="00391E92" w:rsidRDefault="00837F5F">
      <w:pPr>
        <w:pStyle w:val="Textoindependiente"/>
        <w:spacing w:before="160"/>
      </w:pPr>
      <w:r>
        <w:t xml:space="preserve">Para reproducir los resultados: </w:t>
      </w:r>
      <w:r>
        <w:rPr>
          <w:rStyle w:val="VerbatimChar"/>
        </w:rPr>
        <w:t>pip install -r requirements.txt</w:t>
      </w:r>
      <w:r>
        <w:t xml:space="preserve"> y luego </w:t>
      </w:r>
      <w:r>
        <w:rPr>
          <w:rStyle w:val="VerbatimChar"/>
        </w:rPr>
        <w:t>python main.py --cedula "001 036 450 633"</w:t>
      </w:r>
      <w:r>
        <w:t xml:space="preserve"> (unos 3 a 4 minutos).</w:t>
      </w:r>
    </w:p>
    <w:p w14:paraId="6E3073C7" w14:textId="5B169136" w:rsidR="00ED6DE4" w:rsidRDefault="0067356B" w:rsidP="00ED6DE4">
      <w:pPr>
        <w:pStyle w:val="Ttulo1"/>
        <w:numPr>
          <w:ilvl w:val="0"/>
          <w:numId w:val="10"/>
        </w:numPr>
      </w:pPr>
      <w:r>
        <w:t>Autor</w:t>
      </w:r>
    </w:p>
    <w:bookmarkEnd w:id="9"/>
    <w:p w14:paraId="120BEE8D" w14:textId="323D40D8" w:rsidR="00ED6DE4" w:rsidRDefault="00970FED">
      <w:pPr>
        <w:pStyle w:val="Textoindependiente"/>
        <w:spacing w:before="160"/>
      </w:pPr>
      <w:r w:rsidRPr="006C1FAF">
        <w:rPr>
          <w:i/>
          <w:noProof/>
        </w:rPr>
        <w:drawing>
          <wp:anchor distT="0" distB="0" distL="114300" distR="114300" simplePos="0" relativeHeight="251659264" behindDoc="0" locked="0" layoutInCell="1" allowOverlap="1" wp14:anchorId="72ED68DF" wp14:editId="2319E76D">
            <wp:simplePos x="0" y="0"/>
            <wp:positionH relativeFrom="column">
              <wp:posOffset>0</wp:posOffset>
            </wp:positionH>
            <wp:positionV relativeFrom="paragraph">
              <wp:posOffset>62783</wp:posOffset>
            </wp:positionV>
            <wp:extent cx="1425575" cy="1603375"/>
            <wp:effectExtent l="0" t="0" r="0" b="0"/>
            <wp:wrapSquare wrapText="bothSides"/>
            <wp:docPr id="63362659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26598" name="Imagen 17"/>
                    <pic:cNvPicPr/>
                  </pic:nvPicPr>
                  <pic:blipFill rotWithShape="1">
                    <a:blip r:embed="rId10"/>
                    <a:srcRect t="19702" b="17495"/>
                    <a:stretch>
                      <a:fillRect/>
                    </a:stretch>
                  </pic:blipFill>
                  <pic:spPr bwMode="auto">
                    <a:xfrm>
                      <a:off x="0" y="0"/>
                      <a:ext cx="1425575" cy="1603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4443C">
        <w:t>S</w:t>
      </w:r>
      <w:r w:rsidR="0074443C" w:rsidRPr="0074443C">
        <w:t>amuel Arango Benítez es estudiante de sexto semestre de Ingeniería Eléctrica de la Universidad Pontificia Bolivariana. Se ha destacado por su participación académica y de liderazgo como primer lugar en feria de ciencia en el bachillerato con su proyecto de sostenibilidad ‘Dataplay’, monitor de Circuitos Eléctricos II durante 2026, integrante del semillero de líderes COCIER y líder del área eléctrica del equipo que representó a la universidad en la V Competencia Nacional de Vehículos de Tracción Eléctrica (V VTE) donde se desempeñó como líder de la componente eléctrica. es un entusiasta del desarrollo sostenible, las energías limpias, la música como guitarrista, jugador aficionado de baloncesto participando en varias competiciones locales e internacionales y medallista en artes marciales con el municipio de envigado.</w:t>
      </w:r>
    </w:p>
    <w:sectPr w:rsidR="00ED6DE4">
      <w:footerReference w:type="default" r:id="rId11"/>
      <w:pgSz w:w="12240" w:h="15840"/>
      <w:pgMar w:top="1296" w:right="1296" w:bottom="1296"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60FAC" w14:textId="77777777" w:rsidR="003024D5" w:rsidRDefault="003024D5">
      <w:pPr>
        <w:spacing w:after="0"/>
      </w:pPr>
      <w:r>
        <w:separator/>
      </w:r>
    </w:p>
  </w:endnote>
  <w:endnote w:type="continuationSeparator" w:id="0">
    <w:p w14:paraId="3EF6EBAB" w14:textId="77777777" w:rsidR="003024D5" w:rsidRDefault="003024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06692" w14:textId="0C40249E" w:rsidR="00391E92" w:rsidRDefault="00837F5F">
    <w:pPr>
      <w:jc w:val="center"/>
    </w:pPr>
    <w:r>
      <w:rPr>
        <w:color w:val="777777"/>
        <w:sz w:val="17"/>
      </w:rPr>
      <w:t xml:space="preserve">Análisis de resultados · BESS  ·  Página </w:t>
    </w:r>
    <w:r>
      <w:rPr>
        <w:color w:val="777777"/>
        <w:sz w:val="17"/>
      </w:rPr>
      <w:fldChar w:fldCharType="begin"/>
    </w:r>
    <w:r>
      <w:rPr>
        <w:color w:val="777777"/>
        <w:sz w:val="17"/>
      </w:rPr>
      <w:instrText xml:space="preserve"> PAGE </w:instrText>
    </w:r>
    <w:r>
      <w:rPr>
        <w:color w:val="777777"/>
        <w:sz w:val="17"/>
      </w:rPr>
      <w:fldChar w:fldCharType="separate"/>
    </w:r>
    <w:r w:rsidR="00F62D42">
      <w:rPr>
        <w:noProof/>
        <w:color w:val="777777"/>
        <w:sz w:val="17"/>
      </w:rPr>
      <w:t>1</w:t>
    </w:r>
    <w:r>
      <w:rPr>
        <w:color w:val="777777"/>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24702" w14:textId="77777777" w:rsidR="003024D5" w:rsidRDefault="003024D5">
      <w:r>
        <w:separator/>
      </w:r>
    </w:p>
  </w:footnote>
  <w:footnote w:type="continuationSeparator" w:id="0">
    <w:p w14:paraId="52EB60D9" w14:textId="77777777" w:rsidR="003024D5" w:rsidRDefault="003024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CE36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F5EFB2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898FC2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4C5B789A"/>
    <w:multiLevelType w:val="hybridMultilevel"/>
    <w:tmpl w:val="087A9E20"/>
    <w:lvl w:ilvl="0" w:tplc="240A000F">
      <w:start w:val="8"/>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7572859"/>
    <w:multiLevelType w:val="hybridMultilevel"/>
    <w:tmpl w:val="0C16246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75828221">
    <w:abstractNumId w:val="0"/>
  </w:num>
  <w:num w:numId="2" w16cid:durableId="712998297">
    <w:abstractNumId w:val="1"/>
  </w:num>
  <w:num w:numId="3" w16cid:durableId="1268656314">
    <w:abstractNumId w:val="1"/>
  </w:num>
  <w:num w:numId="4" w16cid:durableId="283117221">
    <w:abstractNumId w:val="1"/>
  </w:num>
  <w:num w:numId="5" w16cid:durableId="530610089">
    <w:abstractNumId w:val="1"/>
  </w:num>
  <w:num w:numId="6" w16cid:durableId="758910421">
    <w:abstractNumId w:val="1"/>
  </w:num>
  <w:num w:numId="7" w16cid:durableId="1302005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6365785">
    <w:abstractNumId w:val="1"/>
  </w:num>
  <w:num w:numId="9" w16cid:durableId="1969815714">
    <w:abstractNumId w:val="4"/>
  </w:num>
  <w:num w:numId="10" w16cid:durableId="20528734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91E92"/>
    <w:rsid w:val="003024D5"/>
    <w:rsid w:val="00391E92"/>
    <w:rsid w:val="00407BBF"/>
    <w:rsid w:val="0067356B"/>
    <w:rsid w:val="0074443C"/>
    <w:rsid w:val="007A0B53"/>
    <w:rsid w:val="00837F5F"/>
    <w:rsid w:val="00970FED"/>
    <w:rsid w:val="00B94F14"/>
    <w:rsid w:val="00D64E9A"/>
    <w:rsid w:val="00ED6DE4"/>
    <w:rsid w:val="00F62D4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065A4"/>
  <w15:docId w15:val="{01DA5FC6-A4EC-4C41-A61F-7286E58F1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2"/>
    </w:rPr>
  </w:style>
  <w:style w:type="paragraph" w:styleId="Ttulo1">
    <w:name w:val="heading 1"/>
    <w:basedOn w:val="Normal"/>
    <w:next w:val="Textoindependiente"/>
    <w:uiPriority w:val="9"/>
    <w:qFormat/>
    <w:rsid w:val="00F62D42"/>
    <w:pPr>
      <w:keepNext/>
      <w:keepLines/>
      <w:spacing w:before="360" w:after="120"/>
      <w:outlineLvl w:val="0"/>
    </w:pPr>
    <w:rPr>
      <w:rFonts w:ascii="Times New Roman" w:hAnsi="Times New Roman"/>
      <w:b/>
      <w:bCs/>
      <w:color w:val="000000" w:themeColor="text1"/>
      <w:sz w:val="24"/>
      <w:szCs w:val="32"/>
    </w:rPr>
  </w:style>
  <w:style w:type="paragraph" w:styleId="Ttulo2">
    <w:name w:val="heading 2"/>
    <w:basedOn w:val="Normal"/>
    <w:next w:val="Textoindependiente"/>
    <w:uiPriority w:val="9"/>
    <w:unhideWhenUsed/>
    <w:qFormat/>
    <w:rsid w:val="00F62D42"/>
    <w:pPr>
      <w:keepNext/>
      <w:keepLines/>
      <w:spacing w:before="240" w:after="80"/>
      <w:outlineLvl w:val="1"/>
    </w:pPr>
    <w:rPr>
      <w:rFonts w:ascii="Times New Roman" w:hAnsi="Times New Roman"/>
      <w:b/>
      <w:bCs/>
      <w:color w:val="000000" w:themeColor="text1"/>
      <w:sz w:val="24"/>
      <w:szCs w:val="28"/>
    </w:rPr>
  </w:style>
  <w:style w:type="paragraph" w:styleId="Ttulo3">
    <w:name w:val="heading 3"/>
    <w:basedOn w:val="Normal"/>
    <w:next w:val="Textoindependiente"/>
    <w:uiPriority w:val="9"/>
    <w:unhideWhenUsed/>
    <w:qFormat/>
    <w:pPr>
      <w:keepNext/>
      <w:keepLines/>
      <w:spacing w:before="200" w:after="60"/>
      <w:outlineLvl w:val="2"/>
    </w:pPr>
    <w:rPr>
      <w:b/>
      <w:bCs/>
      <w:color w:val="1F4E79"/>
      <w:sz w:val="23"/>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rsid w:val="00F62D42"/>
    <w:pPr>
      <w:spacing w:after="120" w:line="269" w:lineRule="auto"/>
    </w:pPr>
    <w:rPr>
      <w:rFonts w:ascii="Times New Roman" w:hAnsi="Times New Roman"/>
      <w:sz w:val="24"/>
    </w:rPr>
  </w:style>
  <w:style w:type="paragraph" w:customStyle="1" w:styleId="FirstParagraph">
    <w:name w:val="First Paragraph"/>
    <w:basedOn w:val="Textoindependiente"/>
    <w:next w:val="Textoindependiente"/>
    <w:qFormat/>
    <w:rPr>
      <w:rFonts w:ascii="Calibri" w:hAnsi="Calibri"/>
      <w:sz w:val="22"/>
    </w:rPr>
  </w:style>
  <w:style w:type="paragraph" w:customStyle="1" w:styleId="Compact">
    <w:name w:val="Compact"/>
    <w:basedOn w:val="Textoindependiente"/>
    <w:qFormat/>
    <w:rsid w:val="00407BBF"/>
    <w:pPr>
      <w:spacing w:before="20" w:after="20"/>
    </w:pPr>
    <w:rPr>
      <w:sz w:val="19"/>
    </w:rPr>
  </w:style>
  <w:style w:type="paragraph" w:styleId="Ttulo">
    <w:name w:val="Title"/>
    <w:basedOn w:val="Normal"/>
    <w:next w:val="Textoindependiente"/>
    <w:qFormat/>
    <w:rsid w:val="00F62D42"/>
    <w:pPr>
      <w:keepNext/>
      <w:keepLines/>
      <w:spacing w:before="480" w:after="80" w:line="360" w:lineRule="auto"/>
      <w:jc w:val="center"/>
    </w:pPr>
    <w:rPr>
      <w:rFonts w:ascii="Times New Roman" w:hAnsi="Times New Roman"/>
      <w:b/>
      <w:bCs/>
      <w:color w:val="000000" w:themeColor="text1"/>
      <w:sz w:val="28"/>
      <w:szCs w:val="36"/>
    </w:rPr>
  </w:style>
  <w:style w:type="paragraph" w:styleId="Subttulo">
    <w:name w:val="Subtitle"/>
    <w:basedOn w:val="Ttulo"/>
    <w:next w:val="Textoindependiente"/>
    <w:qFormat/>
    <w:rsid w:val="00F62D42"/>
    <w:pPr>
      <w:spacing w:before="240" w:after="240"/>
      <w:jc w:val="left"/>
    </w:pPr>
    <w:rPr>
      <w:b w:val="0"/>
      <w:sz w:val="24"/>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pPr>
    <w:rPr>
      <w:rFonts w:ascii="Calibri" w:eastAsia="Calibri" w:hAnsi="Calibri" w:cs="Calibri"/>
      <w:color w:val="555555"/>
      <w:sz w:val="21"/>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rPr>
      <w:b/>
      <w:color w:val="333333"/>
      <w:sz w:val="20"/>
    </w:rPr>
  </w:style>
  <w:style w:type="paragraph" w:customStyle="1" w:styleId="ImageCaption">
    <w:name w:val="Image Caption"/>
    <w:basedOn w:val="Descripcin"/>
    <w:pPr>
      <w:jc w:val="center"/>
    </w:pPr>
    <w:rPr>
      <w:color w:val="444444"/>
      <w:sz w:val="19"/>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eastAsia="Consolas" w:hAnsi="Consolas" w:cs="Consolas"/>
      <w:sz w:val="18"/>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eastAsia="Consolas" w:hAnsi="Consolas" w:cs="Consolas"/>
      <w:b/>
      <w:color w:val="007020"/>
      <w:sz w:val="18"/>
    </w:rPr>
  </w:style>
  <w:style w:type="character" w:customStyle="1" w:styleId="DataTypeTok">
    <w:name w:val="DataTypeTok"/>
    <w:basedOn w:val="VerbatimChar"/>
    <w:rPr>
      <w:rFonts w:ascii="Consolas" w:eastAsia="Consolas" w:hAnsi="Consolas" w:cs="Consolas"/>
      <w:color w:val="902000"/>
      <w:sz w:val="18"/>
    </w:rPr>
  </w:style>
  <w:style w:type="character" w:customStyle="1" w:styleId="DecValTok">
    <w:name w:val="DecValTok"/>
    <w:basedOn w:val="VerbatimChar"/>
    <w:rPr>
      <w:rFonts w:ascii="Consolas" w:eastAsia="Consolas" w:hAnsi="Consolas" w:cs="Consolas"/>
      <w:color w:val="40A070"/>
      <w:sz w:val="18"/>
    </w:rPr>
  </w:style>
  <w:style w:type="character" w:customStyle="1" w:styleId="BaseNTok">
    <w:name w:val="BaseNTok"/>
    <w:basedOn w:val="VerbatimChar"/>
    <w:rPr>
      <w:rFonts w:ascii="Consolas" w:eastAsia="Consolas" w:hAnsi="Consolas" w:cs="Consolas"/>
      <w:color w:val="40A070"/>
      <w:sz w:val="18"/>
    </w:rPr>
  </w:style>
  <w:style w:type="character" w:customStyle="1" w:styleId="FloatTok">
    <w:name w:val="FloatTok"/>
    <w:basedOn w:val="VerbatimChar"/>
    <w:rPr>
      <w:rFonts w:ascii="Consolas" w:eastAsia="Consolas" w:hAnsi="Consolas" w:cs="Consolas"/>
      <w:color w:val="40A070"/>
      <w:sz w:val="18"/>
    </w:rPr>
  </w:style>
  <w:style w:type="character" w:customStyle="1" w:styleId="ConstantTok">
    <w:name w:val="ConstantTok"/>
    <w:basedOn w:val="VerbatimChar"/>
    <w:rPr>
      <w:rFonts w:ascii="Consolas" w:eastAsia="Consolas" w:hAnsi="Consolas" w:cs="Consolas"/>
      <w:color w:val="880000"/>
      <w:sz w:val="18"/>
    </w:rPr>
  </w:style>
  <w:style w:type="character" w:customStyle="1" w:styleId="CharTok">
    <w:name w:val="CharTok"/>
    <w:basedOn w:val="VerbatimChar"/>
    <w:rPr>
      <w:rFonts w:ascii="Consolas" w:eastAsia="Consolas" w:hAnsi="Consolas" w:cs="Consolas"/>
      <w:color w:val="4070A0"/>
      <w:sz w:val="18"/>
    </w:rPr>
  </w:style>
  <w:style w:type="character" w:customStyle="1" w:styleId="SpecialCharTok">
    <w:name w:val="SpecialCharTok"/>
    <w:basedOn w:val="VerbatimChar"/>
    <w:rPr>
      <w:rFonts w:ascii="Consolas" w:eastAsia="Consolas" w:hAnsi="Consolas" w:cs="Consolas"/>
      <w:color w:val="4070A0"/>
      <w:sz w:val="18"/>
    </w:rPr>
  </w:style>
  <w:style w:type="character" w:customStyle="1" w:styleId="StringTok">
    <w:name w:val="StringTok"/>
    <w:basedOn w:val="VerbatimChar"/>
    <w:rPr>
      <w:rFonts w:ascii="Consolas" w:eastAsia="Consolas" w:hAnsi="Consolas" w:cs="Consolas"/>
      <w:color w:val="4070A0"/>
      <w:sz w:val="18"/>
    </w:rPr>
  </w:style>
  <w:style w:type="character" w:customStyle="1" w:styleId="VerbatimStringTok">
    <w:name w:val="VerbatimStringTok"/>
    <w:basedOn w:val="VerbatimChar"/>
    <w:rPr>
      <w:rFonts w:ascii="Consolas" w:eastAsia="Consolas" w:hAnsi="Consolas" w:cs="Consolas"/>
      <w:color w:val="4070A0"/>
      <w:sz w:val="18"/>
    </w:rPr>
  </w:style>
  <w:style w:type="character" w:customStyle="1" w:styleId="SpecialStringTok">
    <w:name w:val="SpecialStringTok"/>
    <w:basedOn w:val="VerbatimChar"/>
    <w:rPr>
      <w:rFonts w:ascii="Consolas" w:eastAsia="Consolas" w:hAnsi="Consolas" w:cs="Consolas"/>
      <w:color w:val="BB6688"/>
      <w:sz w:val="18"/>
    </w:rPr>
  </w:style>
  <w:style w:type="character" w:customStyle="1" w:styleId="ImportTok">
    <w:name w:val="ImportTok"/>
    <w:basedOn w:val="VerbatimChar"/>
    <w:rPr>
      <w:rFonts w:ascii="Consolas" w:eastAsia="Consolas" w:hAnsi="Consolas" w:cs="Consolas"/>
      <w:b/>
      <w:color w:val="008000"/>
      <w:sz w:val="18"/>
    </w:rPr>
  </w:style>
  <w:style w:type="character" w:customStyle="1" w:styleId="CommentTok">
    <w:name w:val="CommentTok"/>
    <w:basedOn w:val="VerbatimChar"/>
    <w:rPr>
      <w:rFonts w:ascii="Consolas" w:eastAsia="Consolas" w:hAnsi="Consolas" w:cs="Consolas"/>
      <w:i/>
      <w:color w:val="60A0B0"/>
      <w:sz w:val="18"/>
    </w:rPr>
  </w:style>
  <w:style w:type="character" w:customStyle="1" w:styleId="DocumentationTok">
    <w:name w:val="DocumentationTok"/>
    <w:basedOn w:val="VerbatimChar"/>
    <w:rPr>
      <w:rFonts w:ascii="Consolas" w:eastAsia="Consolas" w:hAnsi="Consolas" w:cs="Consolas"/>
      <w:i/>
      <w:color w:val="BA2121"/>
      <w:sz w:val="18"/>
    </w:rPr>
  </w:style>
  <w:style w:type="character" w:customStyle="1" w:styleId="AnnotationTok">
    <w:name w:val="AnnotationTok"/>
    <w:basedOn w:val="VerbatimChar"/>
    <w:rPr>
      <w:rFonts w:ascii="Consolas" w:eastAsia="Consolas" w:hAnsi="Consolas" w:cs="Consolas"/>
      <w:b/>
      <w:i/>
      <w:color w:val="60A0B0"/>
      <w:sz w:val="18"/>
    </w:rPr>
  </w:style>
  <w:style w:type="character" w:customStyle="1" w:styleId="CommentVarTok">
    <w:name w:val="CommentVarTok"/>
    <w:basedOn w:val="VerbatimChar"/>
    <w:rPr>
      <w:rFonts w:ascii="Consolas" w:eastAsia="Consolas" w:hAnsi="Consolas" w:cs="Consolas"/>
      <w:b/>
      <w:i/>
      <w:color w:val="60A0B0"/>
      <w:sz w:val="18"/>
    </w:rPr>
  </w:style>
  <w:style w:type="character" w:customStyle="1" w:styleId="OtherTok">
    <w:name w:val="OtherTok"/>
    <w:basedOn w:val="VerbatimChar"/>
    <w:rPr>
      <w:rFonts w:ascii="Consolas" w:eastAsia="Consolas" w:hAnsi="Consolas" w:cs="Consolas"/>
      <w:color w:val="007020"/>
      <w:sz w:val="18"/>
    </w:rPr>
  </w:style>
  <w:style w:type="character" w:customStyle="1" w:styleId="FunctionTok">
    <w:name w:val="FunctionTok"/>
    <w:basedOn w:val="VerbatimChar"/>
    <w:rPr>
      <w:rFonts w:ascii="Consolas" w:eastAsia="Consolas" w:hAnsi="Consolas" w:cs="Consolas"/>
      <w:color w:val="06287E"/>
      <w:sz w:val="18"/>
    </w:rPr>
  </w:style>
  <w:style w:type="character" w:customStyle="1" w:styleId="VariableTok">
    <w:name w:val="VariableTok"/>
    <w:basedOn w:val="VerbatimChar"/>
    <w:rPr>
      <w:rFonts w:ascii="Consolas" w:eastAsia="Consolas" w:hAnsi="Consolas" w:cs="Consolas"/>
      <w:color w:val="19177C"/>
      <w:sz w:val="18"/>
    </w:rPr>
  </w:style>
  <w:style w:type="character" w:customStyle="1" w:styleId="ControlFlowTok">
    <w:name w:val="ControlFlowTok"/>
    <w:basedOn w:val="VerbatimChar"/>
    <w:rPr>
      <w:rFonts w:ascii="Consolas" w:eastAsia="Consolas" w:hAnsi="Consolas" w:cs="Consolas"/>
      <w:b/>
      <w:color w:val="007020"/>
      <w:sz w:val="18"/>
    </w:rPr>
  </w:style>
  <w:style w:type="character" w:customStyle="1" w:styleId="OperatorTok">
    <w:name w:val="OperatorTok"/>
    <w:basedOn w:val="VerbatimChar"/>
    <w:rPr>
      <w:rFonts w:ascii="Consolas" w:eastAsia="Consolas" w:hAnsi="Consolas" w:cs="Consolas"/>
      <w:color w:val="666666"/>
      <w:sz w:val="18"/>
    </w:rPr>
  </w:style>
  <w:style w:type="character" w:customStyle="1" w:styleId="BuiltInTok">
    <w:name w:val="BuiltInTok"/>
    <w:basedOn w:val="VerbatimChar"/>
    <w:rPr>
      <w:rFonts w:ascii="Consolas" w:eastAsia="Consolas" w:hAnsi="Consolas" w:cs="Consolas"/>
      <w:color w:val="008000"/>
      <w:sz w:val="18"/>
    </w:rPr>
  </w:style>
  <w:style w:type="character" w:customStyle="1" w:styleId="ExtensionTok">
    <w:name w:val="ExtensionTok"/>
    <w:basedOn w:val="VerbatimChar"/>
    <w:rPr>
      <w:rFonts w:ascii="Consolas" w:eastAsia="Consolas" w:hAnsi="Consolas" w:cs="Consolas"/>
      <w:sz w:val="18"/>
    </w:rPr>
  </w:style>
  <w:style w:type="character" w:customStyle="1" w:styleId="PreprocessorTok">
    <w:name w:val="PreprocessorTok"/>
    <w:basedOn w:val="VerbatimChar"/>
    <w:rPr>
      <w:rFonts w:ascii="Consolas" w:eastAsia="Consolas" w:hAnsi="Consolas" w:cs="Consolas"/>
      <w:color w:val="BC7A00"/>
      <w:sz w:val="18"/>
    </w:rPr>
  </w:style>
  <w:style w:type="character" w:customStyle="1" w:styleId="AttributeTok">
    <w:name w:val="AttributeTok"/>
    <w:basedOn w:val="VerbatimChar"/>
    <w:rPr>
      <w:rFonts w:ascii="Consolas" w:eastAsia="Consolas" w:hAnsi="Consolas" w:cs="Consolas"/>
      <w:color w:val="7D9029"/>
      <w:sz w:val="18"/>
    </w:rPr>
  </w:style>
  <w:style w:type="character" w:customStyle="1" w:styleId="RegionMarkerTok">
    <w:name w:val="RegionMarkerTok"/>
    <w:basedOn w:val="VerbatimChar"/>
    <w:rPr>
      <w:rFonts w:ascii="Consolas" w:eastAsia="Consolas" w:hAnsi="Consolas" w:cs="Consolas"/>
      <w:sz w:val="18"/>
    </w:rPr>
  </w:style>
  <w:style w:type="character" w:customStyle="1" w:styleId="InformationTok">
    <w:name w:val="InformationTok"/>
    <w:basedOn w:val="VerbatimChar"/>
    <w:rPr>
      <w:rFonts w:ascii="Consolas" w:eastAsia="Consolas" w:hAnsi="Consolas" w:cs="Consolas"/>
      <w:b/>
      <w:i/>
      <w:color w:val="60A0B0"/>
      <w:sz w:val="18"/>
    </w:rPr>
  </w:style>
  <w:style w:type="character" w:customStyle="1" w:styleId="WarningTok">
    <w:name w:val="WarningTok"/>
    <w:basedOn w:val="VerbatimChar"/>
    <w:rPr>
      <w:rFonts w:ascii="Consolas" w:eastAsia="Consolas" w:hAnsi="Consolas" w:cs="Consolas"/>
      <w:b/>
      <w:i/>
      <w:color w:val="60A0B0"/>
      <w:sz w:val="18"/>
    </w:rPr>
  </w:style>
  <w:style w:type="character" w:customStyle="1" w:styleId="AlertTok">
    <w:name w:val="AlertTok"/>
    <w:basedOn w:val="VerbatimChar"/>
    <w:rPr>
      <w:rFonts w:ascii="Consolas" w:eastAsia="Consolas" w:hAnsi="Consolas" w:cs="Consolas"/>
      <w:b/>
      <w:color w:val="FF0000"/>
      <w:sz w:val="18"/>
    </w:rPr>
  </w:style>
  <w:style w:type="character" w:customStyle="1" w:styleId="ErrorTok">
    <w:name w:val="ErrorTok"/>
    <w:basedOn w:val="VerbatimChar"/>
    <w:rPr>
      <w:rFonts w:ascii="Consolas" w:eastAsia="Consolas" w:hAnsi="Consolas" w:cs="Consolas"/>
      <w:b/>
      <w:color w:val="FF0000"/>
      <w:sz w:val="18"/>
    </w:rPr>
  </w:style>
  <w:style w:type="character" w:customStyle="1" w:styleId="NormalTok">
    <w:name w:val="NormalTok"/>
    <w:basedOn w:val="VerbatimChar"/>
    <w:rPr>
      <w:rFonts w:ascii="Consolas" w:eastAsia="Consolas" w:hAnsi="Consolas" w:cs="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2104</Words>
  <Characters>11574</Characters>
  <Application>Microsoft Office Word</Application>
  <DocSecurity>0</DocSecurity>
  <Lines>96</Lines>
  <Paragraphs>27</Paragraphs>
  <ScaleCrop>false</ScaleCrop>
  <Company/>
  <LinksUpToDate>false</LinksUpToDate>
  <CharactersWithSpaces>13651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resultados</dc:title>
  <dc:creator/>
  <cp:keywords/>
  <cp:lastModifiedBy>Samuel Arango Benitez</cp:lastModifiedBy>
  <cp:revision>8</cp:revision>
  <dcterms:created xsi:type="dcterms:W3CDTF">2026-10-18T18:00:00Z</dcterms:created>
  <dcterms:modified xsi:type="dcterms:W3CDTF">2026-10-18T19:19:00Z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de octubre de 2026</vt:lpwstr>
  </property>
  <property fmtid="{D5CDD505-2E9C-101B-9397-08002B2CF9AE}" pid="3" name="subtitle">
    <vt:lpwstr>Unit Commitment IEEE-24 con almacenamiento en baterías (BESS) · Tarea Módulo 2, Diplomado UPB–XM</vt:lpwstr>
  </property>
</Properties>
</file>