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start"/>
        <w:rPr/>
      </w:pPr>
      <w:r>
        <w:rPr/>
        <w:t>ADR-003 — Origen del avatar y requisitos del esqueleto</w:t>
      </w:r>
    </w:p>
    <w:p>
      <w:pPr>
        <w:pStyle w:val="BodyText"/>
        <w:bidi w:val="0"/>
        <w:ind w:hanging="0" w:start="0" w:end="0"/>
        <w:rPr/>
      </w:pPr>
      <w:r>
        <w:rPr>
          <w:rStyle w:val="Strong"/>
        </w:rPr>
        <w:t>Responsable:</w:t>
      </w:r>
      <w:r>
        <w:rPr/>
        <w:t xml:space="preserve"> Samuel</w:t>
        <w:br/>
      </w:r>
      <w:r>
        <w:rPr>
          <w:rStyle w:val="Strong"/>
        </w:rPr>
        <w:t>Estado:</w:t>
      </w:r>
      <w:r>
        <w:rPr/>
        <w:t xml:space="preserve"> En evaluación</w:t>
        <w:br/>
      </w:r>
      <w:r>
        <w:rPr>
          <w:rStyle w:val="Strong"/>
        </w:rPr>
        <w:t>Bloqueada por:</w:t>
      </w:r>
      <w:r>
        <w:rPr/>
        <w:t xml:space="preserve"> TSK-04 (redefinida — ver Consecuencias)</w:t>
        <w:br/>
      </w:r>
      <w:r>
        <w:rPr>
          <w:rStyle w:val="Strong"/>
        </w:rPr>
        <w:t>Fecha:</w:t>
      </w:r>
      <w:r>
        <w:rPr/>
        <w:t xml:space="preserve"> 24/07/2026</w:t>
      </w:r>
    </w:p>
    <w:p>
      <w:pPr>
        <w:pStyle w:val="BodyText"/>
        <w:bidi w:val="0"/>
        <w:ind w:hanging="0" w:start="0" w:end="0"/>
        <w:rPr/>
      </w:pPr>
      <w:r>
        <w:rPr>
          <w:rStyle w:val="Strong"/>
        </w:rPr>
        <w:t>Contexto:</w:t>
      </w:r>
      <w:r>
        <w:rPr/>
        <w:t xml:space="preserve"> el avatar necesita huesos suficientes en los dedos (configuración manual, lo que distingue una seña de otra) y controles faciales (MNM). Hay dos caminos: usar un avatar prehecho de otra fuente, o construir uno propio.</w:t>
      </w:r>
    </w:p>
    <w:p>
      <w:pPr>
        <w:pStyle w:val="BodyText"/>
        <w:bidi w:val="0"/>
        <w:ind w:hanging="0" w:start="0" w:end="0"/>
        <w:rPr/>
      </w:pPr>
      <w:r>
        <w:rPr>
          <w:rStyle w:val="Strong"/>
        </w:rPr>
        <w:t>Opciones consideradas:</w:t>
      </w:r>
    </w:p>
    <w:p>
      <w:pPr>
        <w:pStyle w:val="BodyText"/>
        <w:numPr>
          <w:ilvl w:val="0"/>
          <w:numId w:val="1"/>
        </w:numPr>
        <w:tabs>
          <w:tab w:val="clear" w:pos="709"/>
          <w:tab w:val="left" w:pos="709" w:leader="none"/>
        </w:tabs>
        <w:bidi w:val="0"/>
        <w:spacing w:before="0" w:after="0"/>
        <w:ind w:hanging="283" w:start="709" w:end="0"/>
        <w:rPr/>
      </w:pPr>
      <w:r>
        <w:rPr>
          <w:rStyle w:val="Strong"/>
        </w:rPr>
        <w:t>Avatar prehecho (Mixamo).</w:t>
      </w:r>
      <w:r>
        <w:rPr/>
        <w:t xml:space="preserve"> Los personajes de Mixamo traen huesos individuales por dedo de fábrica — cumple esa condición sin trabajo adicional. Pero no incluye blend shapes faciales salvo que el modelo subido ya los traiga; hay que agregarlos aparte en Blender. Es decir, resuelve solo la mitad del requisito de TSK-04. </w:t>
      </w:r>
    </w:p>
    <w:p>
      <w:pPr>
        <w:pStyle w:val="BodyText"/>
        <w:numPr>
          <w:ilvl w:val="0"/>
          <w:numId w:val="1"/>
        </w:numPr>
        <w:tabs>
          <w:tab w:val="clear" w:pos="709"/>
          <w:tab w:val="left" w:pos="709" w:leader="none"/>
        </w:tabs>
        <w:bidi w:val="0"/>
        <w:spacing w:before="0" w:after="0"/>
        <w:ind w:hanging="283" w:start="709"/>
        <w:rPr/>
      </w:pPr>
      <w:r>
        <w:rPr>
          <w:rStyle w:val="Strong"/>
        </w:rPr>
        <w:t>Avatar propio, construido en Blender.</w:t>
      </w:r>
      <w:r>
        <w:rPr/>
        <w:t xml:space="preserve"> Control total sobre dedos y cara, sin depender de un tercero. Requiere más trabajo de preparación antes de poder animar ninguna seña. Insumos necesarios: </w:t>
      </w:r>
    </w:p>
    <w:p>
      <w:pPr>
        <w:pStyle w:val="BodyText"/>
        <w:numPr>
          <w:ilvl w:val="1"/>
          <w:numId w:val="1"/>
        </w:numPr>
        <w:tabs>
          <w:tab w:val="clear" w:pos="709"/>
          <w:tab w:val="left" w:pos="1418" w:leader="none"/>
        </w:tabs>
        <w:bidi w:val="0"/>
        <w:spacing w:before="0" w:after="0"/>
        <w:ind w:hanging="283" w:start="1418" w:end="0"/>
        <w:rPr/>
      </w:pPr>
      <w:r>
        <w:rPr/>
        <w:t xml:space="preserve">Malla base: paquete </w:t>
      </w:r>
      <w:r>
        <w:rPr>
          <w:rStyle w:val="Strong"/>
        </w:rPr>
        <w:t>"Human Base Meshes" de Blender Studio</w:t>
      </w:r>
      <w:r>
        <w:rPr/>
        <w:t xml:space="preserve">, gratuito, licencia CC0 (uso comercial/académico sin restricción), incluye piezas por separado (manos, cabeza) en versión realista y estilizada. </w:t>
      </w:r>
    </w:p>
    <w:p>
      <w:pPr>
        <w:pStyle w:val="BodyText"/>
        <w:numPr>
          <w:ilvl w:val="1"/>
          <w:numId w:val="1"/>
        </w:numPr>
        <w:tabs>
          <w:tab w:val="clear" w:pos="709"/>
          <w:tab w:val="left" w:pos="1418" w:leader="none"/>
        </w:tabs>
        <w:bidi w:val="0"/>
        <w:spacing w:before="0" w:after="0"/>
        <w:ind w:hanging="283" w:start="1418"/>
        <w:rPr/>
      </w:pPr>
      <w:r>
        <w:rPr/>
        <w:t xml:space="preserve">Rig: </w:t>
      </w:r>
      <w:r>
        <w:rPr>
          <w:rStyle w:val="Strong"/>
        </w:rPr>
        <w:t>Rigify</w:t>
      </w:r>
      <w:r>
        <w:rPr/>
        <w:t xml:space="preserve"> (incluido en Blender, gratis, curva de aprendizaje media) o </w:t>
      </w:r>
      <w:r>
        <w:rPr>
          <w:rStyle w:val="Strong"/>
        </w:rPr>
        <w:t>Auto-Rig Pro</w:t>
      </w:r>
      <w:r>
        <w:rPr/>
        <w:t xml:space="preserve"> (~$40 USD, configuración de dedos más rápida y modular). Es la única decisión de compra dentro de esta opción. </w:t>
      </w:r>
    </w:p>
    <w:p>
      <w:pPr>
        <w:pStyle w:val="BodyText"/>
        <w:numPr>
          <w:ilvl w:val="1"/>
          <w:numId w:val="1"/>
        </w:numPr>
        <w:tabs>
          <w:tab w:val="clear" w:pos="709"/>
          <w:tab w:val="left" w:pos="1418" w:leader="none"/>
        </w:tabs>
        <w:bidi w:val="0"/>
        <w:ind w:hanging="283" w:start="1418"/>
        <w:rPr/>
      </w:pPr>
      <w:r>
        <w:rPr/>
        <w:t>Shape keys para expresiones faciales, esculpidas a partir de las que ya trae la malla base.</w:t>
      </w:r>
    </w:p>
    <w:p>
      <w:pPr>
        <w:pStyle w:val="Normal"/>
        <w:bidi w:val="0"/>
        <w:jc w:val="start"/>
        <w:rPr/>
      </w:pPr>
      <w:r>
        <w:rPr/>
      </w:r>
      <w:r>
        <w:br w:type="page"/>
      </w:r>
    </w:p>
    <w:p>
      <w:pPr>
        <w:pStyle w:val="Heading4"/>
        <w:bidi w:val="0"/>
        <w:jc w:val="start"/>
        <w:rPr/>
      </w:pPr>
      <w:r>
        <w:rPr/>
        <w:t>ADR-004 — Proceso de producción de animaciones</w:t>
      </w:r>
    </w:p>
    <w:p>
      <w:pPr>
        <w:pStyle w:val="BodyText"/>
        <w:bidi w:val="0"/>
        <w:ind w:hanging="0" w:start="0" w:end="0"/>
        <w:rPr/>
      </w:pPr>
      <w:r>
        <w:rPr>
          <w:rStyle w:val="Strong"/>
        </w:rPr>
        <w:t>Responsable:</w:t>
      </w:r>
      <w:r>
        <w:rPr/>
        <w:t xml:space="preserve"> Samuel</w:t>
        <w:br/>
      </w:r>
      <w:r>
        <w:rPr>
          <w:rStyle w:val="Strong"/>
        </w:rPr>
        <w:t>Estado:</w:t>
      </w:r>
      <w:r>
        <w:rPr/>
        <w:t xml:space="preserve"> En evaluación</w:t>
        <w:br/>
      </w:r>
      <w:r>
        <w:rPr>
          <w:rStyle w:val="Strong"/>
        </w:rPr>
        <w:t>Bloqueada por:</w:t>
      </w:r>
      <w:r>
        <w:rPr/>
        <w:t xml:space="preserve"> TSK-04a (avatar construido) → TSK-04b (medición)</w:t>
        <w:br/>
      </w:r>
      <w:r>
        <w:rPr>
          <w:rStyle w:val="Strong"/>
        </w:rPr>
        <w:t>Fecha:</w:t>
      </w:r>
      <w:r>
        <w:rPr/>
        <w:t xml:space="preserve"> 24/07/2026</w:t>
      </w:r>
    </w:p>
    <w:p>
      <w:pPr>
        <w:pStyle w:val="BodyText"/>
        <w:bidi w:val="0"/>
        <w:ind w:hanging="0" w:start="0" w:end="0"/>
        <w:rPr/>
      </w:pPr>
      <w:r>
        <w:rPr>
          <w:rStyle w:val="Strong"/>
        </w:rPr>
        <w:t>Contexto:</w:t>
      </w:r>
      <w:r>
        <w:rPr/>
        <w:t xml:space="preserve"> no está definido cómo se van a producir las señas del corpus, ni cuánto tarda cada una. Esta decisión no puede resolverse en paralelo con ADR-003 — depende de que TSK-04a (construcción del avatar) esté cerrada, porque cronometrar producción sobre un rig que después se puede descartar da un número inútil. Hipótesis de trabajo heredada de ADR-003: manos animadas a mano (pose por pose) en Blender, captura de movimiento reservada para tronco y brazos si el equipo consigue algún sistema de mocap.</w:t>
      </w:r>
    </w:p>
    <w:p>
      <w:pPr>
        <w:pStyle w:val="BodyText"/>
        <w:bidi w:val="0"/>
        <w:ind w:hanging="0" w:start="0" w:end="0"/>
        <w:rPr/>
      </w:pPr>
      <w:r>
        <w:rPr>
          <w:rStyle w:val="Strong"/>
        </w:rPr>
        <w:t>Por qué no se puede estimar por analogía:</w:t>
      </w:r>
      <w:r>
        <w:rPr/>
        <w:t xml:space="preserve"> </w:t>
      </w:r>
      <w:r>
        <w:rPr/>
        <w:t>E</w:t>
      </w:r>
      <w:r>
        <w:rPr/>
        <w:t>l costo depende demasiado de la habilidad del animador y de la complejidad de cada seña como para dar un número generalizable.  Esto es consistente con lo que dice la literatura de animación de personajes en general, donde animar manos a mano se identifica como la parte más lenta de cualquier producción, y ni siquiera a ritmo profesional de estudio de TV se completa una animación corta en menos de un día de trabajo.</w:t>
      </w:r>
    </w:p>
    <w:p>
      <w:pPr>
        <w:pStyle w:val="BodyText"/>
        <w:bidi w:val="0"/>
        <w:ind w:hanging="0" w:start="0" w:end="0"/>
        <w:rPr/>
      </w:pPr>
      <w:r>
        <w:rPr/>
        <w:t xml:space="preserve">Esto no es una limitación del análisis — es la confirmación de que el dato </w:t>
      </w:r>
      <w:r>
        <w:rPr>
          <w:rStyle w:val="Strong"/>
        </w:rPr>
        <w:t>solo se puede obtener midiendo</w:t>
      </w:r>
      <w:r>
        <w:rPr/>
        <w:t>, no estimando. Refuerza, con respaldo académico, por qué TSK-04b es obligatoria y no se puede sustituir por una aproximación de escritorio.</w:t>
      </w:r>
    </w:p>
    <w:p>
      <w:pPr>
        <w:pStyle w:val="BodyText"/>
        <w:bidi w:val="0"/>
        <w:ind w:hanging="0" w:start="0" w:end="0"/>
        <w:rPr/>
      </w:pPr>
      <w:r>
        <w:rPr>
          <w:rStyle w:val="Strong"/>
        </w:rPr>
        <w:t>Qué debe confirmar TSK-04b:</w:t>
      </w:r>
    </w:p>
    <w:p>
      <w:pPr>
        <w:pStyle w:val="BodyText"/>
        <w:numPr>
          <w:ilvl w:val="0"/>
          <w:numId w:val="2"/>
        </w:numPr>
        <w:tabs>
          <w:tab w:val="clear" w:pos="709"/>
          <w:tab w:val="left" w:pos="709" w:leader="none"/>
        </w:tabs>
        <w:bidi w:val="0"/>
        <w:spacing w:before="0" w:after="0"/>
        <w:ind w:hanging="283" w:start="709" w:end="0"/>
        <w:rPr/>
      </w:pPr>
      <w:r>
        <w:rPr>
          <w:rStyle w:val="Strong"/>
        </w:rPr>
        <w:t>Cuánto tarda producir una seña completa</w:t>
      </w:r>
      <w:r>
        <w:rPr/>
        <w:t xml:space="preserve">, medida sobre el avatar ya construido en TSK-04a — no antes. </w:t>
      </w:r>
    </w:p>
    <w:p>
      <w:pPr>
        <w:pStyle w:val="BodyText"/>
        <w:numPr>
          <w:ilvl w:val="0"/>
          <w:numId w:val="2"/>
        </w:numPr>
        <w:tabs>
          <w:tab w:val="clear" w:pos="709"/>
          <w:tab w:val="left" w:pos="709" w:leader="none"/>
        </w:tabs>
        <w:bidi w:val="0"/>
        <w:spacing w:before="0" w:after="0"/>
        <w:ind w:hanging="283" w:start="709"/>
        <w:rPr/>
      </w:pPr>
      <w:r>
        <w:rPr>
          <w:rStyle w:val="Strong"/>
        </w:rPr>
        <w:t>No una sola seña, sino 2-3 como mínimo</w:t>
      </w:r>
      <w:r>
        <w:rPr/>
        <w:t xml:space="preserve">, cronometradas por separado, para distinguir curva de aprendizaje (la primera seña tarda más porque el equipo está aprendiendo la herramienta) de régimen estable (lo que realmente se sostiene en las siguientes 47). Proyectar el total de 50 señas a partir de un solo dato tiene alto riesgo de subestimar RSK-12, el riesgo de cronograma más crítico del proyecto. </w:t>
      </w:r>
    </w:p>
    <w:p>
      <w:pPr>
        <w:pStyle w:val="BodyText"/>
        <w:numPr>
          <w:ilvl w:val="0"/>
          <w:numId w:val="2"/>
        </w:numPr>
        <w:tabs>
          <w:tab w:val="clear" w:pos="709"/>
          <w:tab w:val="left" w:pos="709" w:leader="none"/>
        </w:tabs>
        <w:bidi w:val="0"/>
        <w:ind w:hanging="283" w:start="709"/>
        <w:rPr/>
      </w:pPr>
      <w:r>
        <w:rPr/>
        <w:t xml:space="preserve">Separar el tiempo por componente si es posible: rigging/pose de manos vs. ajuste de expresión facial vs. revisión/iteración. Sirve después para saber dónde optimizar si el número no cabe en la Fase 3. </w:t>
      </w:r>
    </w:p>
    <w:p>
      <w:pPr>
        <w:pStyle w:val="BodyText"/>
        <w:bidi w:val="0"/>
        <w:ind w:hanging="0" w:start="0" w:end="0"/>
        <w:rPr/>
      </w:pPr>
      <w:r>
        <w:rPr>
          <w:rStyle w:val="Strong"/>
        </w:rPr>
        <w:t>Punto pendiente de honestidad metodológica:</w:t>
      </w:r>
      <w:r>
        <w:rPr/>
        <w:t xml:space="preserve"> el intérprete de LSC no está confirmado todavía (RSK-01, TSK-01 sin cerrar). Cualquier medición que se haga esta semana va a ser sobre señas revisadas internamente por el equipo, no validadas lingüísticamente. Eso está bien como aproximación de tiempo, pero el ADR debe decirlo explícito para que el número no se presente después como más confiable de lo que es — si el intérprete corrige la forma de una seña más adelante, el tiempo de producción real puede cambiar.</w:t>
      </w:r>
    </w:p>
    <w:p>
      <w:pPr>
        <w:pStyle w:val="BodyText"/>
        <w:bidi w:val="0"/>
        <w:ind w:hanging="0" w:start="0" w:end="0"/>
        <w:rPr/>
      </w:pPr>
      <w:r>
        <w:rPr>
          <w:rStyle w:val="Strong"/>
        </w:rPr>
        <w:t>Decisión:</w:t>
      </w:r>
      <w:r>
        <w:rPr/>
        <w:t xml:space="preserve"> pendiente de TSK-04a y TSK-04b. No hay estimado de respaldo por analogía que pueda sustituir la medición — queda expresamente descartada esa vía.</w:t>
      </w:r>
    </w:p>
    <w:p>
      <w:pPr>
        <w:pStyle w:val="Heading4"/>
        <w:bidi w:val="0"/>
        <w:ind w:hanging="0" w:start="0" w:end="0"/>
        <w:rPr/>
      </w:pPr>
      <w:r>
        <w:rPr>
          <w:rStyle w:val="Strong"/>
          <w:b/>
          <w:bCs/>
        </w:rPr>
        <w:t>ADR-013 — Tratamiento del audio y el texto</w:t>
      </w:r>
    </w:p>
    <w:p>
      <w:pPr>
        <w:pStyle w:val="BodyText"/>
        <w:bidi w:val="0"/>
        <w:ind w:hanging="0" w:start="0" w:end="0"/>
        <w:rPr/>
      </w:pPr>
      <w:r>
        <w:rPr>
          <w:rStyle w:val="Strong"/>
        </w:rPr>
        <w:t>Responsable:</w:t>
      </w:r>
      <w:r>
        <w:rPr/>
        <w:t xml:space="preserve"> Samuel</w:t>
        <w:br/>
      </w:r>
      <w:r>
        <w:rPr>
          <w:rStyle w:val="Strong"/>
        </w:rPr>
        <w:t>Estado:</w:t>
      </w:r>
      <w:r>
        <w:rPr/>
        <w:t xml:space="preserve"> En análisis</w:t>
        <w:br/>
      </w:r>
      <w:r>
        <w:rPr>
          <w:rStyle w:val="Strong"/>
        </w:rPr>
        <w:t>Fecha:</w:t>
      </w:r>
      <w:r>
        <w:rPr/>
        <w:t xml:space="preserve"> 24/07/2026</w:t>
      </w:r>
    </w:p>
    <w:p>
      <w:pPr>
        <w:pStyle w:val="BodyText"/>
        <w:bidi w:val="0"/>
        <w:ind w:hanging="0" w:start="0" w:end="0"/>
        <w:rPr/>
      </w:pPr>
      <w:r>
        <w:rPr>
          <w:rStyle w:val="Strong"/>
        </w:rPr>
        <w:t>Contexto:</w:t>
      </w:r>
      <w:r>
        <w:rPr/>
        <w:t xml:space="preserve"> el sistema procesa voz y transcripciones que incluyen datos personales (nombres, documentos, fechas de nacimiento), y parte de ese contenido se envía a un LLM externo, posiblemente fuera de Colombia. Falta definir si se guarda o se borra el audio y el texto, por cuánto tiempo, si se anonimiza, y bajo qué base legal se justifica el envío al proveedor externo.</w:t>
      </w:r>
    </w:p>
    <w:p>
      <w:pPr>
        <w:pStyle w:val="BodyText"/>
        <w:bidi w:val="0"/>
        <w:ind w:hanging="0" w:start="0" w:end="0"/>
        <w:rPr/>
      </w:pPr>
      <w:r>
        <w:rPr>
          <w:rStyle w:val="Strong"/>
        </w:rPr>
        <w:t>Lo que dice la Ley 1581 de 2012 y su decreto reglamentario, en concreto:</w:t>
      </w:r>
    </w:p>
    <w:p>
      <w:pPr>
        <w:pStyle w:val="BodyText"/>
        <w:numPr>
          <w:ilvl w:val="0"/>
          <w:numId w:val="5"/>
        </w:numPr>
        <w:bidi w:val="0"/>
        <w:spacing w:before="0" w:after="0"/>
        <w:rPr/>
      </w:pPr>
      <w:r>
        <w:rPr>
          <w:rStyle w:val="Strong"/>
        </w:rPr>
        <w:t>El audio probablemente es dato sensible.</w:t>
      </w:r>
      <w:r>
        <w:rPr/>
        <w:t xml:space="preserve"> La ley incluye explícitamente los datos biométricos dentro de los datos sensibles, y una grabación de voz funciona como identificador biométrico. </w:t>
      </w:r>
    </w:p>
    <w:p>
      <w:pPr>
        <w:pStyle w:val="BodyText"/>
        <w:numPr>
          <w:ilvl w:val="0"/>
          <w:numId w:val="5"/>
        </w:numPr>
        <w:bidi w:val="0"/>
        <w:spacing w:before="0" w:after="0"/>
        <w:rPr/>
      </w:pPr>
      <w:r>
        <w:rPr>
          <w:rStyle w:val="Strong"/>
        </w:rPr>
        <w:t>Tratar un dato sensible exige consentimiento reforzado.</w:t>
      </w:r>
      <w:r>
        <w:rPr/>
        <w:t xml:space="preserve"> Si aplica, hay que informar al titular que no está obligado a autorizar el tratamiento, decirle explícitamente qué datos son sensibles y para qué, y obtener consentimiento expreso. Ninguna funcionalidad puede condicionarse a que el usuario entregue el audio — debe existir alternativa (ej. texto). </w:t>
      </w:r>
    </w:p>
    <w:p>
      <w:pPr>
        <w:pStyle w:val="BodyText"/>
        <w:numPr>
          <w:ilvl w:val="0"/>
          <w:numId w:val="5"/>
        </w:numPr>
        <w:bidi w:val="0"/>
        <w:rPr/>
      </w:pPr>
      <w:r>
        <w:rPr>
          <w:rStyle w:val="Strong"/>
        </w:rPr>
        <w:t>El envío al LLM es una transferencia internacional, con restricción aparte.</w:t>
      </w:r>
      <w:r>
        <w:rPr/>
        <w:t xml:space="preserve"> Se prohíbe transferir datos a países sin nivel adecuado de protección según estándares de la SIC. La excepción aplicable es autorización expresa e inequívoca del titular para la transferencia — separada del consentimiento general.</w:t>
      </w:r>
    </w:p>
    <w:p>
      <w:pPr>
        <w:pStyle w:val="BodyText"/>
        <w:bidi w:val="0"/>
        <w:ind w:hanging="0" w:start="0" w:end="0"/>
        <w:rPr/>
      </w:pPr>
      <w:r>
        <w:rPr>
          <w:rStyle w:val="Strong"/>
        </w:rPr>
        <w:t>Decisión:</w:t>
      </w:r>
      <w:r>
        <w:rPr/>
        <w:t xml:space="preserve"> pendiente, pero con dirección clara:</w:t>
      </w:r>
    </w:p>
    <w:p>
      <w:pPr>
        <w:pStyle w:val="BodyText"/>
        <w:numPr>
          <w:ilvl w:val="0"/>
          <w:numId w:val="3"/>
        </w:numPr>
        <w:tabs>
          <w:tab w:val="clear" w:pos="709"/>
          <w:tab w:val="left" w:pos="709" w:leader="none"/>
        </w:tabs>
        <w:bidi w:val="0"/>
        <w:spacing w:before="0" w:after="0"/>
        <w:ind w:hanging="283" w:start="709" w:end="0"/>
        <w:rPr/>
      </w:pPr>
      <w:r>
        <w:rPr/>
        <w:t xml:space="preserve">Tratar el audio como dato sensible por defecto. </w:t>
      </w:r>
    </w:p>
    <w:p>
      <w:pPr>
        <w:pStyle w:val="BodyText"/>
        <w:numPr>
          <w:ilvl w:val="0"/>
          <w:numId w:val="3"/>
        </w:numPr>
        <w:tabs>
          <w:tab w:val="clear" w:pos="709"/>
          <w:tab w:val="left" w:pos="709" w:leader="none"/>
        </w:tabs>
        <w:bidi w:val="0"/>
        <w:spacing w:before="0" w:after="0"/>
        <w:ind w:hanging="283" w:start="709"/>
        <w:rPr/>
      </w:pPr>
      <w:r>
        <w:rPr/>
        <w:t xml:space="preserve">Consentimiento en dos capas: tratamiento general (con aviso de no obligatoriedad) + autorización específica de transferencia internacional. </w:t>
      </w:r>
    </w:p>
    <w:p>
      <w:pPr>
        <w:pStyle w:val="BodyText"/>
        <w:numPr>
          <w:ilvl w:val="0"/>
          <w:numId w:val="3"/>
        </w:numPr>
        <w:tabs>
          <w:tab w:val="clear" w:pos="709"/>
          <w:tab w:val="left" w:pos="709" w:leader="none"/>
        </w:tabs>
        <w:bidi w:val="0"/>
        <w:spacing w:before="0" w:after="0"/>
        <w:ind w:hanging="283" w:start="709"/>
        <w:rPr/>
      </w:pPr>
      <w:r>
        <w:rPr/>
        <w:t xml:space="preserve">Ofrecer entrada de texto como alternativa sin audio. </w:t>
      </w:r>
    </w:p>
    <w:p>
      <w:pPr>
        <w:pStyle w:val="BodyText"/>
        <w:numPr>
          <w:ilvl w:val="0"/>
          <w:numId w:val="3"/>
        </w:numPr>
        <w:tabs>
          <w:tab w:val="clear" w:pos="709"/>
          <w:tab w:val="left" w:pos="709" w:leader="none"/>
        </w:tabs>
        <w:bidi w:val="0"/>
        <w:ind w:hanging="283" w:start="709"/>
        <w:rPr/>
      </w:pPr>
      <w:r>
        <w:rPr/>
        <w:t xml:space="preserve">Definir retención propia (ej. borrar audio crudo tras transcribir). </w:t>
      </w:r>
    </w:p>
    <w:p>
      <w:pPr>
        <w:pStyle w:val="BodyText"/>
        <w:bidi w:val="0"/>
        <w:ind w:hanging="0" w:start="0" w:end="0"/>
        <w:rPr/>
      </w:pPr>
      <w:r>
        <w:rPr>
          <w:rStyle w:val="Strong"/>
        </w:rPr>
        <w:t>Consecuencias:</w:t>
      </w:r>
    </w:p>
    <w:p>
      <w:pPr>
        <w:pStyle w:val="BodyText"/>
        <w:numPr>
          <w:ilvl w:val="0"/>
          <w:numId w:val="4"/>
        </w:numPr>
        <w:tabs>
          <w:tab w:val="clear" w:pos="709"/>
          <w:tab w:val="left" w:pos="709" w:leader="none"/>
        </w:tabs>
        <w:bidi w:val="0"/>
        <w:spacing w:before="0" w:after="0"/>
        <w:ind w:hanging="283" w:start="709" w:end="0"/>
        <w:rPr/>
      </w:pPr>
      <w:r>
        <w:rPr/>
        <w:t xml:space="preserve">Afecta el diseño de la pantalla de consentimiento — no puede ser un checkbox genérico. </w:t>
      </w:r>
    </w:p>
    <w:p>
      <w:pPr>
        <w:pStyle w:val="BodyText"/>
        <w:numPr>
          <w:ilvl w:val="0"/>
          <w:numId w:val="4"/>
        </w:numPr>
        <w:tabs>
          <w:tab w:val="clear" w:pos="709"/>
          <w:tab w:val="left" w:pos="709" w:leader="none"/>
        </w:tabs>
        <w:bidi w:val="0"/>
        <w:spacing w:before="0" w:after="0"/>
        <w:ind w:hanging="283" w:start="709"/>
        <w:rPr/>
      </w:pPr>
      <w:r>
        <w:rPr/>
        <w:t xml:space="preserve">TSK-12 debe incluir verificar el estatus "país adecuado" de la SIC para el proveedor de LLM elegido (conecta con ADR-007). </w:t>
      </w:r>
    </w:p>
    <w:p>
      <w:pPr>
        <w:pStyle w:val="BodyText"/>
        <w:numPr>
          <w:ilvl w:val="0"/>
          <w:numId w:val="4"/>
        </w:numPr>
        <w:tabs>
          <w:tab w:val="clear" w:pos="709"/>
          <w:tab w:val="left" w:pos="709" w:leader="none"/>
        </w:tabs>
        <w:bidi w:val="0"/>
        <w:ind w:hanging="283" w:start="709"/>
        <w:rPr/>
      </w:pPr>
      <w:r>
        <w:rPr/>
        <w:t>Vale la pena documentarlo en la tesis como decisión consciente, no como vacío.</w:t>
      </w:r>
    </w:p>
    <w:p>
      <w:pPr>
        <w:pStyle w:val="BodyText"/>
        <w:numPr>
          <w:ilvl w:val="0"/>
          <w:numId w:val="4"/>
        </w:numPr>
        <w:tabs>
          <w:tab w:val="clear" w:pos="709"/>
          <w:tab w:val="left" w:pos="709" w:leader="none"/>
        </w:tabs>
        <w:bidi w:val="0"/>
        <w:spacing w:before="0" w:after="140"/>
        <w:ind w:hanging="283" w:start="709"/>
        <w:rPr/>
      </w:pPr>
      <w:r>
        <w:rPr/>
        <w:t>L</w:t>
      </w:r>
      <w:r>
        <w:rPr/>
        <w:t>a autorización del usuario resuelve la legitimidad del tratamiento del dato sensible y de su transferencia al LLM externo, pero no sustituye las demás obligaciones de la ley (seguridad técnica del dato, confidencialidad permanente del equipo, derechos del titular vigentes después del consentimiento, y la relación contractual Responsable/Encargado con el proveedor externo), ni reemplaza una eventual aprobación del comité de ética de investigación de la Javeriana si se prueba con usuarios reales — esta última es una aprobación institucional aparte, no cubierta por la Ley 1581.</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iberation Sans"/>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LibreOffice_project/620$Build-2</Application>
  <AppVersion>15.0000</AppVersion>
  <Pages>3</Pages>
  <Words>1075</Words>
  <Characters>5800</Characters>
  <CharactersWithSpaces>6849</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2026-07-24T17:34:10Z</dcterms:created>
  <dc:creator/>
  <dc:description/>
  <dc:language>en-US</dc:language>
  <cp:lastModifiedBy/>
  <dcterms:modified xsi:type="dcterms:W3CDTF">2026-07-24T19:27:53Z</dcterms:modified>
  <cp:revision>1</cp:revision>
  <dc:subject/>
  <dc:title/>
</cp:coreProperties>
</file>