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color w:val="0F172A"/>
          <w:sz w:val="44"/>
        </w:rPr>
        <w:t># Phase 2: Requirements Engineering &amp; SRS - "VulnShield"</w:t>
      </w:r>
    </w:p>
    <w:p>
      <w:pPr>
        <w:spacing w:after="400"/>
        <w:jc w:val="center"/>
      </w:pPr>
      <w:r>
        <w:rPr>
          <w:rFonts w:ascii="Arial" w:hAnsi="Arial"/>
          <w:i/>
          <w:color w:val="475569"/>
          <w:sz w:val="26"/>
        </w:rPr>
        <w:t>Enterprise Secure Vulnerability Management Platform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1. Stakeholders and User Types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Stakeholder / User Type</w:t>
            </w:r>
          </w:p>
        </w:tc>
        <w:tc>
          <w:tcPr>
            <w:tcW w:type="dxa" w:w="1584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 Category</w:t>
            </w:r>
          </w:p>
        </w:tc>
        <w:tc>
          <w:tcPr>
            <w:tcW w:type="dxa" w:w="3456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Responsibilities &amp; Operational Context</w:t>
            </w:r>
          </w:p>
        </w:tc>
        <w:tc>
          <w:tcPr>
            <w:tcW w:type="dxa" w:w="2160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Security Clearance &amp; Privileges</w:t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Registered Security User (REMEDIATION_ENGINEER)</w:t>
            </w:r>
          </w:p>
        </w:tc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Core Technical User</w:t>
            </w:r>
          </w:p>
        </w:tc>
        <w:tc>
          <w:tcPr>
            <w:tcW w:type="dxa" w:w="345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Registers account, logs in, views assigned vulnerabilities, applies security patches, updates workflow status to REMEDIATION_IN_PROGRESS or VERIFICATION_PENDING, attaches remediation notes.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Standard Privileges: Can view assigned findings, update status &amp; notes. Strictly denied privilege to perform severity overrides, direct issue closure, or asset deletion.</w:t>
            </w:r>
          </w:p>
        </w:tc>
      </w:tr>
      <w:tr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Lead Security Analyst (SECURITY_LEAD)</w:t>
            </w:r>
          </w:p>
        </w:tc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Elevated Operations Lead</w:t>
            </w:r>
          </w:p>
        </w:tc>
        <w:tc>
          <w:tcPr>
            <w:tcW w:type="dxa" w:w="345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Registers infrastructure assets, ingests vulnerability scanner reports, calculates/overrides CVSS severity with mandatory justification, manages assignments, approves verification &amp; closure.</w:t>
            </w:r>
          </w:p>
        </w:tc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Elevated Privileges: Full operational access to create assets, ingest CVE findings, override severity ratings, reassign issues, and perform final workflow closure.</w:t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System Administrator (SYSTEM_ADMIN)</w:t>
            </w:r>
          </w:p>
        </w:tc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Governance &amp; Operations</w:t>
            </w:r>
          </w:p>
        </w:tc>
        <w:tc>
          <w:tcPr>
            <w:tcW w:type="dxa" w:w="345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Manages user accounts, enforces RBAC policies, configures global authentication settings, monitors application health, and manages environment deployments.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Administrative Privileges: Role-Based Access Control (RBAC) to manage accounts, configure security settings, access full audit logs, and trigger administrative system tasks.</w:t>
            </w:r>
          </w:p>
        </w:tc>
      </w:tr>
      <w:tr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Auditor / Privacy Officer (SECURITY_AUDITOR)</w:t>
            </w:r>
          </w:p>
        </w:tc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Compliance &amp; Oversight</w:t>
            </w:r>
          </w:p>
        </w:tc>
        <w:tc>
          <w:tcPr>
            <w:tcW w:type="dxa" w:w="345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Reviews security posture metrics, audits RBAC access violation logs, verifies HMAC-SHA256 tamper-evident audit log integrity, oversees compliance SLA reporting.</w:t>
            </w:r>
          </w:p>
        </w:tc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Read-Only Audit Privilege: Access to immutable append-only HMAC-SHA256 audit trail and compliance reporting views. Zero write or data modification privileges.</w:t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Unauthenticated Guest / External Scanner API</w:t>
            </w:r>
          </w:p>
        </w:tc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Anonymous / External Interface</w:t>
            </w:r>
          </w:p>
        </w:tc>
        <w:tc>
          <w:tcPr>
            <w:tcW w:type="dxa" w:w="345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Submits automated scanner JSON telemetry payloads or visits landing page and authentication login portal.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Zero Authenticated Access: Denied access to internal APIs, asset database, vulnerability records, or audit logs. Authentication required via JWT Bearer tokens or API Keys.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2. Requirements Classification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5"/>
        </w:rPr>
        <w:t>A. Functional Requirements (FR)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FR-01 (Account Registration &amp; JWT Authentication):</w:t>
      </w:r>
      <w:r>
        <w:rPr>
          <w:color w:val="334155"/>
        </w:rPr>
        <w:t xml:space="preserve"> The system shall allow users to authenticate using valid credentials, issue short-lived cryptographically signed JSON Web Tokens (JWT), and enforce Role-Based Access Control (RBAC) across all protected API endpoints.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FR-02 (Asset Inventory Registration &amp; Management):</w:t>
      </w:r>
      <w:r>
        <w:rPr>
          <w:color w:val="334155"/>
        </w:rPr>
        <w:t xml:space="preserve"> The system shall allow authorized Security Leads and System Admins to register and manage infrastructure assets with metadata including IPv4/IPv6 address, asset type (SERVER, DATABASE, WEB_APP, CONTAINER, NETWORK_DEVICE), owner, and business criticality rating.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FR-03 (Vulnerability Ingestion &amp; Automated CVE Matching):</w:t>
      </w:r>
      <w:r>
        <w:rPr>
          <w:color w:val="334155"/>
        </w:rPr>
        <w:t xml:space="preserve"> The system shall ingest vulnerability scan reports, parse standardized CVE identifiers, match findings against registered assets, and prevent duplicate vulnerability entries.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FR-04 (Dynamic CVSS Risk Scoring &amp; Severity Overrides):</w:t>
      </w:r>
      <w:r>
        <w:rPr>
          <w:color w:val="334155"/>
        </w:rPr>
        <w:t xml:space="preserve"> The system shall calculate baseline severity using CVSS v3.1/v4 scores (LOW: 0.1–3.9, MEDIUM: 4.0–6.9, HIGH: 7.0–8.9, CRITICAL: 9.0–10.0) and permit Security Leads to override severity levels only when providing mandatory textual justification.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FR-05 (Enforced Workflow State Machine):</w:t>
      </w:r>
      <w:r>
        <w:rPr>
          <w:color w:val="334155"/>
        </w:rPr>
        <w:t xml:space="preserve"> The system shall strictly enforce a deterministic workflow lifecycle (VULNERABILITY_IMPORTED → ASSIGNED → REMEDIATION_IN_PROGRESS → VERIFICATION_PENDING → CLOSED) and reject illegal state jumps (e.g., direct closure without verification).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FR-06 (Vulnerability Assignment &amp; Remediation Tracking):</w:t>
      </w:r>
      <w:r>
        <w:rPr>
          <w:color w:val="334155"/>
        </w:rPr>
        <w:t xml:space="preserve"> The system shall allow Security Leads to assign vulnerability findings to specific remediation teams/engineers, permitting engineers to track progress, record remediation notes, and submit items for verification.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FR-07 (Executive Dashboard &amp; SLA Compliance Reporting):</w:t>
      </w:r>
      <w:r>
        <w:rPr>
          <w:color w:val="334155"/>
        </w:rPr>
        <w:t xml:space="preserve"> The system shall render real-time executive dashboard metrics, vulnerability severity distribution, SLA compliance tracking, and exportable audit reports.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5"/>
        </w:rPr>
        <w:t>B. Non-Functional Requirements (NFR)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NFR-01 (Response Time &amp; Query Latency):</w:t>
      </w:r>
      <w:r>
        <w:rPr>
          <w:color w:val="334155"/>
        </w:rPr>
        <w:t xml:space="preserve"> Vulnerability queries, status updates, and audit log retrievals must execute within ≤ 200 ms for 95% of requests under concurrent operational load (500 active security users).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NFR-02 (High Availability &amp; Operational Uptime):</w:t>
      </w:r>
      <w:r>
        <w:rPr>
          <w:color w:val="334155"/>
        </w:rPr>
        <w:t xml:space="preserve"> High availability target of 99.9% operational uptime for authentication, ingestion, and workflow state engine services.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NFR-03 (Audit Chain Performance &amp; Storage Scalability):</w:t>
      </w:r>
      <w:r>
        <w:rPr>
          <w:color w:val="334155"/>
        </w:rPr>
        <w:t xml:space="preserve"> Cryptographic HMAC-SHA256 audit hashing must add ≤ 15 ms latency per transaction, with append-only storage supporting horizontal scaling up to millions of events.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NFR-04 (Mobile-Responsive Usability &amp; Modern UI):</w:t>
      </w:r>
      <w:r>
        <w:rPr>
          <w:color w:val="334155"/>
        </w:rPr>
        <w:t xml:space="preserve"> Responsive dark-mode glassmorphism web interface providing role-tailored workspace views supporting clean interaction across desktop, tablet, and mobile viewports.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5"/>
        </w:rPr>
        <w:t>C. Security Requirements (SR)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SR-01 (Secure Authentication &amp; Session Management):</w:t>
      </w:r>
      <w:r>
        <w:rPr>
          <w:color w:val="334155"/>
        </w:rPr>
        <w:t xml:space="preserve"> Passwords must be hashed using industry-standard Bcrypt (work factor ≥ 10). Session management must utilize HMAC-SHA256 / RS256 signed JWTs with strict 8-hour expiration and Bearer HTTP header transmission.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SR-02 (Authorization &amp; Anti-IDOR / Anti-BOLA Controls):</w:t>
      </w:r>
      <w:r>
        <w:rPr>
          <w:color w:val="334155"/>
        </w:rPr>
        <w:t xml:space="preserve"> Strict Broken Object Level Authorization (BOLA) and RBAC prevention: An authenticated user can only modify resources assigned to their role. The server must validate user role and asset assignment on every modifying action.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SR-03 (File Upload &amp; Payload Hardening):</w:t>
      </w:r>
      <w:r>
        <w:rPr>
          <w:color w:val="334155"/>
        </w:rPr>
        <w:t xml:space="preserve"> Verify file MIME types using binary magic bytes (not trusting client-supplied file extension or Content-Type header). Enforce a maximum 500 KB payload limit, validate JSON schema via Zod, and rename uploads with random UUIDs to prevent directory traversal attacks.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SR-04 (Content Sanitization &amp; Anti-XSS / Anti-SQLi):</w:t>
      </w:r>
      <w:r>
        <w:rPr>
          <w:color w:val="334155"/>
        </w:rPr>
        <w:t xml:space="preserve"> All user-generated text inputs (remediation notes, severity override rationales, asset labels) must be HTML-escaped and parameterized to prevent Cross-Site Scripting (XSS - CWE-79) and Injection attacks (CWE-89).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SR-05 (Privacy &amp; Role Visibility Controls):</w:t>
      </w:r>
      <w:r>
        <w:rPr>
          <w:color w:val="334155"/>
        </w:rPr>
        <w:t xml:space="preserve"> Enforce access boundaries: Remediation Engineers can only update assigned items; Auditors have strict read-only access; Security Leads govern verification &amp; closure.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SR-06 (Rate Limiting &amp; Anti-Brute Force Protection):</w:t>
      </w:r>
      <w:r>
        <w:rPr>
          <w:color w:val="334155"/>
        </w:rPr>
        <w:t xml:space="preserve"> Enforce token bucket rate limiting on sensitive API endpoints (e.g., maximum 300 requests per 15-minute window per IP, maximum 5 login attempts per minute) to mitigate brute force and automated denial-of-service attacks.</w:t>
      </w:r>
    </w:p>
    <w:p>
      <w:pPr>
        <w:pStyle w:val="ListBullet"/>
        <w:spacing w:after="80" w:line="276" w:lineRule="auto"/>
        <w:ind w:left="360"/>
      </w:pPr>
      <w:r>
        <w:rPr>
          <w:b/>
          <w:color w:val="0F172A"/>
        </w:rPr>
        <w:t>SR-07 (Audit Logging &amp; Cryptographic Traceability):</w:t>
      </w:r>
      <w:r>
        <w:rPr>
          <w:color w:val="334155"/>
        </w:rPr>
        <w:t xml:space="preserve"> Security-sensitive events (failed logins, asset registrations, severity overrides, state transitions) must be logged into an immutable append-only chain where each entry contains timestamp, user ID, client IP, action type, and cryptographic HMAC-SHA256 hash chaining.</w:t>
      </w:r>
    </w:p>
    <w:p>
      <w:pPr>
        <w:spacing w:after="24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3. Concise SRS and Prioritized Requirements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016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1152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MoSCoW Priority</w:t>
            </w:r>
          </w:p>
        </w:tc>
        <w:tc>
          <w:tcPr>
            <w:tcW w:type="dxa" w:w="1296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CIA Dimension</w:t>
            </w:r>
          </w:p>
        </w:tc>
        <w:tc>
          <w:tcPr>
            <w:tcW w:type="dxa" w:w="2016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Authentication &amp; Authorization</w:t>
            </w:r>
          </w:p>
        </w:tc>
        <w:tc>
          <w:tcPr>
            <w:tcW w:type="dxa" w:w="2160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Audit &amp; Traceability</w:t>
            </w:r>
          </w:p>
        </w:tc>
      </w:tr>
      <w:tr>
        <w:tc>
          <w:tcPr>
            <w:tcW w:type="dxa" w:w="100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REQ-01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User Registration &amp; Bcrypt Hashing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/ FR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Confidentiality, Integrity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Pre-auth / JWT Auth; enforces strong password complexity &amp; bcrypt hashing (work factor ≥ 10)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authentication events with user ID, role, outcome, and client IP</w:t>
            </w:r>
          </w:p>
        </w:tc>
      </w:tr>
      <w:tr>
        <w:tc>
          <w:tcPr>
            <w:tcW w:type="dxa" w:w="100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REQ-02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JWT Token Generation &amp; Session Validation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/ FR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Confidentiality, Integrity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HMAC-SHA256 signed JWT token; Bearer header authentication &amp; RBAC middleware guards</w:t>
            </w:r>
          </w:p>
        </w:tc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failed login attempts, token rejections, and expired session access</w:t>
            </w:r>
          </w:p>
        </w:tc>
      </w:tr>
      <w:tr>
        <w:tc>
          <w:tcPr>
            <w:tcW w:type="dxa" w:w="100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REQ-03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Asset Inventory Registration &amp; IP Validation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FR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Integrity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Authenticated SECURITY_LEAD / SYSTEM_ADMIN; IP formatting &amp; Zod schema validation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asset creation, update, and deletion events with author ID</w:t>
            </w:r>
          </w:p>
        </w:tc>
      </w:tr>
      <w:tr>
        <w:tc>
          <w:tcPr>
            <w:tcW w:type="dxa" w:w="100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REQ-04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Vulnerability Ingestion &amp; Magic Byte Payload Validation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/ FR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Integrity, Availability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Authenticated SECURITY_LEAD / SYSTEM_ADMIN; payload ceiling ≤ 500 KB, magic bytes check</w:t>
            </w:r>
          </w:p>
        </w:tc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ingestion event, CVE ID, asset mapping, and duplicate rejection triggers</w:t>
            </w:r>
          </w:p>
        </w:tc>
      </w:tr>
      <w:tr>
        <w:tc>
          <w:tcPr>
            <w:tcW w:type="dxa" w:w="100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REQ-05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Dynamic CVSS Scoring &amp; Mandatory Severity Override Rationale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/ FR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Integrity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Authenticated SECURITY_LEAD; mandatory non-empty justification text check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original CVSS score, overridden score, analyst ID, and justification string</w:t>
            </w:r>
          </w:p>
        </w:tc>
      </w:tr>
      <w:tr>
        <w:tc>
          <w:tcPr>
            <w:tcW w:type="dxa" w:w="100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REQ-06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Enforced Sequential Workflow State Machine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/ FR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Integrity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Role-conditioned state transitions; strictly blocks illegal transitions &amp; unauthorized closure</w:t>
            </w:r>
          </w:p>
        </w:tc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state transitions with previous state, target state, user ID, and remediation notes</w:t>
            </w:r>
          </w:p>
        </w:tc>
      </w:tr>
      <w:tr>
        <w:tc>
          <w:tcPr>
            <w:tcW w:type="dxa" w:w="100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REQ-07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Tamper-Evident HMAC-SHA256 Cryptographic Audit Log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Integrity, Non-Repudiation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Append-only logger; cryptographic HMAC-SHA256 audit verification endpoint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Audit trail self-verifies cryptographic hash chain integrity on demand</w:t>
            </w:r>
          </w:p>
        </w:tc>
      </w:tr>
      <w:tr>
        <w:tc>
          <w:tcPr>
            <w:tcW w:type="dxa" w:w="100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REQ-08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Executive Dashboard &amp; Real-Time SLA Reporting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FR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Should Have</w:t>
            </w:r>
          </w:p>
        </w:tc>
        <w:tc>
          <w:tcPr>
            <w:tcW w:type="dxa" w:w="129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Availability, Confidentiality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Authenticated user; role-conditioned metric filtering &amp; dashboard views</w:t>
            </w:r>
          </w:p>
        </w:tc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compliance report generation and executive metrics query access</w:t>
            </w:r>
          </w:p>
        </w:tc>
      </w:tr>
      <w:tr>
        <w:tc>
          <w:tcPr>
            <w:tcW w:type="dxa" w:w="100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REQ-09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Rate Limiting on Auth &amp; API Endpoints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/ NFR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Availability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IP &amp; Token bucket rate limiter (Express-rate-limit 300 requests / 15 mins)</w:t>
            </w:r>
          </w:p>
        </w:tc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Log rate-limit threshold breaches and IP thottle events</w:t>
            </w:r>
          </w:p>
        </w:tc>
      </w:tr>
      <w:tr>
        <w:tc>
          <w:tcPr>
            <w:tcW w:type="dxa" w:w="100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REQ-10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Content Security Policy &amp; XSS / Injection Protection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Security / NFR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Must Have</w:t>
            </w:r>
          </w:p>
        </w:tc>
        <w:tc>
          <w:tcPr>
            <w:tcW w:type="dxa" w:w="129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Integrity, Confidentiality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Helmet HTTP security headers (CSP, X-Content-Type-Options) &amp; HTML escaping on inputs</w:t>
            </w:r>
          </w:p>
        </w:tc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Monitor and log browser CSP violation reports and input sanitization rejections</w:t>
            </w:r>
          </w:p>
        </w:tc>
      </w:tr>
    </w:tbl>
    <w:p>
      <w:pPr>
        <w:spacing w:before="360"/>
      </w:pPr>
      <w:r>
        <w:rPr>
          <w:i/>
          <w:color w:val="64748B"/>
        </w:rPr>
        <w:t>*End of Phase 2 Deliverable.*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