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05B" w:rsidRPr="0075405B" w:rsidRDefault="0075405B" w:rsidP="0075405B">
      <w:pPr>
        <w:spacing w:after="300"/>
        <w:rPr>
          <w:rFonts w:ascii="Arial" w:eastAsia="Arial" w:hAnsi="Arial" w:cs="Arial"/>
          <w:b/>
          <w:bCs/>
          <w:color w:val="1A4F8A"/>
          <w:sz w:val="40"/>
          <w:szCs w:val="40"/>
        </w:rPr>
      </w:pPr>
      <w:r w:rsidRPr="0075405B">
        <w:rPr>
          <w:rFonts w:ascii="Arial" w:eastAsia="Arial" w:hAnsi="Arial" w:cs="Arial"/>
          <w:b/>
          <w:bCs/>
          <w:color w:val="1A4F8A"/>
          <w:sz w:val="40"/>
          <w:szCs w:val="40"/>
        </w:rPr>
        <w:t xml:space="preserve">Study Title : </w:t>
      </w:r>
    </w:p>
    <w:p w:rsidR="0075405B" w:rsidRDefault="0075405B" w:rsidP="0075405B">
      <w:pPr>
        <w:spacing w:after="300"/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A Phase II Randomized Double-Blind Study to Evaluate the Safety and Efficacy of Drug XYZ in Patients with Type 2 Diabetes Mellitus</w:t>
      </w:r>
      <w:r>
        <w:rPr>
          <w:rFonts w:ascii="Arial" w:eastAsia="Arial" w:hAnsi="Arial" w:cs="Arial"/>
          <w:b/>
          <w:bCs/>
          <w:color w:val="1A4F8A"/>
          <w:sz w:val="28"/>
          <w:szCs w:val="28"/>
        </w:rPr>
        <w:t>.</w:t>
      </w:r>
    </w:p>
    <w:p w:rsidR="0075405B" w:rsidRPr="0075405B" w:rsidRDefault="0075405B" w:rsidP="0075405B">
      <w:pPr>
        <w:spacing w:after="300"/>
        <w:rPr>
          <w:rFonts w:ascii="Arial" w:eastAsia="Arial" w:hAnsi="Arial" w:cs="Arial"/>
          <w:b/>
          <w:bCs/>
          <w:color w:val="1A4F8A"/>
          <w:sz w:val="40"/>
          <w:szCs w:val="40"/>
        </w:rPr>
      </w:pPr>
      <w:r w:rsidRPr="0075405B">
        <w:rPr>
          <w:rFonts w:ascii="Arial" w:eastAsia="Arial" w:hAnsi="Arial" w:cs="Arial"/>
          <w:b/>
          <w:bCs/>
          <w:color w:val="1A4F8A"/>
          <w:sz w:val="40"/>
          <w:szCs w:val="40"/>
        </w:rPr>
        <w:t>Study</w:t>
      </w:r>
      <w:r w:rsidRPr="0075405B">
        <w:rPr>
          <w:sz w:val="40"/>
          <w:szCs w:val="40"/>
        </w:rPr>
        <w:t xml:space="preserve"> </w:t>
      </w:r>
      <w:r w:rsidRPr="0075405B">
        <w:rPr>
          <w:rFonts w:ascii="Arial" w:eastAsia="Arial" w:hAnsi="Arial" w:cs="Arial"/>
          <w:b/>
          <w:bCs/>
          <w:color w:val="1A4F8A"/>
          <w:sz w:val="40"/>
          <w:szCs w:val="40"/>
        </w:rPr>
        <w:t>Overview</w:t>
      </w:r>
      <w:r w:rsidRPr="0075405B">
        <w:rPr>
          <w:rFonts w:ascii="Arial" w:eastAsia="Arial" w:hAnsi="Arial" w:cs="Arial"/>
          <w:b/>
          <w:bCs/>
          <w:color w:val="1A4F8A"/>
          <w:sz w:val="40"/>
          <w:szCs w:val="40"/>
        </w:rPr>
        <w:t>:</w:t>
      </w:r>
    </w:p>
    <w:p w:rsidR="0075405B" w:rsidRDefault="0075405B" w:rsidP="0075405B">
      <w:pPr>
        <w:spacing w:after="300"/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This mock clinical trial is designed to evaluate the safety and efficacy of Drug XYZ in adult patients diagnosed with Type 2 Diabetes Mellitus. The study compares Drug XYZ against placebo over a 12-week treatment period.</w:t>
      </w:r>
    </w:p>
    <w:p w:rsidR="0075405B" w:rsidRDefault="0075405B" w:rsidP="0075405B">
      <w:pPr>
        <w:spacing w:after="300"/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75405B" w:rsidRDefault="0075405B">
      <w:pPr>
        <w:spacing w:after="300"/>
        <w:jc w:val="center"/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61345B" w:rsidRPr="0075405B" w:rsidRDefault="008341E2">
      <w:pPr>
        <w:spacing w:after="300"/>
        <w:jc w:val="center"/>
        <w:rPr>
          <w:sz w:val="40"/>
          <w:szCs w:val="40"/>
        </w:rPr>
      </w:pPr>
      <w:r w:rsidRPr="0075405B">
        <w:rPr>
          <w:rFonts w:ascii="Arial" w:eastAsia="Arial" w:hAnsi="Arial" w:cs="Arial"/>
          <w:b/>
          <w:bCs/>
          <w:color w:val="1A4F8A"/>
          <w:sz w:val="40"/>
          <w:szCs w:val="40"/>
        </w:rPr>
        <w:t>Clinical Study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345B" w:rsidRDefault="008341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5860" w:type="dxa"/>
            <w:tcBorders>
              <w:top w:val="single" w:sz="4" w:space="0" w:color="1A4F8A"/>
              <w:left w:val="single" w:sz="4" w:space="0" w:color="1A4F8A"/>
              <w:bottom w:val="single" w:sz="4" w:space="0" w:color="1A4F8A"/>
              <w:right w:val="single" w:sz="4" w:space="0" w:color="1A4F8A"/>
            </w:tcBorders>
            <w:shd w:val="clear" w:color="auto" w:fill="1A4F8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345B" w:rsidRDefault="008341E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Study ID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T2DM-001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Phase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II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Study Type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Randomized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Blinding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Double Blind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Arms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Drug XYZ vs Placebo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Sample Size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100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Duration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12 Weeks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Indication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A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Type 2 Diabetes</w:t>
            </w:r>
          </w:p>
        </w:tc>
      </w:tr>
      <w:tr w:rsidR="006134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b/>
                <w:bCs/>
                <w:color w:val="1A4F8A"/>
                <w:sz w:val="22"/>
                <w:szCs w:val="22"/>
              </w:rPr>
              <w:t>Primary Endpoint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45B" w:rsidRDefault="008341E2">
            <w:r>
              <w:rPr>
                <w:rFonts w:ascii="Arial" w:eastAsia="Arial" w:hAnsi="Arial" w:cs="Arial"/>
                <w:color w:val="333333"/>
                <w:sz w:val="22"/>
                <w:szCs w:val="22"/>
              </w:rPr>
              <w:t>HbA1c Reduction</w:t>
            </w:r>
          </w:p>
        </w:tc>
      </w:tr>
    </w:tbl>
    <w:p w:rsidR="00000000" w:rsidRDefault="008341E2"/>
    <w:p w:rsidR="0075405B" w:rsidRDefault="0075405B"/>
    <w:p w:rsidR="0075405B" w:rsidRDefault="0075405B">
      <w:r>
        <w:t xml:space="preserve"> </w:t>
      </w:r>
    </w:p>
    <w:p w:rsidR="0075405B" w:rsidRDefault="0075405B"/>
    <w:p w:rsidR="0075405B" w:rsidRDefault="0075405B"/>
    <w:p w:rsidR="0075405B" w:rsidRDefault="0075405B"/>
    <w:p w:rsidR="0075405B" w:rsidRDefault="0075405B"/>
    <w:p w:rsidR="0075405B" w:rsidRDefault="0075405B"/>
    <w:p w:rsidR="0075405B" w:rsidRDefault="0075405B"/>
    <w:p w:rsidR="0075405B" w:rsidRPr="0075405B" w:rsidRDefault="0075405B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  <w:r w:rsidRPr="0075405B">
        <w:rPr>
          <w:rFonts w:ascii="Arial" w:eastAsia="Arial" w:hAnsi="Arial" w:cs="Arial"/>
          <w:b/>
          <w:bCs/>
          <w:color w:val="1A4F8A"/>
          <w:sz w:val="40"/>
          <w:szCs w:val="40"/>
        </w:rPr>
        <w:lastRenderedPageBreak/>
        <w:t>Inclusion Criteria</w:t>
      </w:r>
      <w:r w:rsidRPr="0075405B">
        <w:rPr>
          <w:rFonts w:ascii="Arial" w:eastAsia="Arial" w:hAnsi="Arial" w:cs="Arial"/>
          <w:b/>
          <w:bCs/>
          <w:color w:val="1A4F8A"/>
          <w:sz w:val="40"/>
          <w:szCs w:val="40"/>
        </w:rPr>
        <w:t xml:space="preserve"> : </w:t>
      </w:r>
    </w:p>
    <w:p w:rsidR="0075405B" w:rsidRDefault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75405B" w:rsidRP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• Male or female subjects aged 18–65 years</w:t>
      </w:r>
    </w:p>
    <w:p w:rsidR="0075405B" w:rsidRP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• Diagnosed with Type 2 Diabetes Mellitus</w:t>
      </w:r>
    </w:p>
    <w:p w:rsidR="0075405B" w:rsidRP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• HbA1c between 7% and 10%</w:t>
      </w:r>
    </w:p>
    <w:p w:rsid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• Able to provide informed consent</w:t>
      </w:r>
    </w:p>
    <w:p w:rsid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75405B" w:rsidRDefault="0075405B" w:rsidP="0075405B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  <w:r w:rsidRPr="0075405B">
        <w:rPr>
          <w:rFonts w:ascii="Arial" w:eastAsia="Arial" w:hAnsi="Arial" w:cs="Arial"/>
          <w:b/>
          <w:bCs/>
          <w:color w:val="1A4F8A"/>
          <w:sz w:val="40"/>
          <w:szCs w:val="40"/>
        </w:rPr>
        <w:t>Exclusion Criteria</w:t>
      </w:r>
      <w:r>
        <w:rPr>
          <w:rFonts w:ascii="Arial" w:eastAsia="Arial" w:hAnsi="Arial" w:cs="Arial"/>
          <w:b/>
          <w:bCs/>
          <w:color w:val="1A4F8A"/>
          <w:sz w:val="40"/>
          <w:szCs w:val="40"/>
        </w:rPr>
        <w:t xml:space="preserve"> : </w:t>
      </w:r>
    </w:p>
    <w:p w:rsidR="0075405B" w:rsidRDefault="0075405B" w:rsidP="0075405B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</w:p>
    <w:p w:rsidR="0075405B" w:rsidRP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• Pregnant or lactating women</w:t>
      </w:r>
    </w:p>
    <w:p w:rsidR="0075405B" w:rsidRP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• Severe renal impairment</w:t>
      </w:r>
    </w:p>
    <w:p w:rsidR="0075405B" w:rsidRP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• Active malignancy</w:t>
      </w:r>
    </w:p>
    <w:p w:rsid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75405B">
        <w:rPr>
          <w:rFonts w:ascii="Arial" w:eastAsia="Arial" w:hAnsi="Arial" w:cs="Arial"/>
          <w:b/>
          <w:bCs/>
          <w:color w:val="1A4F8A"/>
          <w:sz w:val="28"/>
          <w:szCs w:val="28"/>
        </w:rPr>
        <w:t>• History of cardiovascular event within 6 months</w:t>
      </w:r>
    </w:p>
    <w:p w:rsidR="002E7549" w:rsidRDefault="002E7549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2E7549" w:rsidRDefault="002E7549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>
        <w:rPr>
          <w:rFonts w:ascii="Arial" w:eastAsia="Arial" w:hAnsi="Arial" w:cs="Arial"/>
          <w:b/>
          <w:bCs/>
          <w:color w:val="1A4F8A"/>
          <w:sz w:val="28"/>
          <w:szCs w:val="28"/>
        </w:rPr>
        <w:t xml:space="preserve">Visit </w:t>
      </w:r>
      <w:proofErr w:type="gramStart"/>
      <w:r>
        <w:rPr>
          <w:rFonts w:ascii="Arial" w:eastAsia="Arial" w:hAnsi="Arial" w:cs="Arial"/>
          <w:b/>
          <w:bCs/>
          <w:color w:val="1A4F8A"/>
          <w:sz w:val="28"/>
          <w:szCs w:val="28"/>
        </w:rPr>
        <w:t>Schedule :</w:t>
      </w:r>
      <w:proofErr w:type="gramEnd"/>
      <w:r>
        <w:rPr>
          <w:rFonts w:ascii="Arial" w:eastAsia="Arial" w:hAnsi="Arial" w:cs="Arial"/>
          <w:b/>
          <w:bCs/>
          <w:color w:val="1A4F8A"/>
          <w:sz w:val="28"/>
          <w:szCs w:val="28"/>
        </w:rPr>
        <w:t xml:space="preserve"> </w:t>
      </w:r>
    </w:p>
    <w:p w:rsidR="0075405B" w:rsidRDefault="0075405B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2E7549" w:rsidRDefault="00351E45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drawing>
          <wp:inline distT="0" distB="0" distL="0" distR="0" wp14:anchorId="5FA8CB1A" wp14:editId="05AAFAE4">
            <wp:extent cx="5943600" cy="207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549" w:rsidRDefault="002E7549" w:rsidP="0075405B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351E45" w:rsidRDefault="00351E45" w:rsidP="0075405B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  <w:r>
        <w:rPr>
          <w:rFonts w:ascii="Arial" w:eastAsia="Arial" w:hAnsi="Arial" w:cs="Arial"/>
          <w:b/>
          <w:bCs/>
          <w:color w:val="1A4F8A"/>
          <w:sz w:val="40"/>
          <w:szCs w:val="40"/>
        </w:rPr>
        <w:t>Data to be Collected:</w:t>
      </w:r>
    </w:p>
    <w:p w:rsidR="00351E45" w:rsidRDefault="00351E45" w:rsidP="0075405B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</w:p>
    <w:p w:rsidR="00351E45" w:rsidRP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The following data will be collected during the study:</w:t>
      </w:r>
    </w:p>
    <w:p w:rsidR="00351E45" w:rsidRP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• Demographics</w:t>
      </w:r>
    </w:p>
    <w:p w:rsidR="00351E45" w:rsidRP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• Medical History</w:t>
      </w:r>
    </w:p>
    <w:p w:rsidR="00351E45" w:rsidRP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• Vital Signs</w:t>
      </w:r>
    </w:p>
    <w:p w:rsidR="00351E45" w:rsidRP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• Laboratory Results</w:t>
      </w:r>
    </w:p>
    <w:p w:rsidR="00351E45" w:rsidRP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• Adverse Events</w:t>
      </w:r>
    </w:p>
    <w:p w:rsid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• Concomitant Medications</w:t>
      </w:r>
    </w:p>
    <w:p w:rsidR="00351E45" w:rsidRDefault="00351E45" w:rsidP="00351E45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  <w:r w:rsidRPr="00351E45">
        <w:rPr>
          <w:rFonts w:ascii="Arial" w:eastAsia="Arial" w:hAnsi="Arial" w:cs="Arial"/>
          <w:b/>
          <w:bCs/>
          <w:color w:val="1A4F8A"/>
          <w:sz w:val="40"/>
          <w:szCs w:val="40"/>
        </w:rPr>
        <w:lastRenderedPageBreak/>
        <w:t>Safety Monitoring:</w:t>
      </w:r>
    </w:p>
    <w:p w:rsidR="00351E45" w:rsidRDefault="00351E45" w:rsidP="00351E45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</w:p>
    <w:p w:rsid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All adverse events occurring during the study period will be documented and assessed for severity, seriousness, and relationship to study medication.</w:t>
      </w:r>
    </w:p>
    <w:p w:rsid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</w:p>
    <w:p w:rsidR="00351E45" w:rsidRDefault="00351E45" w:rsidP="00351E45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  <w:r w:rsidRPr="00351E45">
        <w:rPr>
          <w:rFonts w:ascii="Arial" w:eastAsia="Arial" w:hAnsi="Arial" w:cs="Arial"/>
          <w:b/>
          <w:bCs/>
          <w:color w:val="1A4F8A"/>
          <w:sz w:val="40"/>
          <w:szCs w:val="40"/>
        </w:rPr>
        <w:t>Study Conclusion:</w:t>
      </w:r>
    </w:p>
    <w:p w:rsidR="00351E45" w:rsidRDefault="00351E45" w:rsidP="00351E45">
      <w:pPr>
        <w:rPr>
          <w:rFonts w:ascii="Arial" w:eastAsia="Arial" w:hAnsi="Arial" w:cs="Arial"/>
          <w:b/>
          <w:bCs/>
          <w:color w:val="1A4F8A"/>
          <w:sz w:val="40"/>
          <w:szCs w:val="40"/>
        </w:rPr>
      </w:pPr>
      <w:bookmarkStart w:id="0" w:name="_GoBack"/>
      <w:bookmarkEnd w:id="0"/>
    </w:p>
    <w:p w:rsidR="00351E45" w:rsidRPr="00351E45" w:rsidRDefault="00351E45" w:rsidP="00351E45">
      <w:pPr>
        <w:rPr>
          <w:rFonts w:ascii="Arial" w:eastAsia="Arial" w:hAnsi="Arial" w:cs="Arial"/>
          <w:b/>
          <w:bCs/>
          <w:color w:val="1A4F8A"/>
          <w:sz w:val="28"/>
          <w:szCs w:val="28"/>
        </w:rPr>
      </w:pPr>
      <w:r w:rsidRPr="00351E45">
        <w:rPr>
          <w:rFonts w:ascii="Arial" w:eastAsia="Arial" w:hAnsi="Arial" w:cs="Arial"/>
          <w:b/>
          <w:bCs/>
          <w:color w:val="1A4F8A"/>
          <w:sz w:val="28"/>
          <w:szCs w:val="28"/>
        </w:rPr>
        <w:t>This project simulates an electronic data capture workflow used in modern clinical trials and demonstrates understanding of clinical data management principles.</w:t>
      </w:r>
    </w:p>
    <w:sectPr w:rsidR="00351E45" w:rsidRPr="00351E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94E23"/>
    <w:multiLevelType w:val="hybridMultilevel"/>
    <w:tmpl w:val="C18CA64E"/>
    <w:lvl w:ilvl="0" w:tplc="75B64734">
      <w:start w:val="1"/>
      <w:numFmt w:val="bullet"/>
      <w:lvlText w:val="●"/>
      <w:lvlJc w:val="left"/>
      <w:pPr>
        <w:ind w:left="720" w:hanging="360"/>
      </w:pPr>
    </w:lvl>
    <w:lvl w:ilvl="1" w:tplc="061EF688">
      <w:start w:val="1"/>
      <w:numFmt w:val="bullet"/>
      <w:lvlText w:val="○"/>
      <w:lvlJc w:val="left"/>
      <w:pPr>
        <w:ind w:left="1440" w:hanging="360"/>
      </w:pPr>
    </w:lvl>
    <w:lvl w:ilvl="2" w:tplc="43A0C02A">
      <w:start w:val="1"/>
      <w:numFmt w:val="bullet"/>
      <w:lvlText w:val="■"/>
      <w:lvlJc w:val="left"/>
      <w:pPr>
        <w:ind w:left="2160" w:hanging="360"/>
      </w:pPr>
    </w:lvl>
    <w:lvl w:ilvl="3" w:tplc="9D02C526">
      <w:start w:val="1"/>
      <w:numFmt w:val="bullet"/>
      <w:lvlText w:val="●"/>
      <w:lvlJc w:val="left"/>
      <w:pPr>
        <w:ind w:left="2880" w:hanging="360"/>
      </w:pPr>
    </w:lvl>
    <w:lvl w:ilvl="4" w:tplc="EF9A81EE">
      <w:start w:val="1"/>
      <w:numFmt w:val="bullet"/>
      <w:lvlText w:val="○"/>
      <w:lvlJc w:val="left"/>
      <w:pPr>
        <w:ind w:left="3600" w:hanging="360"/>
      </w:pPr>
    </w:lvl>
    <w:lvl w:ilvl="5" w:tplc="0442DA6C">
      <w:start w:val="1"/>
      <w:numFmt w:val="bullet"/>
      <w:lvlText w:val="■"/>
      <w:lvlJc w:val="left"/>
      <w:pPr>
        <w:ind w:left="4320" w:hanging="360"/>
      </w:pPr>
    </w:lvl>
    <w:lvl w:ilvl="6" w:tplc="13249764">
      <w:start w:val="1"/>
      <w:numFmt w:val="bullet"/>
      <w:lvlText w:val="●"/>
      <w:lvlJc w:val="left"/>
      <w:pPr>
        <w:ind w:left="5040" w:hanging="360"/>
      </w:pPr>
    </w:lvl>
    <w:lvl w:ilvl="7" w:tplc="771E5C04">
      <w:start w:val="1"/>
      <w:numFmt w:val="bullet"/>
      <w:lvlText w:val="●"/>
      <w:lvlJc w:val="left"/>
      <w:pPr>
        <w:ind w:left="5760" w:hanging="360"/>
      </w:pPr>
    </w:lvl>
    <w:lvl w:ilvl="8" w:tplc="786AE1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45B"/>
    <w:rsid w:val="002E7549"/>
    <w:rsid w:val="00351E45"/>
    <w:rsid w:val="0061345B"/>
    <w:rsid w:val="0075405B"/>
    <w:rsid w:val="0083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271E"/>
  <w15:docId w15:val="{EA7FCEBE-683D-4346-9DC8-605474BA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2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SAMUDRANEEL</cp:lastModifiedBy>
  <cp:revision>2</cp:revision>
  <dcterms:created xsi:type="dcterms:W3CDTF">2026-05-11T07:20:00Z</dcterms:created>
  <dcterms:modified xsi:type="dcterms:W3CDTF">2026-05-11T07:20:00Z</dcterms:modified>
</cp:coreProperties>
</file>