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p-addressing-pcs-printers"/>
    <w:p>
      <w:pPr>
        <w:pStyle w:val="Heading2"/>
      </w:pPr>
      <w:r>
        <w:t xml:space="preserve">IP Addressing – PCs &amp; Printers</w:t>
      </w:r>
    </w:p>
    <w:p>
      <w:pPr>
        <w:pStyle w:val="FirstParagraph"/>
      </w:pPr>
      <w:r>
        <w:rPr>
          <w:b/>
          <w:bCs/>
        </w:rPr>
        <w:t xml:space="preserve">Base Network:</w:t>
      </w:r>
      <w:r>
        <w:t xml:space="preserve"> </w:t>
      </w:r>
      <w:r>
        <w:t xml:space="preserve">192.168.100.0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4"/>
        <w:gridCol w:w="1258"/>
        <w:gridCol w:w="1998"/>
        <w:gridCol w:w="962"/>
        <w:gridCol w:w="1480"/>
        <w:gridCol w:w="14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Network Address</w:t>
            </w:r>
          </w:p>
        </w:tc>
        <w:tc>
          <w:tcPr/>
          <w:p>
            <w:pPr>
              <w:pStyle w:val="Compact"/>
            </w:pPr>
            <w:r>
              <w:t xml:space="preserve">Devices (PCs + Printers)</w:t>
            </w:r>
          </w:p>
        </w:tc>
        <w:tc>
          <w:tcPr/>
          <w:p>
            <w:pPr>
              <w:pStyle w:val="Compact"/>
            </w:pPr>
            <w:r>
              <w:t xml:space="preserve">Subnet Mask</w:t>
            </w:r>
          </w:p>
        </w:tc>
        <w:tc>
          <w:tcPr/>
          <w:p>
            <w:pPr>
              <w:pStyle w:val="Compact"/>
            </w:pPr>
            <w:r>
              <w:t xml:space="preserve">Host Address Range</w:t>
            </w:r>
          </w:p>
        </w:tc>
        <w:tc>
          <w:tcPr/>
          <w:p>
            <w:pPr>
              <w:pStyle w:val="Compact"/>
            </w:pPr>
            <w:r>
              <w:t xml:space="preserve">Broadcast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192.168.100.0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192.168.100.1 – 192.168.100.30</w:t>
            </w:r>
          </w:p>
        </w:tc>
        <w:tc>
          <w:tcPr/>
          <w:p>
            <w:pPr>
              <w:pStyle w:val="Compact"/>
            </w:pPr>
            <w:r>
              <w:t xml:space="preserve">192.168.100.31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192.168.100.32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192.168.100.33 – 192.168.100.62</w:t>
            </w:r>
          </w:p>
        </w:tc>
        <w:tc>
          <w:tcPr/>
          <w:p>
            <w:pPr>
              <w:pStyle w:val="Compact"/>
            </w:pPr>
            <w:r>
              <w:t xml:space="preserve">192.168.100.63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192.168.100.64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192.168.100.65 – 192.168.100.94</w:t>
            </w:r>
          </w:p>
        </w:tc>
        <w:tc>
          <w:tcPr/>
          <w:p>
            <w:pPr>
              <w:pStyle w:val="Compact"/>
            </w:pPr>
            <w:r>
              <w:t xml:space="preserve">192.168.100.95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ICT</w:t>
            </w:r>
          </w:p>
        </w:tc>
        <w:tc>
          <w:tcPr/>
          <w:p>
            <w:pPr>
              <w:pStyle w:val="Compact"/>
            </w:pPr>
            <w:r>
              <w:t xml:space="preserve">192.168.100.96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192.168.100.97 – 192.168.100.126</w:t>
            </w:r>
          </w:p>
        </w:tc>
        <w:tc>
          <w:tcPr/>
          <w:p>
            <w:pPr>
              <w:pStyle w:val="Compact"/>
            </w:pPr>
            <w:r>
              <w:t xml:space="preserve">192.168.100.127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Side</w:t>
            </w:r>
          </w:p>
        </w:tc>
        <w:tc>
          <w:tcPr/>
          <w:p>
            <w:pPr>
              <w:pStyle w:val="Compact"/>
            </w:pPr>
            <w:r>
              <w:t xml:space="preserve">192.168.100.128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255.255.255.248 (/29)</w:t>
            </w:r>
          </w:p>
        </w:tc>
        <w:tc>
          <w:tcPr/>
          <w:p>
            <w:pPr>
              <w:pStyle w:val="Compact"/>
            </w:pPr>
            <w:r>
              <w:t xml:space="preserve">192.168.100.129 – 192.168.100.134</w:t>
            </w:r>
          </w:p>
        </w:tc>
        <w:tc>
          <w:tcPr/>
          <w:p>
            <w:pPr>
              <w:pStyle w:val="Compact"/>
            </w:pPr>
            <w:r>
              <w:t xml:space="preserve">192.168.100.135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ip-addressing-phones"/>
    <w:p>
      <w:pPr>
        <w:pStyle w:val="Heading2"/>
      </w:pPr>
      <w:r>
        <w:t xml:space="preserve">IP Addressing – Phones</w:t>
      </w:r>
    </w:p>
    <w:p>
      <w:pPr>
        <w:pStyle w:val="FirstParagraph"/>
      </w:pPr>
      <w:r>
        <w:rPr>
          <w:b/>
          <w:bCs/>
        </w:rPr>
        <w:t xml:space="preserve">Base Network:</w:t>
      </w:r>
      <w:r>
        <w:t xml:space="preserve"> </w:t>
      </w:r>
      <w:r>
        <w:t xml:space="preserve">172.16.100.0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530"/>
        <w:gridCol w:w="720"/>
        <w:gridCol w:w="1170"/>
        <w:gridCol w:w="1800"/>
        <w:gridCol w:w="1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Network Address</w:t>
            </w:r>
          </w:p>
        </w:tc>
        <w:tc>
          <w:tcPr/>
          <w:p>
            <w:pPr>
              <w:pStyle w:val="Compact"/>
            </w:pPr>
            <w:r>
              <w:t xml:space="preserve">Phones</w:t>
            </w:r>
          </w:p>
        </w:tc>
        <w:tc>
          <w:tcPr/>
          <w:p>
            <w:pPr>
              <w:pStyle w:val="Compact"/>
            </w:pPr>
            <w:r>
              <w:t xml:space="preserve">Subnet Mask</w:t>
            </w:r>
          </w:p>
        </w:tc>
        <w:tc>
          <w:tcPr/>
          <w:p>
            <w:pPr>
              <w:pStyle w:val="Compact"/>
            </w:pPr>
            <w:r>
              <w:t xml:space="preserve">Host Address Range</w:t>
            </w:r>
          </w:p>
        </w:tc>
        <w:tc>
          <w:tcPr/>
          <w:p>
            <w:pPr>
              <w:pStyle w:val="Compact"/>
            </w:pPr>
            <w:r>
              <w:t xml:space="preserve">Broadcast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172.16.100.0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172.16.100.1 – 172.16.100.30</w:t>
            </w:r>
          </w:p>
        </w:tc>
        <w:tc>
          <w:tcPr/>
          <w:p>
            <w:pPr>
              <w:pStyle w:val="Compact"/>
            </w:pPr>
            <w:r>
              <w:t xml:space="preserve">172.16.100.31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172.16.100.32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172.16.100.33 – 172.16.100.62</w:t>
            </w:r>
          </w:p>
        </w:tc>
        <w:tc>
          <w:tcPr/>
          <w:p>
            <w:pPr>
              <w:pStyle w:val="Compact"/>
            </w:pPr>
            <w:r>
              <w:t xml:space="preserve">172.16.100.63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172.16.100.64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172.16.100.65 – 172.16.100.94</w:t>
            </w:r>
          </w:p>
        </w:tc>
        <w:tc>
          <w:tcPr/>
          <w:p>
            <w:pPr>
              <w:pStyle w:val="Compact"/>
            </w:pPr>
            <w:r>
              <w:t xml:space="preserve">172.16.100.95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ICT</w:t>
            </w:r>
          </w:p>
        </w:tc>
        <w:tc>
          <w:tcPr/>
          <w:p>
            <w:pPr>
              <w:pStyle w:val="Compact"/>
            </w:pPr>
            <w:r>
              <w:t xml:space="preserve">172.16.100.96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255.255.255.224 (/27)</w:t>
            </w:r>
          </w:p>
        </w:tc>
        <w:tc>
          <w:tcPr/>
          <w:p>
            <w:pPr>
              <w:pStyle w:val="Compact"/>
            </w:pPr>
            <w:r>
              <w:t xml:space="preserve">172.16.100.97 – 172.16.100.126</w:t>
            </w:r>
          </w:p>
        </w:tc>
        <w:tc>
          <w:tcPr/>
          <w:p>
            <w:pPr>
              <w:pStyle w:val="Compact"/>
            </w:pPr>
            <w:r>
              <w:t xml:space="preserve">172.16.100.127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networks-between-routers"/>
    <w:p>
      <w:pPr>
        <w:pStyle w:val="Heading2"/>
      </w:pPr>
      <w:r>
        <w:t xml:space="preserve">Networks Between Routers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Network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to HR</w:t>
            </w:r>
          </w:p>
        </w:tc>
        <w:tc>
          <w:tcPr/>
          <w:p>
            <w:pPr>
              <w:pStyle w:val="Compact"/>
            </w:pPr>
            <w:r>
              <w:t xml:space="preserve">10.10.10.0/30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to ICT</w:t>
            </w:r>
          </w:p>
        </w:tc>
        <w:tc>
          <w:tcPr/>
          <w:p>
            <w:pPr>
              <w:pStyle w:val="Compact"/>
            </w:pPr>
            <w:r>
              <w:t xml:space="preserve">10.10.10.4/30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to HR</w:t>
            </w:r>
          </w:p>
        </w:tc>
        <w:tc>
          <w:tcPr/>
          <w:p>
            <w:pPr>
              <w:pStyle w:val="Compact"/>
            </w:pPr>
            <w:r>
              <w:t xml:space="preserve">10.10.10.8/30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to ICT</w:t>
            </w:r>
          </w:p>
        </w:tc>
        <w:tc>
          <w:tcPr/>
          <w:p>
            <w:pPr>
              <w:pStyle w:val="Compact"/>
            </w:pPr>
            <w:r>
              <w:t xml:space="preserve">10.10.10.12/30</w:t>
            </w: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2026-01-29T17:14:54Z</dcterms:created>
  <dcterms:modified xsi:type="dcterms:W3CDTF">2026-01-29T17:14:54Z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