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 Rising House Prices Make Local Workers Worse Off?</w:t>
      </w:r>
    </w:p>
    <w:p>
      <w:pPr>
        <w:jc w:val="center"/>
      </w:pPr>
      <w:r>
        <w:rPr>
          <w:i/>
          <w:sz w:val="24"/>
        </w:rPr>
        <w:t>A Two-Way Fixed Effects Panel Analysis of English Local Authorities, 2015–2018</w:t>
      </w:r>
    </w:p>
    <w:p/>
    <w:p>
      <w:pPr>
        <w:pStyle w:val="Heading1"/>
      </w:pPr>
      <w:r>
        <w:rPr>
          <w:color w:val="1F497D"/>
        </w:rPr>
        <w:t>1. Introduction</w:t>
      </w:r>
    </w:p>
    <w:p>
      <w:r>
        <w:t>UK housing affordability is one of the defining economic issues of the past two decades. Headlines routinely describe house prices 'outpacing wages,' but a sharper version of that question is: when house prices in a particular town rise, do the people who actually live and work there end up worse off in real terms?</w:t>
      </w:r>
    </w:p>
    <w:p>
      <w:r>
        <w:t>This project tries to answer one slice of that question with public ONS data. The outcome of interest is not the house price itself, but the wage-to-rent ratio — roughly, how much of a month's rent a typical worker's pay covers. If house prices rise and the wage-to-rent ratio in the same place falls in the same year, that is at least suggestive that local workers' purchasing power over housing is being squeezed.</w:t>
      </w:r>
    </w:p>
    <w:p>
      <w:r>
        <w:t>The research question is:</w:t>
      </w:r>
    </w:p>
    <w:p>
      <w:pPr>
        <w:pStyle w:val="NoSpacing"/>
        <w:spacing w:before="120" w:after="120"/>
        <w:ind w:left="720"/>
      </w:pPr>
      <w:r>
        <w:rPr>
          <w:i/>
        </w:rPr>
        <w:t>Within a UK local authority, does an increase in house prices cause workers' wages (relative to rents) to fall?</w:t>
      </w:r>
    </w:p>
    <w:p>
      <w:r>
        <w:t>The headline finding is that within a local authority, a 10% rise in house prices in a given year is associated with a roughly 4.1% fall in the local wage-to-rent ratio in that same year. The estimate is highly statistically significant, but — as discussed at length later — the design has real limitations, and 'associated with' is doing a lot of work in that sentence.</w:t>
      </w:r>
    </w:p>
    <w:p>
      <w:pPr>
        <w:pStyle w:val="Heading1"/>
      </w:pPr>
      <w:r>
        <w:rPr>
          <w:color w:val="1F497D"/>
        </w:rPr>
        <w:t>2. Data</w:t>
      </w:r>
    </w:p>
    <w:p>
      <w:r>
        <w:t>All primary data sources are public ONS releases.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Source</w:t>
            </w:r>
          </w:p>
        </w:tc>
        <w:tc>
          <w:tcPr>
            <w:tcW w:type="dxa" w:w="2160"/>
          </w:tcPr>
          <w:p>
            <w:r>
              <w:rPr>
                <w:b/>
              </w:rPr>
              <w:t>Unit</w:t>
            </w:r>
          </w:p>
        </w:tc>
        <w:tc>
          <w:tcPr>
            <w:tcW w:type="dxa" w:w="2160"/>
          </w:tcPr>
          <w:p>
            <w:r>
              <w:rPr>
                <w:b/>
              </w:rPr>
              <w:t>Notes</w:t>
            </w:r>
          </w:p>
        </w:tc>
      </w:tr>
      <w:tr>
        <w:tc>
          <w:tcPr>
            <w:tcW w:type="dxa" w:w="2160"/>
          </w:tcPr>
          <w:p>
            <w:r>
              <w:t>Median gross weekly pay</w:t>
            </w:r>
          </w:p>
        </w:tc>
        <w:tc>
          <w:tcPr>
            <w:tcW w:type="dxa" w:w="2160"/>
          </w:tcPr>
          <w:p>
            <w:r>
              <w:t>ASHE (via Nomis)</w:t>
            </w:r>
          </w:p>
        </w:tc>
        <w:tc>
          <w:tcPr>
            <w:tcW w:type="dxa" w:w="2160"/>
          </w:tcPr>
          <w:p>
            <w:r>
              <w:t>£ per week per LA per year</w:t>
            </w:r>
          </w:p>
        </w:tc>
        <w:tc>
          <w:tcPr>
            <w:tcW w:type="dxa" w:w="2160"/>
          </w:tcPr>
          <w:p>
            <w:r>
              <w:t>Workplace-based</w:t>
            </w:r>
          </w:p>
        </w:tc>
      </w:tr>
      <w:tr>
        <w:tc>
          <w:tcPr>
            <w:tcW w:type="dxa" w:w="2160"/>
          </w:tcPr>
          <w:p>
            <w:r>
              <w:t>Median house sale price</w:t>
            </w:r>
          </w:p>
        </w:tc>
        <w:tc>
          <w:tcPr>
            <w:tcW w:type="dxa" w:w="2160"/>
          </w:tcPr>
          <w:p>
            <w:r>
              <w:t>ONS House Prices by Local Authority</w:t>
            </w:r>
          </w:p>
        </w:tc>
        <w:tc>
          <w:tcPr>
            <w:tcW w:type="dxa" w:w="2160"/>
          </w:tcPr>
          <w:p>
            <w:r>
              <w:t>£ per LA per year</w:t>
            </w:r>
          </w:p>
        </w:tc>
        <w:tc>
          <w:tcPr>
            <w:tcW w:type="dxa" w:w="2160"/>
          </w:tcPr>
          <w:p>
            <w:r/>
          </w:p>
        </w:tc>
      </w:tr>
      <w:tr>
        <w:tc>
          <w:tcPr>
            <w:tcW w:type="dxa" w:w="2160"/>
          </w:tcPr>
          <w:p>
            <w:r>
              <w:t>Median monthly private rent</w:t>
            </w:r>
          </w:p>
        </w:tc>
        <w:tc>
          <w:tcPr>
            <w:tcW w:type="dxa" w:w="2160"/>
          </w:tcPr>
          <w:p>
            <w:r>
              <w:t>VOA Private Rental Market Statistics</w:t>
            </w:r>
          </w:p>
        </w:tc>
        <w:tc>
          <w:tcPr>
            <w:tcW w:type="dxa" w:w="2160"/>
          </w:tcPr>
          <w:p>
            <w:r>
              <w:t>£ per LA per year</w:t>
            </w:r>
          </w:p>
        </w:tc>
        <w:tc>
          <w:tcPr>
            <w:tcW w:type="dxa" w:w="2160"/>
          </w:tcPr>
          <w:p>
            <w:r/>
          </w:p>
        </w:tc>
      </w:tr>
      <w:tr>
        <w:tc>
          <w:tcPr>
            <w:tcW w:type="dxa" w:w="2160"/>
          </w:tcPr>
          <w:p>
            <w:r>
              <w:t>LA-to-LA migration flows</w:t>
            </w:r>
          </w:p>
        </w:tc>
        <w:tc>
          <w:tcPr>
            <w:tcW w:type="dxa" w:w="2160"/>
          </w:tcPr>
          <w:p>
            <w:r>
              <w:t>ONS Internal Migration matrices</w:t>
            </w:r>
          </w:p>
        </w:tc>
        <w:tc>
          <w:tcPr>
            <w:tcW w:type="dxa" w:w="2160"/>
          </w:tcPr>
          <w:p>
            <w:r>
              <w:t>Persons per year</w:t>
            </w:r>
          </w:p>
        </w:tc>
        <w:tc>
          <w:tcPr>
            <w:tcW w:type="dxa" w:w="2160"/>
          </w:tcPr>
          <w:p>
            <w:r>
              <w:t>Second regression spec</w:t>
            </w:r>
          </w:p>
        </w:tc>
      </w:tr>
      <w:tr>
        <w:tc>
          <w:tcPr>
            <w:tcW w:type="dxa" w:w="2160"/>
          </w:tcPr>
          <w:p>
            <w:r>
              <w:t>Mid-year population</w:t>
            </w:r>
          </w:p>
        </w:tc>
        <w:tc>
          <w:tcPr>
            <w:tcW w:type="dxa" w:w="2160"/>
          </w:tcPr>
          <w:p>
            <w:r>
              <w:t>ONS Mid-Year Population Estimates</w:t>
            </w:r>
          </w:p>
        </w:tc>
        <w:tc>
          <w:tcPr>
            <w:tcW w:type="dxa" w:w="2160"/>
          </w:tcPr>
          <w:p>
            <w:r>
              <w:t>Persons per LA per year</w:t>
            </w:r>
          </w:p>
        </w:tc>
        <w:tc>
          <w:tcPr>
            <w:tcW w:type="dxa" w:w="2160"/>
          </w:tcPr>
          <w:p>
            <w:r>
              <w:t>Migration rate denominator</w:t>
            </w:r>
          </w:p>
        </w:tc>
      </w:tr>
    </w:tbl>
    <w:p/>
    <w:p>
      <w:r>
        <w:t>After inner-joining the three core datasets on local authority code and year, the analytical panel contains:</w:t>
      </w:r>
    </w:p>
    <w:p>
      <w:pPr>
        <w:pStyle w:val="ListBullet"/>
      </w:pPr>
      <w:r>
        <w:t>284 English local authority districts</w:t>
      </w:r>
    </w:p>
    <w:p>
      <w:pPr>
        <w:pStyle w:val="ListBullet"/>
      </w:pPr>
      <w:r>
        <w:t>4 years: 2015–2018</w:t>
      </w:r>
    </w:p>
    <w:p>
      <w:pPr>
        <w:pStyle w:val="ListBullet"/>
      </w:pPr>
      <w:r>
        <w:t>1,136 observations (284 × 4, balanced)</w:t>
      </w:r>
    </w:p>
    <w:p>
      <w:r>
        <w:t>The panel is restricted to 2015 onwards because the ONS median house price series has sparse LA-level coverage before then. A planned second specification using migration flows (REG 2) was dropped because the 2017–2018 ONS internal migration spreadsheets used a different XLSX layout that the parser could not reconcile. Roughly 96 LAs were lost in the merge due to LA code mismatches — a recurring nuisance with ONS data because local authority boundaries are periodically reorganised.</w:t>
      </w:r>
    </w:p>
    <w:p>
      <w:pPr>
        <w:pStyle w:val="Heading2"/>
      </w:pPr>
      <w:r>
        <w:rPr>
          <w:color w:val="2E74B5"/>
        </w:rPr>
        <w:t>2.1  Outcome variable</w:t>
      </w:r>
    </w:p>
    <w:p>
      <w:r>
        <w:t>The dependent variable is the log of an approximate monthly wage-to-rent ratio:</w:t>
      </w:r>
    </w:p>
    <w:p>
      <w:pPr>
        <w:spacing w:before="80" w:after="80"/>
        <w:ind w:left="864"/>
      </w:pPr>
      <w:r>
        <w:rPr>
          <w:rFonts w:ascii="Courier New" w:hAnsi="Courier New"/>
          <w:sz w:val="20"/>
        </w:rPr>
        <w:t>Y(i,t)  =  log( [median_weekly_pay(i,t) × 4.33]  /  median_monthly_rent(i,t) )</w:t>
      </w:r>
    </w:p>
    <w:p>
      <w:r>
        <w:t>The factor 4.33 is the average number of weeks in a month (52 ÷ 12), converting weekly pay to a monthly figure. Taking logs makes the variable roughly symmetric and allows the regression coefficient to be interpreted as a percentage change. When Y falls, workers in that LA are worse off relative to housing costs — their pay buys less rent.</w:t>
      </w:r>
    </w:p>
    <w:p>
      <w:pPr>
        <w:pStyle w:val="Heading2"/>
      </w:pPr>
      <w:r>
        <w:rPr>
          <w:color w:val="2E74B5"/>
        </w:rPr>
        <w:t>2.2  Regressor</w:t>
      </w:r>
    </w:p>
    <w:p>
      <w:pPr>
        <w:spacing w:before="80" w:after="80"/>
        <w:ind w:left="864"/>
      </w:pPr>
      <w:r>
        <w:rPr>
          <w:rFonts w:ascii="Courier New" w:hAnsi="Courier New"/>
          <w:sz w:val="20"/>
        </w:rPr>
        <w:t>X(i,t)  =  log( median_house_sale_price(i,t) )</w:t>
      </w:r>
    </w:p>
    <w:p>
      <w:r>
        <w:t>Using logs means a 0.1-unit change in X corresponds to approximately a 10% change in house prices, making the coefficient directly interpretable as an elasticity.</w:t>
      </w:r>
    </w:p>
    <w:p>
      <w:pPr>
        <w:pStyle w:val="Heading1"/>
      </w:pPr>
      <w:r>
        <w:rPr>
          <w:color w:val="1F497D"/>
        </w:rPr>
        <w:t>3. Methodology</w:t>
      </w:r>
    </w:p>
    <w:p>
      <w:pPr>
        <w:pStyle w:val="Heading2"/>
      </w:pPr>
      <w:r>
        <w:rPr>
          <w:color w:val="2E74B5"/>
        </w:rPr>
        <w:t>3.1  The model</w:t>
      </w:r>
    </w:p>
    <w:p>
      <w:r>
        <w:t>We fit a two-way fixed effects (TWFE) panel regression:</w:t>
      </w:r>
    </w:p>
    <w:p>
      <w:pPr>
        <w:spacing w:before="80" w:after="80"/>
        <w:ind w:left="864"/>
      </w:pPr>
      <w:r>
        <w:rPr>
          <w:rFonts w:ascii="Courier New" w:hAnsi="Courier New"/>
          <w:sz w:val="20"/>
        </w:rPr>
        <w:t>Y(i,t)  =  β · X(i,t)  +  α(i)  +  γ(t)  +  ε(i,t)</w:t>
      </w:r>
    </w:p>
    <w:p>
      <w:r>
        <w:t>where i indexes the local authority and t the year. The three key components are:</w:t>
      </w:r>
    </w:p>
    <w:p>
      <w:pPr>
        <w:pStyle w:val="ListBullet"/>
      </w:pPr>
      <w:r>
        <w:t>α(i)  —  local authority fixed effect: a separate intercept for every LA that soaks up everything permanently different about that place (geography, industrial legacy, university presence). We do not estimate what those things are; we simply prevent them from contaminating β.</w:t>
      </w:r>
    </w:p>
    <w:p>
      <w:pPr>
        <w:pStyle w:val="ListBullet"/>
      </w:pPr>
      <w:r>
        <w:t>γ(t)  —  year fixed effect: soaks up anything that affected all LAs in a given year — Brexit uncertainty, Bank of England rate changes, the National Living Wage.</w:t>
      </w:r>
    </w:p>
    <w:p>
      <w:pPr>
        <w:pStyle w:val="ListBullet"/>
      </w:pPr>
      <w:r>
        <w:t>β  —  the parameter of interest, identified only from within-LA, within-year deviations.</w:t>
      </w:r>
    </w:p>
    <w:p>
      <w:r>
        <w:t>In plain English: β answers the question 'in years when house prices in (say) Manchester are unusually high relative to Manchester's own typical level and relative to the national average that year, is the wage-to-rent ratio in Manchester also unusually low?'</w:t>
      </w:r>
    </w:p>
    <w:p>
      <w:pPr>
        <w:pStyle w:val="Heading2"/>
      </w:pPr>
      <w:r>
        <w:rPr>
          <w:color w:val="2E74B5"/>
        </w:rPr>
        <w:t>3.2  Estimation: the within transformation</w:t>
      </w:r>
    </w:p>
    <w:p>
      <w:r>
        <w:t>Rather than including a dummy variable for every LA and every year, we use the Frisch-Waugh-Lovell within transformation. For every variable, subtract the unit mean and the time mean, then add back the grand mean:</w:t>
      </w:r>
    </w:p>
    <w:p>
      <w:pPr>
        <w:spacing w:before="80" w:after="80"/>
        <w:ind w:left="864"/>
      </w:pPr>
      <w:r>
        <w:rPr>
          <w:rFonts w:ascii="Courier New" w:hAnsi="Courier New"/>
          <w:sz w:val="20"/>
        </w:rPr>
        <w:t>X_tilde(i,t)  =  X(i,t)  −  X_bar(i)  −  X_bar(t)  +  X_bar</w:t>
      </w:r>
    </w:p>
    <w:p>
      <w:r>
        <w:t>Running plain OLS on the transformed variables is numerically identical to the full dummy-variable regression. In Python:</w:t>
      </w:r>
    </w:p>
    <w:p>
      <w:pPr>
        <w:pStyle w:val="NoSpacing"/>
        <w:ind w:left="576"/>
      </w:pPr>
      <w:r>
        <w:rPr>
          <w:rFonts w:ascii="Courier New" w:hAnsi="Courier New"/>
          <w:color w:val="202080"/>
          <w:sz w:val="18"/>
        </w:rPr>
        <w:t>def two_way_demean(df, var, unit='la_code', time='year'):</w:t>
        <w:br/>
        <w:t xml:space="preserve">    grand     = df[var].mean()</w:t>
        <w:br/>
        <w:t xml:space="preserve">    unit_mean = df.groupby(unit)[var].transform('mean')</w:t>
        <w:br/>
        <w:t xml:space="preserve">    time_mean = df.groupby(time)[var].transform('mean')</w:t>
        <w:br/>
        <w:t xml:space="preserve">    return df[var] - unit_mean - time_mean + grand</w:t>
        <w:br/>
        <w:br/>
        <w:t>panel['y_tilde'] = two_way_demean(panel, 'log_wage_rent')</w:t>
        <w:br/>
        <w:t>panel['x_tilde'] = two_way_demean(panel, 'log_house_price')</w:t>
        <w:br/>
        <w:br/>
        <w:t>beta = (panel['x_tilde'] * panel['y_tilde']).sum() \</w:t>
        <w:br/>
        <w:t xml:space="preserve">     / (panel['x_tilde'] ** 2).sum()</w:t>
      </w:r>
    </w:p>
    <w:p/>
    <w:p>
      <w:r>
        <w:t>This is also why the scatter plot appears as a ball clustered around (0, 0): after removing each LA's own average and each year's national average, all remaining variation is small deviations around zero. The red regression line through that cloud is β.</w:t>
      </w:r>
    </w:p>
    <w:p>
      <w:pPr>
        <w:pStyle w:val="Heading2"/>
      </w:pPr>
      <w:r>
        <w:rPr>
          <w:color w:val="2E74B5"/>
        </w:rPr>
        <w:t>3.3  Standard errors: clustering at the LA level</w:t>
      </w:r>
    </w:p>
    <w:p>
      <w:r>
        <w:t>Observations from the same LA across different years are not independent — if an LA has a structurally noisy labour market, all four of its residuals tend to be large together. We use cluster-robust standard errors (Liang-Zeger CR1), which sum variance contributions at the LA-block level rather than the individual observation level. This allows within-LA errors to be arbitrarily correlated over time.</w:t>
      </w:r>
    </w:p>
    <w:p>
      <w:pPr>
        <w:pStyle w:val="Heading1"/>
      </w:pPr>
      <w:r>
        <w:rPr>
          <w:color w:val="1F497D"/>
        </w:rPr>
        <w:t>4. Results</w:t>
      </w:r>
    </w:p>
    <w:tbl>
      <w:tblPr>
        <w:tblStyle w:val="LightList-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Value</w:t>
            </w:r>
          </w:p>
        </w:tc>
      </w:tr>
      <w:tr>
        <w:tc>
          <w:tcPr>
            <w:tcW w:type="dxa" w:w="4320"/>
          </w:tcPr>
          <w:p>
            <w:r>
              <w:t>Coefficient β (log house price)</w:t>
            </w:r>
          </w:p>
        </w:tc>
        <w:tc>
          <w:tcPr>
            <w:tcW w:type="dxa" w:w="4320"/>
          </w:tcPr>
          <w:p>
            <w:r>
              <w:t>−0.4104</w:t>
            </w:r>
          </w:p>
        </w:tc>
      </w:tr>
      <w:tr>
        <w:tc>
          <w:tcPr>
            <w:tcW w:type="dxa" w:w="4320"/>
          </w:tcPr>
          <w:p>
            <w:r>
              <w:t>Cluster-robust SE (CR1, by LA)</w:t>
            </w:r>
          </w:p>
        </w:tc>
        <w:tc>
          <w:tcPr>
            <w:tcW w:type="dxa" w:w="4320"/>
          </w:tcPr>
          <w:p>
            <w:r>
              <w:t>0.0700</w:t>
            </w:r>
          </w:p>
        </w:tc>
      </w:tr>
      <w:tr>
        <w:tc>
          <w:tcPr>
            <w:tcW w:type="dxa" w:w="4320"/>
          </w:tcPr>
          <w:p>
            <w:r>
              <w:t>t-statistic</w:t>
            </w:r>
          </w:p>
        </w:tc>
        <w:tc>
          <w:tcPr>
            <w:tcW w:type="dxa" w:w="4320"/>
          </w:tcPr>
          <w:p>
            <w:r>
              <w:t>−5.862</w:t>
            </w:r>
          </w:p>
        </w:tc>
      </w:tr>
      <w:tr>
        <w:tc>
          <w:tcPr>
            <w:tcW w:type="dxa" w:w="4320"/>
          </w:tcPr>
          <w:p>
            <w:r>
              <w:t>p-value</w:t>
            </w:r>
          </w:p>
        </w:tc>
        <w:tc>
          <w:tcPr>
            <w:tcW w:type="dxa" w:w="4320"/>
          </w:tcPr>
          <w:p>
            <w:r>
              <w:t>6.5 × 10⁻⁹</w:t>
            </w:r>
          </w:p>
        </w:tc>
      </w:tr>
      <w:tr>
        <w:tc>
          <w:tcPr>
            <w:tcW w:type="dxa" w:w="4320"/>
          </w:tcPr>
          <w:p>
            <w:r>
              <w:t>95% confidence interval</w:t>
            </w:r>
          </w:p>
        </w:tc>
        <w:tc>
          <w:tcPr>
            <w:tcW w:type="dxa" w:w="4320"/>
          </w:tcPr>
          <w:p>
            <w:r>
              <w:t>[−0.548, −0.273]</w:t>
            </w:r>
          </w:p>
        </w:tc>
      </w:tr>
      <w:tr>
        <w:tc>
          <w:tcPr>
            <w:tcW w:type="dxa" w:w="4320"/>
          </w:tcPr>
          <w:p>
            <w:r>
              <w:t>Within-R²</w:t>
            </w:r>
          </w:p>
        </w:tc>
        <w:tc>
          <w:tcPr>
            <w:tcW w:type="dxa" w:w="4320"/>
          </w:tcPr>
          <w:p>
            <w:r>
              <w:t>0.0578</w:t>
            </w:r>
          </w:p>
        </w:tc>
      </w:tr>
      <w:tr>
        <w:tc>
          <w:tcPr>
            <w:tcW w:type="dxa" w:w="4320"/>
          </w:tcPr>
          <w:p>
            <w:r>
              <w:t>Observations</w:t>
            </w:r>
          </w:p>
        </w:tc>
        <w:tc>
          <w:tcPr>
            <w:tcW w:type="dxa" w:w="4320"/>
          </w:tcPr>
          <w:p>
            <w:r>
              <w:t>1,136</w:t>
            </w:r>
          </w:p>
        </w:tc>
      </w:tr>
      <w:tr>
        <w:tc>
          <w:tcPr>
            <w:tcW w:type="dxa" w:w="4320"/>
          </w:tcPr>
          <w:p>
            <w:r>
              <w:t>Local authorities</w:t>
            </w:r>
          </w:p>
        </w:tc>
        <w:tc>
          <w:tcPr>
            <w:tcW w:type="dxa" w:w="4320"/>
          </w:tcPr>
          <w:p>
            <w:r>
              <w:t>284</w:t>
            </w:r>
          </w:p>
        </w:tc>
      </w:tr>
      <w:tr>
        <w:tc>
          <w:tcPr>
            <w:tcW w:type="dxa" w:w="4320"/>
          </w:tcPr>
          <w:p>
            <w:r>
              <w:t>Years</w:t>
            </w:r>
          </w:p>
        </w:tc>
        <w:tc>
          <w:tcPr>
            <w:tcW w:type="dxa" w:w="4320"/>
          </w:tcPr>
          <w:p>
            <w:r>
              <w:t>4 (2015–2018)</w:t>
            </w:r>
          </w:p>
        </w:tc>
      </w:tr>
    </w:tbl>
    <w:p/>
    <w:p>
      <w:pPr>
        <w:pStyle w:val="Heading2"/>
      </w:pPr>
      <w:r>
        <w:rPr>
          <w:color w:val="2E74B5"/>
        </w:rPr>
        <w:t>4.1  Interpretation</w:t>
      </w:r>
    </w:p>
    <w:p>
      <w:r>
        <w:t>Because both variables are in logs, the coefficient is an elasticity. The point estimate of −0.41 says: within a given local authority, a 10% above-trend house price year is associated with a roughly 4.1% below-trend wage-to-rent ratio in that LA that year. 'Above-trend' means above what we would predict for that LA given (a) its own typical level and (b) the national average that year.</w:t>
      </w:r>
    </w:p>
    <w:p>
      <w:pPr>
        <w:pStyle w:val="Heading2"/>
      </w:pPr>
      <w:r>
        <w:rPr>
          <w:color w:val="2E74B5"/>
        </w:rPr>
        <w:t>4.2  Statistical strength</w:t>
      </w:r>
    </w:p>
    <w:p>
      <w:r>
        <w:t>The t-statistic of −5.9 and p-value of approximately 6.5 × 10⁻⁹ (roughly 1-in-150-million odds of seeing this by chance if the true effect were zero) are well past any conventional significance threshold. The 95% confidence interval [−0.548, −0.273] does not come close to including zero.</w:t>
      </w:r>
    </w:p>
    <w:p>
      <w:pPr>
        <w:pStyle w:val="Heading2"/>
      </w:pPr>
      <w:r>
        <w:rPr>
          <w:color w:val="2E74B5"/>
        </w:rPr>
        <w:t>4.3  The low R²</w:t>
      </w:r>
    </w:p>
    <w:p>
      <w:r>
        <w:t>The within-R² of 5.8% simply means house prices are not the dominant driver of short-run swings in the wage-to-rent ratio within a single LA. The fixed effects do most of the explanatory work — the bulk of variation in Y is between LAs and across national trends, not within a given LA over four years. This does not undermine the finding; it just means house prices are one factor among several.</w:t>
      </w:r>
    </w:p>
    <w:p>
      <w:pPr>
        <w:pStyle w:val="Heading1"/>
      </w:pPr>
      <w:r>
        <w:rPr>
          <w:color w:val="1F497D"/>
        </w:rPr>
        <w:t>5. Limitations</w:t>
      </w:r>
    </w:p>
    <w:p>
      <w:pPr>
        <w:pStyle w:val="ListNumber"/>
      </w:pPr>
      <w:r>
        <w:rPr>
          <w:b/>
        </w:rPr>
        <w:t xml:space="preserve">Only four years.  </w:t>
      </w:r>
      <w:r>
        <w:t>TWFE needs time variation to work. Four years gives very little. Any dynamic that takes longer than four years to play out — which most housing-market processes do — is partially absorbed by the LA fixed effect rather than identified as an effect of X.</w:t>
      </w:r>
    </w:p>
    <w:p>
      <w:pPr>
        <w:pStyle w:val="ListNumber"/>
      </w:pPr>
      <w:r>
        <w:rPr>
          <w:b/>
        </w:rPr>
        <w:t xml:space="preserve">Parallel trends is untestable.  </w:t>
      </w:r>
      <w:r>
        <w:t>TWFE is causal under the assumption that, absent the change in X, Y would have evolved the same way across LAs. With four years and no pre-period, this assumption cannot be inspected or tested.</w:t>
      </w:r>
    </w:p>
    <w:p>
      <w:pPr>
        <w:pStyle w:val="ListNumber"/>
      </w:pPr>
      <w:r>
        <w:rPr>
          <w:b/>
        </w:rPr>
        <w:t xml:space="preserve">Reverse causality.  </w:t>
      </w:r>
      <w:r>
        <w:t>If a local economy weakens, investors may still bid up housing as a store of value, or squeezed locals are pushed into renting and rents rise. In that scenario Y is causing X, not the reverse. Without an instrumental variable for house prices — e.g. a national interest rate shock interacted with local land-supply elasticity — this cannot be ruled out.</w:t>
      </w:r>
    </w:p>
    <w:p>
      <w:pPr>
        <w:pStyle w:val="ListNumber"/>
      </w:pPr>
      <w:r>
        <w:rPr>
          <w:b/>
        </w:rPr>
        <w:t xml:space="preserve">The outcome bundles two stories.  </w:t>
      </w:r>
      <w:r>
        <w:t>A falling wage-to-rent ratio could be wages falling, rents rising, or both. The mechanism 'housing costs crowd out workers' versus 'housing costs suppress wage growth' is genuinely different, and this setup cannot separate them.</w:t>
      </w:r>
    </w:p>
    <w:p>
      <w:pPr>
        <w:pStyle w:val="ListNumber"/>
      </w:pPr>
      <w:r>
        <w:rPr>
          <w:b/>
        </w:rPr>
        <w:t xml:space="preserve">Migration specification was dropped.  </w:t>
      </w:r>
      <w:r>
        <w:t>The planned second regression using net in-migration as an outcome had to be cut because the 2017–2018 ONS migration XLSX files use a different layout that the parser could not reconcile, leaving only 18–20 LAs for those years.</w:t>
      </w:r>
    </w:p>
    <w:p>
      <w:pPr>
        <w:pStyle w:val="ListNumber"/>
      </w:pPr>
      <w:r>
        <w:rPr>
          <w:b/>
        </w:rPr>
        <w:t xml:space="preserve">96 LAs lost in the merge.  </w:t>
      </w:r>
      <w:r>
        <w:t>Dropped LAs are disproportionately recently reorganised authorities. If they are systematically different — more rural, more coastal — the sample is non-random and results may not generalise to all of England.</w:t>
      </w:r>
    </w:p>
    <w:p>
      <w:pPr>
        <w:pStyle w:val="ListNumber"/>
      </w:pPr>
      <w:r>
        <w:rPr>
          <w:b/>
        </w:rPr>
        <w:t xml:space="preserve">England only.  </w:t>
      </w:r>
      <w:r>
        <w:t>Wales has thin coverage across the datasets; Scotland and Northern Ireland are entirely absent. Generalising beyond England requires caution.</w:t>
      </w:r>
    </w:p>
    <w:p>
      <w:pPr>
        <w:pStyle w:val="ListNumber"/>
      </w:pPr>
      <w:r>
        <w:rPr>
          <w:b/>
        </w:rPr>
        <w:t xml:space="preserve">House prices may be a proxy.  </w:t>
      </w:r>
      <w:r>
        <w:t>The coefficient may partly capture other features of a booming local economy — tech clusters, gentrification, rapid population inflows — rather than the causal effect of housing costs specifically.</w:t>
      </w:r>
    </w:p>
    <w:p>
      <w:pPr>
        <w:pStyle w:val="Heading1"/>
      </w:pPr>
      <w:r>
        <w:rPr>
          <w:color w:val="1F497D"/>
        </w:rPr>
        <w:t>6. Conclusion</w:t>
      </w:r>
    </w:p>
    <w:p>
      <w:r>
        <w:t>Using a balanced panel of 284 English local authorities over 2015–2018, a two-way fixed effects regression of log wage-to-rent ratio on log house price yields:</w:t>
      </w:r>
    </w:p>
    <w:p>
      <w:pPr>
        <w:spacing w:before="80" w:after="80"/>
        <w:ind w:left="864"/>
      </w:pPr>
      <w:r>
        <w:rPr>
          <w:rFonts w:ascii="Courier New" w:hAnsi="Courier New"/>
          <w:sz w:val="20"/>
        </w:rPr>
        <w:t>β_hat  =  −0.41   (clustered SE = 0.07,   p ≈ 6.5 × 10⁻⁹)</w:t>
      </w:r>
    </w:p>
    <w:p>
      <w:r>
        <w:t>Within a local authority, a year of unusually high house prices is, on average, also a year of an unusually low wage-to-rent ratio — approximately 0.41% per 1% of house prices. The sign is consistent with the intuition that rising local house prices hurt local workers in real housing terms; the magnitude is economically meaningful without being all-explaining (within-R² ≈ 6%).</w:t>
      </w:r>
    </w:p>
    <w:p>
      <w:r>
        <w:t>The result should be read as a clean conditional correlation, not a settled causal estimate. Four years of data, an untestable parallel-trends assumption, plausible reverse causality, and an outcome variable that mixes wage and rent dynamics all temper what can be claimed.</w:t>
      </w:r>
    </w:p>
    <w:p>
      <w:r>
        <w:t>Natural next steps: extend the panel back to the early 2000s for more time variation; instrument house prices with a supply-side measure such as Saiz topographic land-supply elasticity interacted with national interest rates; and fix the migration parser to bring the second regression back in.</w:t>
      </w:r>
    </w:p>
    <w:p>
      <w:r>
        <w:t>For now: in the short run, within England, places where house prices rise are also places where wages stretch less far over rent. Whether that is causation, common cause, or both remains genuinely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