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B22222" w:sz="12" w:space="6"/>
        </w:pBdr>
        <w:spacing w:after="240" w:before="0"/>
      </w:pPr>
      <w:r>
        <w:rPr>
          <w:b/>
          <w:bCs/>
          <w:color w:val="B22222"/>
          <w:sz w:val="32"/>
          <w:szCs w:val="32"/>
        </w:rPr>
        <w:t xml:space="preserve">6. POLÍTICA DE CONTROL DE ACCESOS</w:t>
      </w:r>
    </w:p>
    <w:p>
      <w:pPr>
        <w:pStyle w:val="Heading2"/>
        <w:spacing w:after="140" w:before="320"/>
      </w:pPr>
      <w:r>
        <w:rPr>
          <w:b/>
          <w:bCs/>
          <w:color w:val="1F3864"/>
          <w:sz w:val="26"/>
          <w:szCs w:val="26"/>
        </w:rPr>
        <w:t xml:space="preserve">6.1. Antecedentes y objetivo</w:t>
      </w:r>
    </w:p>
    <w:p>
      <w:pPr>
        <w:spacing w:after="160" w:line="276"/>
        <w:jc w:val="both"/>
      </w:pPr>
      <w:r>
        <w:t xml:space="preserve">Controlar quién accede a la información de SUNAFIL es el primer paso para protegerla. Es indispensable poder determinar en todo momento quién tiene permiso para acceder a la información institucional, cómo, cuándo y con qué finalidad.</w:t>
      </w:r>
    </w:p>
    <w:p>
      <w:pPr>
        <w:spacing w:after="160" w:line="276"/>
        <w:jc w:val="both"/>
      </w:pPr>
      <w:r>
        <w:t xml:space="preserve">La información, los servicios y las aplicaciones de la entidad (SIIT, correo institucional, repositorios documentales, expedientes de inspección) no siempre residen de forma centralizada en la sede principal, sino que pueden estar distribuidas entre las distintas Intendencias Regionales, servicios en la nube y proveedores externos. A ello se suma el uso creciente de dispositivos móviles, en ocasiones propiedad del propio trabajador, lo que añade complejidad a la gestión del acceso.</w:t>
      </w:r>
    </w:p>
    <w:p>
      <w:pPr>
        <w:spacing w:after="160" w:line="276"/>
        <w:jc w:val="both"/>
      </w:pPr>
      <w:r>
        <w:t xml:space="preserve">El registro de los accesos mediante logs de los sistemas es determinante para poder investigar y analizar cualquier incidente de seguridad de la información.</w:t>
      </w:r>
    </w:p>
    <w:p>
      <w:pPr>
        <w:spacing w:after="160" w:line="276"/>
        <w:jc w:val="both"/>
      </w:pPr>
      <w:r>
        <w:rPr>
          <w:b/>
          <w:bCs/>
        </w:rPr>
        <w:t xml:space="preserve">Objetivo: </w:t>
      </w:r>
      <w:r>
        <w:t xml:space="preserve">establecer quién, cómo y cuándo puede acceder a los activos de información de SUNAFIL, y registrar convenientemente dichos accesos, en cumplimiento del marco legal vigente.</w:t>
      </w:r>
    </w:p>
    <w:p>
      <w:pPr>
        <w:pStyle w:val="Heading2"/>
        <w:spacing w:after="140" w:before="320"/>
      </w:pPr>
      <w:r>
        <w:rPr>
          <w:b/>
          <w:bCs/>
          <w:color w:val="1F3864"/>
          <w:sz w:val="26"/>
          <w:szCs w:val="26"/>
        </w:rPr>
        <w:t xml:space="preserve">6.2. Marco legal y normativo</w:t>
      </w:r>
    </w:p>
    <w:p>
      <w:pPr>
        <w:spacing w:after="160" w:line="276"/>
        <w:jc w:val="both"/>
      </w:pPr>
      <w:r>
        <w:t xml:space="preserve">Esta política es de cumplimiento obligatorio para todo el personal, órganos y unidades orgánicas de SUNAFIL, y se sustenta en la siguiente normativa del Estado peruano:</w:t>
      </w:r>
    </w:p>
    <w:p>
      <w:pPr>
        <w:pStyle w:val="ListParagraph"/>
        <w:numPr>
          <w:ilvl w:val="0"/>
          <w:numId w:val="1"/>
        </w:numPr>
        <w:spacing w:after="100"/>
      </w:pPr>
      <w:r>
        <w:t xml:space="preserve">Ley N.° 29733, Ley de Protección de Datos Personales: obliga a garantizar medidas técnicas que eviten el acceso no autorizado a datos sensibles (por ejemplo, datos de denunciantes).</w:t>
      </w:r>
    </w:p>
    <w:p>
      <w:pPr>
        <w:pStyle w:val="ListParagraph"/>
        <w:numPr>
          <w:ilvl w:val="0"/>
          <w:numId w:val="1"/>
        </w:numPr>
        <w:spacing w:after="100"/>
      </w:pPr>
      <w:r>
        <w:t xml:space="preserve">Decreto Legislativo N.° 1412, Ley de Gobierno Digital: establece el marco de gobernanza y seguridad digital para entidades públicas.</w:t>
      </w:r>
    </w:p>
    <w:p>
      <w:pPr>
        <w:pStyle w:val="ListParagraph"/>
        <w:numPr>
          <w:ilvl w:val="0"/>
          <w:numId w:val="1"/>
        </w:numPr>
        <w:spacing w:after="100"/>
      </w:pPr>
      <w:r>
        <w:t xml:space="preserve">Ley N.° 30096, Ley de Delitos Informáticos: sanciona el acceso ilícito a sistemas informáticos del Estado.</w:t>
      </w:r>
    </w:p>
    <w:p>
      <w:pPr>
        <w:pStyle w:val="ListParagraph"/>
        <w:numPr>
          <w:ilvl w:val="0"/>
          <w:numId w:val="1"/>
        </w:numPr>
        <w:spacing w:after="100"/>
      </w:pPr>
      <w:r>
        <w:t xml:space="preserve">Resolución Ministerial N.° 004-2007-PCM: aprueba el uso obligatorio de la Norma Técnica Peruana NTP-ISO/IEC 17799, referida a la gestión de seguridad de la información en la Administración Pública.</w:t>
      </w:r>
    </w:p>
    <w:p>
      <w:pPr>
        <w:spacing w:after="160" w:line="276"/>
        <w:jc w:val="both"/>
      </w:pPr>
      <w:r>
        <w:t xml:space="preserve">Esta política será revisada cada vez que se modifique la normativa aplicable o como resultado de las auditorías periódicas señaladas en el numeral 6.9.</w:t>
      </w:r>
    </w:p>
    <w:p>
      <w:pPr>
        <w:pStyle w:val="Heading2"/>
        <w:spacing w:after="140" w:before="320"/>
      </w:pPr>
      <w:r>
        <w:rPr>
          <w:b/>
          <w:bCs/>
          <w:color w:val="1F3864"/>
          <w:sz w:val="26"/>
          <w:szCs w:val="26"/>
        </w:rPr>
        <w:t xml:space="preserve">6.3. Política de usuarios y grupos</w:t>
      </w:r>
    </w:p>
    <w:p>
      <w:pPr>
        <w:spacing w:after="160" w:line="276"/>
        <w:jc w:val="both"/>
      </w:pPr>
      <w:r>
        <w:t xml:space="preserve">En SUNAFIL, los accesos a los activos de información no se asignarán de forma genérica ni individual improvisada. Se establecerán perfiles de usuario clasificados en función de los siguientes criterios:</w:t>
      </w:r>
    </w:p>
    <w:p>
      <w:pPr>
        <w:pStyle w:val="ListParagraph"/>
        <w:numPr>
          <w:ilvl w:val="0"/>
          <w:numId w:val="1"/>
        </w:numPr>
        <w:spacing w:after="100"/>
      </w:pPr>
      <w:r>
        <w:t xml:space="preserve">El área, unidad orgánica o Intendencia Regional a la que pertenece el trabajador.</w:t>
      </w:r>
    </w:p>
    <w:p>
      <w:pPr>
        <w:pStyle w:val="ListParagraph"/>
        <w:numPr>
          <w:ilvl w:val="0"/>
          <w:numId w:val="1"/>
        </w:numPr>
        <w:spacing w:after="100"/>
      </w:pPr>
      <w:r>
        <w:t xml:space="preserve">El tipo y nivel de criticidad de la información a la que accederá (por ejemplo, bases de datos del SIIT, expedientes de inspección, información de denunciantes).</w:t>
      </w:r>
    </w:p>
    <w:p>
      <w:pPr>
        <w:pStyle w:val="ListParagraph"/>
        <w:numPr>
          <w:ilvl w:val="0"/>
          <w:numId w:val="1"/>
        </w:numPr>
        <w:spacing w:after="100"/>
      </w:pPr>
      <w:r>
        <w:t xml:space="preserve">Las operaciones permitidas según el cargo que desempeña (Inspectores, personal administrativo, Alta Dirección, personal de TI).</w:t>
      </w:r>
    </w:p>
    <w:p>
      <w:pPr>
        <w:spacing w:after="160" w:line="276"/>
        <w:jc w:val="both"/>
      </w:pPr>
      <w:r>
        <w:t xml:space="preserve">A partir de estos criterios se definirán los perfiles y grupos de usuario, de modo que cada trabajador reciba únicamente el conjunto de accesos correspondiente a su rol.</w:t>
      </w:r>
    </w:p>
    <w:p>
      <w:pPr>
        <w:pStyle w:val="Heading2"/>
        <w:spacing w:after="140" w:before="320"/>
      </w:pPr>
      <w:r>
        <w:rPr>
          <w:b/>
          <w:bCs/>
          <w:color w:val="1F3864"/>
          <w:sz w:val="26"/>
          <w:szCs w:val="26"/>
        </w:rPr>
        <w:t xml:space="preserve">6.4. Asignación de permisos</w:t>
      </w:r>
    </w:p>
    <w:p>
      <w:pPr>
        <w:spacing w:after="160" w:line="276"/>
        <w:jc w:val="both"/>
      </w:pPr>
      <w:r>
        <w:t xml:space="preserve">Todos los accesos otorgados se rigen estrictamente por el principio de mínimo privilegio: cada usuario o grupo de usuarios recibirá únicamente los permisos necesarios para cumplir sus funciones, y ningún permiso adicional será concedido por defecto.</w:t>
      </w:r>
    </w:p>
    <w:p>
      <w:pPr>
        <w:spacing w:after="160" w:line="276"/>
        <w:jc w:val="both"/>
      </w:pPr>
      <w:r>
        <w:t xml:space="preserve">Los permisos concretarán qué acciones puede realizar cada usuario sobre la información: lectura, creación, modificación, borrado, copia o ejecución. Toda ampliación de permisos deberá justificarse y aprobarse formalmente antes de ser aplicada.</w:t>
      </w:r>
    </w:p>
    <w:p>
      <w:pPr>
        <w:pStyle w:val="Heading2"/>
        <w:spacing w:after="140" w:before="320"/>
      </w:pPr>
      <w:r>
        <w:rPr>
          <w:b/>
          <w:bCs/>
          <w:color w:val="1F3864"/>
          <w:sz w:val="26"/>
          <w:szCs w:val="26"/>
        </w:rPr>
        <w:t xml:space="preserve">6.5. Creación, modificación y baja de cuentas de usuario</w:t>
      </w:r>
    </w:p>
    <w:p>
      <w:pPr>
        <w:pStyle w:val="ListParagraph"/>
        <w:numPr>
          <w:ilvl w:val="0"/>
          <w:numId w:val="1"/>
        </w:numPr>
        <w:spacing w:after="100"/>
      </w:pPr>
      <w:r>
        <w:t xml:space="preserve">Procedimiento: para conceder acceso a los sistemas de SUNAFIL (correo institucional, SIIT, VPN, repositorios), debe existir una solicitud formal, autorizada por el jefe directo del trabajador, que identifique la cuenta, las acciones permitidas y el sistema al que aplica.</w:t>
      </w:r>
    </w:p>
    <w:p>
      <w:pPr>
        <w:pStyle w:val="ListParagraph"/>
        <w:numPr>
          <w:ilvl w:val="0"/>
          <w:numId w:val="1"/>
        </w:numPr>
        <w:spacing w:after="100"/>
      </w:pPr>
      <w:r>
        <w:t xml:space="preserve">Las credenciales generadas se entregarán de forma confidencial y directa a su titular, dejando constancia de la entrega.</w:t>
      </w:r>
    </w:p>
    <w:p>
      <w:pPr>
        <w:pStyle w:val="ListParagraph"/>
        <w:numPr>
          <w:ilvl w:val="0"/>
          <w:numId w:val="1"/>
        </w:numPr>
        <w:spacing w:after="100"/>
      </w:pPr>
      <w:r>
        <w:t xml:space="preserve">Se informará a cada usuario sobre la Política de Contraseñas vigente, que exige caducidad periódica de las credenciales y bloqueo automático de la cuenta ante intentos fallidos reiterados.</w:t>
      </w:r>
    </w:p>
    <w:p>
      <w:pPr>
        <w:pStyle w:val="ListParagraph"/>
        <w:numPr>
          <w:ilvl w:val="0"/>
          <w:numId w:val="1"/>
        </w:numPr>
        <w:spacing w:after="100"/>
      </w:pPr>
      <w:r>
        <w:t xml:space="preserve">Toda modificación o baja de cuenta seguirá el mismo procedimiento formal de autorización, y quedará registrada para su trazabilidad.</w:t>
      </w:r>
    </w:p>
    <w:p>
      <w:pPr>
        <w:pStyle w:val="Heading2"/>
        <w:spacing w:after="140" w:before="320"/>
      </w:pPr>
      <w:r>
        <w:rPr>
          <w:b/>
          <w:bCs/>
          <w:color w:val="1F3864"/>
          <w:sz w:val="26"/>
          <w:szCs w:val="26"/>
        </w:rPr>
        <w:t xml:space="preserve">6.6. Gestión de cuentas de administración</w:t>
      </w:r>
    </w:p>
    <w:p>
      <w:pPr>
        <w:spacing w:after="160" w:line="276"/>
        <w:jc w:val="both"/>
      </w:pPr>
      <w:r>
        <w:t xml:space="preserve">Las cuentas con privilegios elevados (administradores de TI, gestores del SIIT, administradores de red) permiten realizar cualquier acción sobre los sistemas que administran, por lo que su gestión será especialmente rigurosa:</w:t>
      </w:r>
    </w:p>
    <w:p>
      <w:pPr>
        <w:pStyle w:val="ListParagraph"/>
        <w:numPr>
          <w:ilvl w:val="0"/>
          <w:numId w:val="1"/>
        </w:numPr>
        <w:spacing w:after="100"/>
      </w:pPr>
      <w:r>
        <w:t xml:space="preserve">Se utilizarán exclusivamente para labores que requieran permisos de administración, nunca para uso diario, navegación web o tareas ordinarias.</w:t>
      </w:r>
    </w:p>
    <w:p>
      <w:pPr>
        <w:pStyle w:val="ListParagraph"/>
        <w:numPr>
          <w:ilvl w:val="0"/>
          <w:numId w:val="1"/>
        </w:numPr>
        <w:spacing w:after="100"/>
      </w:pPr>
      <w:r>
        <w:t xml:space="preserve">Es obligatorio implantar un control de acceso basado en doble factor de autenticación (2FA/MFA).</w:t>
      </w:r>
    </w:p>
    <w:p>
      <w:pPr>
        <w:pStyle w:val="ListParagraph"/>
        <w:numPr>
          <w:ilvl w:val="0"/>
          <w:numId w:val="1"/>
        </w:numPr>
        <w:spacing w:after="100"/>
      </w:pPr>
      <w:r>
        <w:t xml:space="preserve">Toda acción realizada en modo administrador quedará registrada (logs) y será notificada convenientemente.</w:t>
      </w:r>
    </w:p>
    <w:p>
      <w:pPr>
        <w:pStyle w:val="ListParagraph"/>
        <w:numPr>
          <w:ilvl w:val="0"/>
          <w:numId w:val="1"/>
        </w:numPr>
        <w:spacing w:after="100"/>
      </w:pPr>
      <w:r>
        <w:t xml:space="preserve">El sistema deberá indicar de forma clara cuándo se está operando en modo administrador.</w:t>
      </w:r>
    </w:p>
    <w:p>
      <w:pPr>
        <w:pStyle w:val="ListParagraph"/>
        <w:numPr>
          <w:ilvl w:val="0"/>
          <w:numId w:val="1"/>
        </w:numPr>
        <w:spacing w:after="100"/>
      </w:pPr>
      <w:r>
        <w:t xml:space="preserve">Se evitará que los privilegios de las cuentas de administrador se hereden automáticamente a otras cuentas o procesos.</w:t>
      </w:r>
    </w:p>
    <w:p>
      <w:pPr>
        <w:pStyle w:val="ListParagraph"/>
        <w:numPr>
          <w:ilvl w:val="0"/>
          <w:numId w:val="1"/>
        </w:numPr>
        <w:spacing w:after="100"/>
      </w:pPr>
      <w:r>
        <w:t xml:space="preserve">Las claves de acceso serán lo más robustas posible y se someterán a rotación frecuente.</w:t>
      </w:r>
    </w:p>
    <w:p>
      <w:pPr>
        <w:pStyle w:val="ListParagraph"/>
        <w:numPr>
          <w:ilvl w:val="0"/>
          <w:numId w:val="1"/>
        </w:numPr>
        <w:spacing w:after="100"/>
      </w:pPr>
      <w:r>
        <w:t xml:space="preserve">Estas cuentas podrán ser sometidas a auditorías periódicas por parte del Oficial de Seguridad de la Información.</w:t>
      </w:r>
    </w:p>
    <w:p>
      <w:pPr>
        <w:pStyle w:val="Heading2"/>
        <w:spacing w:after="140" w:before="320"/>
      </w:pPr>
      <w:r>
        <w:rPr>
          <w:b/>
          <w:bCs/>
          <w:color w:val="1F3864"/>
          <w:sz w:val="26"/>
          <w:szCs w:val="26"/>
        </w:rPr>
        <w:t xml:space="preserve">6.7. Mecanismos de autenticación</w:t>
      </w:r>
    </w:p>
    <w:p>
      <w:pPr>
        <w:spacing w:after="160" w:line="276"/>
        <w:jc w:val="both"/>
      </w:pPr>
      <w:r>
        <w:t xml:space="preserve">Para el acceso a la información de SUNAFIL se implementarán mecanismos de autenticación basados en servicios de directorio (Active Directory / LDAP), combinando, según la criticidad del sistema, uno o varios de los siguientes factores:</w:t>
      </w:r>
    </w:p>
    <w:p>
      <w:pPr>
        <w:pStyle w:val="ListParagraph"/>
        <w:numPr>
          <w:ilvl w:val="0"/>
          <w:numId w:val="1"/>
        </w:numPr>
        <w:spacing w:after="100"/>
      </w:pPr>
      <w:r>
        <w:t xml:space="preserve">Algo que sabemos: contraseñas robustas, conforme a la Política de Contraseñas vigente.</w:t>
      </w:r>
    </w:p>
    <w:p>
      <w:pPr>
        <w:pStyle w:val="ListParagraph"/>
        <w:numPr>
          <w:ilvl w:val="0"/>
          <w:numId w:val="1"/>
        </w:numPr>
        <w:spacing w:after="100"/>
      </w:pPr>
      <w:r>
        <w:t xml:space="preserve">Algo que tenemos: dispositivos corporativos, tokens criptográficos o códigos de verificación enviados al celular.</w:t>
      </w:r>
    </w:p>
    <w:p>
      <w:pPr>
        <w:pStyle w:val="ListParagraph"/>
        <w:numPr>
          <w:ilvl w:val="0"/>
          <w:numId w:val="1"/>
        </w:numPr>
        <w:spacing w:after="100"/>
      </w:pPr>
      <w:r>
        <w:t xml:space="preserve">Algo que somos: técnicas biométricas, aplicadas principalmente al acceso físico a cuartos de servidores e instalaciones críticas de las Intendencias.</w:t>
      </w:r>
    </w:p>
    <w:p>
      <w:pPr>
        <w:spacing w:after="160" w:line="276"/>
        <w:jc w:val="both"/>
      </w:pPr>
      <w:r>
        <w:t xml:space="preserve">La combinación de factores (autenticación multifactor) será obligatoria para los sistemas críticos y para todas las cuentas de administración, conforme a lo indicado en el numeral 6.6.</w:t>
      </w:r>
    </w:p>
    <w:p>
      <w:pPr>
        <w:pStyle w:val="Heading2"/>
        <w:spacing w:after="140" w:before="320"/>
      </w:pPr>
      <w:r>
        <w:rPr>
          <w:b/>
          <w:bCs/>
          <w:color w:val="1F3864"/>
          <w:sz w:val="26"/>
          <w:szCs w:val="26"/>
        </w:rPr>
        <w:t xml:space="preserve">6.8. Registro de eventos (logs)</w:t>
      </w:r>
    </w:p>
    <w:p>
      <w:pPr>
        <w:spacing w:after="160" w:line="276"/>
        <w:jc w:val="both"/>
      </w:pPr>
      <w:r>
        <w:t xml:space="preserve">La Oficina de Tecnologías de la Información establecerá los mecanismos técnicos necesarios en servidores, aplicativos y firewalls para registrar todos los eventos relevantes relacionados con el manejo de la información institucional.</w:t>
      </w:r>
    </w:p>
    <w:p>
      <w:pPr>
        <w:spacing w:after="160" w:line="276"/>
        <w:jc w:val="both"/>
      </w:pPr>
      <w:r>
        <w:t xml:space="preserve">Los registros deberán permitir identificar convenientemente quién accede a la información, cuándo, cómo (incluyendo dirección IP o ubicación de origen) y con qué finalidad, a fin de facilitar la investigación de cualquier incidente de seguridad. Los logs se conservarán durante el plazo que determine la normativa vigente y las directivas internas de retención de información.</w:t>
      </w:r>
    </w:p>
    <w:p>
      <w:pPr>
        <w:pStyle w:val="Heading2"/>
        <w:spacing w:after="140" w:before="320"/>
      </w:pPr>
      <w:r>
        <w:rPr>
          <w:b/>
          <w:bCs/>
          <w:color w:val="1F3864"/>
          <w:sz w:val="26"/>
          <w:szCs w:val="26"/>
        </w:rPr>
        <w:t xml:space="preserve">6.9. Revisión de permisos</w:t>
      </w:r>
    </w:p>
    <w:p>
      <w:pPr>
        <w:spacing w:after="160" w:line="276"/>
        <w:jc w:val="both"/>
      </w:pPr>
      <w:r>
        <w:t xml:space="preserve">El Oficial de Seguridad de la Información realizará auditorías periódicas, con frecuencia semestral, para verificar que los permisos y roles concedidos a los usuarios siguen siendo adecuados para sus funciones vigentes. Los resultados de estas auditorías se documentarán y darán lugar a la corrección inmediata de cualquier permiso excesivo o inadecuado detectado.</w:t>
      </w:r>
    </w:p>
    <w:p>
      <w:pPr>
        <w:pStyle w:val="Heading2"/>
        <w:spacing w:after="140" w:before="320"/>
      </w:pPr>
      <w:r>
        <w:rPr>
          <w:b/>
          <w:bCs/>
          <w:color w:val="1F3864"/>
          <w:sz w:val="26"/>
          <w:szCs w:val="26"/>
        </w:rPr>
        <w:t xml:space="preserve">6.10. Revocación de permisos y eliminación de cuentas</w:t>
      </w:r>
    </w:p>
    <w:p>
      <w:pPr>
        <w:spacing w:after="160" w:line="276"/>
        <w:jc w:val="both"/>
      </w:pPr>
      <w:r>
        <w:t xml:space="preserve">Al finalizar la relación laboral o contractual con un trabajador, practicante o proveedor, será de carácter urgente y obligatorio:</w:t>
      </w:r>
    </w:p>
    <w:p>
      <w:pPr>
        <w:pStyle w:val="ListParagraph"/>
        <w:numPr>
          <w:ilvl w:val="0"/>
          <w:numId w:val="1"/>
        </w:numPr>
        <w:spacing w:after="100"/>
      </w:pPr>
      <w:r>
        <w:t xml:space="preserve">Eliminar de forma inmediata sus cuentas de correo institucional, acceso a VPN, repositorios y aplicativos de SUNAFIL.</w:t>
      </w:r>
    </w:p>
    <w:p>
      <w:pPr>
        <w:pStyle w:val="ListParagraph"/>
        <w:numPr>
          <w:ilvl w:val="0"/>
          <w:numId w:val="1"/>
        </w:numPr>
        <w:spacing w:after="100"/>
      </w:pPr>
      <w:r>
        <w:t xml:space="preserve">Exigir la devolución inmediata de cualquier activo de información que se le hubiese asignado: equipos portátiles, fotochecks de acceso físico, tokens criptográficos o dispositivos de almacenamiento.</w:t>
      </w:r>
    </w:p>
    <w:p>
      <w:pPr>
        <w:pStyle w:val="ListParagraph"/>
        <w:numPr>
          <w:ilvl w:val="0"/>
          <w:numId w:val="1"/>
        </w:numPr>
        <w:spacing w:after="100"/>
      </w:pPr>
      <w:r>
        <w:t xml:space="preserve">Dejar constancia documentada de la revocación de accesos y de la devolución de activos, como parte del proceso de cese del trabajador.</w:t>
      </w:r>
    </w:p>
    <w:p>
      <w:pPr>
        <w:pStyle w:val="Heading2"/>
        <w:spacing w:after="140" w:before="320"/>
      </w:pPr>
      <w:r>
        <w:rPr>
          <w:b/>
          <w:bCs/>
          <w:color w:val="1F3864"/>
          <w:sz w:val="26"/>
          <w:szCs w:val="26"/>
        </w:rPr>
        <w:t xml:space="preserve">6.11. Checklist de cumplimiento</w:t>
      </w:r>
    </w:p>
    <w:p>
      <w:pPr>
        <w:spacing w:after="160" w:line="276"/>
        <w:jc w:val="both"/>
      </w:pPr>
      <w:r>
        <w:t xml:space="preserve">El siguiente checklist permite verificar el cumplimiento de la presente política. Los controles se clasifican por nivel de complejidad — Básico (B): exigible con recursos y esfuerzo asumibles; Avanzado (A): requiere configuraciones o soluciones tecnológicas adicionales — y por ámbito de aplicación: Procesos (PRO), Tecnología (TEC) o Personas (PER).</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5400"/>
        <w:gridCol w:w="1200"/>
      </w:tblGrid>
      <w:tr>
        <w:trPr>
          <w:tblHeader/>
        </w:trPr>
        <w:tc>
          <w:tcPr>
            <w:tcW w:type="dxa" w:w="1000"/>
            <w:shd w:fill="1F3864" w:val="clear"/>
          </w:tcPr>
          <w:p>
            <w:pPr>
              <w:jc w:val="center"/>
            </w:pPr>
            <w:r>
              <w:rPr>
                <w:b/>
                <w:bCs/>
                <w:color w:val="FFFFFF"/>
                <w:sz w:val="20"/>
                <w:szCs w:val="20"/>
              </w:rPr>
              <w:t xml:space="preserve">NIVEL</w:t>
            </w:r>
          </w:p>
        </w:tc>
        <w:tc>
          <w:tcPr>
            <w:tcW w:type="dxa" w:w="1000"/>
            <w:shd w:fill="1F3864" w:val="clear"/>
          </w:tcPr>
          <w:p>
            <w:pPr>
              <w:jc w:val="center"/>
            </w:pPr>
            <w:r>
              <w:rPr>
                <w:b/>
                <w:bCs/>
                <w:color w:val="FFFFFF"/>
                <w:sz w:val="20"/>
                <w:szCs w:val="20"/>
              </w:rPr>
              <w:t xml:space="preserve">ÁMBITO</w:t>
            </w:r>
          </w:p>
        </w:tc>
        <w:tc>
          <w:tcPr>
            <w:tcW w:type="dxa" w:w="5400"/>
            <w:shd w:fill="1F3864" w:val="clear"/>
          </w:tcPr>
          <w:p>
            <w:pPr>
              <w:jc w:val="center"/>
            </w:pPr>
            <w:r>
              <w:rPr>
                <w:b/>
                <w:bCs/>
                <w:color w:val="FFFFFF"/>
                <w:sz w:val="20"/>
                <w:szCs w:val="20"/>
              </w:rPr>
              <w:t xml:space="preserve">CONTROL</w:t>
            </w:r>
          </w:p>
        </w:tc>
        <w:tc>
          <w:tcPr>
            <w:tcW w:type="dxa" w:w="1200"/>
            <w:shd w:fill="1F3864" w:val="clear"/>
          </w:tcPr>
          <w:p>
            <w:pPr>
              <w:jc w:val="center"/>
            </w:pPr>
            <w:r>
              <w:rPr>
                <w:b/>
                <w:bCs/>
                <w:color w:val="FFFFFF"/>
                <w:sz w:val="20"/>
                <w:szCs w:val="20"/>
              </w:rPr>
              <w:t xml:space="preserve">CUMPLE</w:t>
            </w:r>
          </w:p>
        </w:tc>
      </w:tr>
      <w:tr>
        <w:tc>
          <w:tcPr>
            <w:tcW w:type="dxa" w:w="1000"/>
            <w:shd w:fill="F2F2F2" w:val="clear"/>
          </w:tcPr>
          <w:p>
            <w:pPr>
              <w:jc w:val="center"/>
            </w:pPr>
            <w:r>
              <w:rPr>
                <w:b/>
                <w:bCs/>
              </w:rPr>
              <w:t xml:space="preserve">B</w:t>
            </w:r>
          </w:p>
        </w:tc>
        <w:tc>
          <w:tcPr>
            <w:tcW w:type="dxa" w:w="1000"/>
            <w:shd w:fill="F2F2F2" w:val="clear"/>
          </w:tcPr>
          <w:p>
            <w:pPr>
              <w:jc w:val="center"/>
            </w:pPr>
            <w:r>
              <w:t xml:space="preserve">PRO</w:t>
            </w:r>
          </w:p>
        </w:tc>
        <w:tc>
          <w:tcPr>
            <w:tcW w:type="dxa" w:w="5400"/>
            <w:shd w:fill="F2F2F2" w:val="clear"/>
          </w:tcPr>
          <w:p>
            <w:r>
              <w:t xml:space="preserve">Política de usuarios y grupos — Perfiles definidos por Intendencia, tipo de información y cargo.</w:t>
            </w:r>
          </w:p>
        </w:tc>
        <w:tc>
          <w:tcPr>
            <w:tcW w:type="dxa" w:w="1200"/>
            <w:shd w:fill="F2F2F2" w:val="clear"/>
          </w:tcPr>
          <w:p>
            <w:pPr>
              <w:jc w:val="center"/>
            </w:pPr>
            <w:r>
              <w:t xml:space="preserve">☐</w:t>
            </w:r>
          </w:p>
        </w:tc>
      </w:tr>
      <w:tr>
        <w:tc>
          <w:tcPr>
            <w:tcW w:type="dxa" w:w="1000"/>
            <w:shd w:fill="FFFFFF" w:val="clear"/>
          </w:tcPr>
          <w:p>
            <w:pPr>
              <w:jc w:val="center"/>
            </w:pPr>
            <w:r>
              <w:rPr>
                <w:b/>
                <w:bCs/>
              </w:rPr>
              <w:t xml:space="preserve">B</w:t>
            </w:r>
          </w:p>
        </w:tc>
        <w:tc>
          <w:tcPr>
            <w:tcW w:type="dxa" w:w="1000"/>
            <w:shd w:fill="FFFFFF" w:val="clear"/>
          </w:tcPr>
          <w:p>
            <w:pPr>
              <w:jc w:val="center"/>
            </w:pPr>
            <w:r>
              <w:t xml:space="preserve">PRO</w:t>
            </w:r>
          </w:p>
        </w:tc>
        <w:tc>
          <w:tcPr>
            <w:tcW w:type="dxa" w:w="5400"/>
            <w:shd w:fill="FFFFFF" w:val="clear"/>
          </w:tcPr>
          <w:p>
            <w:r>
              <w:t xml:space="preserve">Asignación de permisos — Se aplica el principio de mínimo privilegio en cada perfil.</w:t>
            </w:r>
          </w:p>
        </w:tc>
        <w:tc>
          <w:tcPr>
            <w:tcW w:type="dxa" w:w="1200"/>
            <w:shd w:fill="FFFFFF" w:val="clear"/>
          </w:tcPr>
          <w:p>
            <w:pPr>
              <w:jc w:val="center"/>
            </w:pPr>
            <w:r>
              <w:t xml:space="preserve">☐</w:t>
            </w:r>
          </w:p>
        </w:tc>
      </w:tr>
      <w:tr>
        <w:tc>
          <w:tcPr>
            <w:tcW w:type="dxa" w:w="1000"/>
            <w:shd w:fill="F2F2F2" w:val="clear"/>
          </w:tcPr>
          <w:p>
            <w:pPr>
              <w:jc w:val="center"/>
            </w:pPr>
            <w:r>
              <w:rPr>
                <w:b/>
                <w:bCs/>
              </w:rPr>
              <w:t xml:space="preserve">B</w:t>
            </w:r>
          </w:p>
        </w:tc>
        <w:tc>
          <w:tcPr>
            <w:tcW w:type="dxa" w:w="1000"/>
            <w:shd w:fill="F2F2F2" w:val="clear"/>
          </w:tcPr>
          <w:p>
            <w:pPr>
              <w:jc w:val="center"/>
            </w:pPr>
            <w:r>
              <w:t xml:space="preserve">TEC</w:t>
            </w:r>
          </w:p>
        </w:tc>
        <w:tc>
          <w:tcPr>
            <w:tcW w:type="dxa" w:w="5400"/>
            <w:shd w:fill="F2F2F2" w:val="clear"/>
          </w:tcPr>
          <w:p>
            <w:r>
              <w:t xml:space="preserve">Alta / baja / modificación de cuentas — Procedimiento formal con autorización del jefe directo.</w:t>
            </w:r>
          </w:p>
        </w:tc>
        <w:tc>
          <w:tcPr>
            <w:tcW w:type="dxa" w:w="1200"/>
            <w:shd w:fill="F2F2F2" w:val="clear"/>
          </w:tcPr>
          <w:p>
            <w:pPr>
              <w:jc w:val="center"/>
            </w:pPr>
            <w:r>
              <w:t xml:space="preserve">☐</w:t>
            </w:r>
          </w:p>
        </w:tc>
      </w:tr>
      <w:tr>
        <w:tc>
          <w:tcPr>
            <w:tcW w:type="dxa" w:w="1000"/>
            <w:shd w:fill="FFFFFF" w:val="clear"/>
          </w:tcPr>
          <w:p>
            <w:pPr>
              <w:jc w:val="center"/>
            </w:pPr>
            <w:r>
              <w:rPr>
                <w:b/>
                <w:bCs/>
              </w:rPr>
              <w:t xml:space="preserve">B</w:t>
            </w:r>
          </w:p>
        </w:tc>
        <w:tc>
          <w:tcPr>
            <w:tcW w:type="dxa" w:w="1000"/>
            <w:shd w:fill="FFFFFF" w:val="clear"/>
          </w:tcPr>
          <w:p>
            <w:pPr>
              <w:jc w:val="center"/>
            </w:pPr>
            <w:r>
              <w:t xml:space="preserve">TEC</w:t>
            </w:r>
          </w:p>
        </w:tc>
        <w:tc>
          <w:tcPr>
            <w:tcW w:type="dxa" w:w="5400"/>
            <w:shd w:fill="FFFFFF" w:val="clear"/>
          </w:tcPr>
          <w:p>
            <w:r>
              <w:t xml:space="preserve">Gestión de cuentas de administración — Uso exclusivo para tareas de administración.</w:t>
            </w:r>
          </w:p>
        </w:tc>
        <w:tc>
          <w:tcPr>
            <w:tcW w:type="dxa" w:w="1200"/>
            <w:shd w:fill="FFFFFF" w:val="clear"/>
          </w:tcPr>
          <w:p>
            <w:pPr>
              <w:jc w:val="center"/>
            </w:pPr>
            <w:r>
              <w:t xml:space="preserve">☐</w:t>
            </w:r>
          </w:p>
        </w:tc>
      </w:tr>
      <w:tr>
        <w:tc>
          <w:tcPr>
            <w:tcW w:type="dxa" w:w="1000"/>
            <w:shd w:fill="F2F2F2" w:val="clear"/>
          </w:tcPr>
          <w:p>
            <w:pPr>
              <w:jc w:val="center"/>
            </w:pPr>
            <w:r>
              <w:rPr>
                <w:b/>
                <w:bCs/>
              </w:rPr>
              <w:t xml:space="preserve">A</w:t>
            </w:r>
          </w:p>
        </w:tc>
        <w:tc>
          <w:tcPr>
            <w:tcW w:type="dxa" w:w="1000"/>
            <w:shd w:fill="F2F2F2" w:val="clear"/>
          </w:tcPr>
          <w:p>
            <w:pPr>
              <w:jc w:val="center"/>
            </w:pPr>
            <w:r>
              <w:t xml:space="preserve">TEC</w:t>
            </w:r>
          </w:p>
        </w:tc>
        <w:tc>
          <w:tcPr>
            <w:tcW w:type="dxa" w:w="5400"/>
            <w:shd w:fill="F2F2F2" w:val="clear"/>
          </w:tcPr>
          <w:p>
            <w:r>
              <w:t xml:space="preserve">Doble factor de autenticación (2FA/MFA) — Obligatorio en cuentas privilegiadas.</w:t>
            </w:r>
          </w:p>
        </w:tc>
        <w:tc>
          <w:tcPr>
            <w:tcW w:type="dxa" w:w="1200"/>
            <w:shd w:fill="F2F2F2" w:val="clear"/>
          </w:tcPr>
          <w:p>
            <w:pPr>
              <w:jc w:val="center"/>
            </w:pPr>
            <w:r>
              <w:t xml:space="preserve">☐</w:t>
            </w:r>
          </w:p>
        </w:tc>
      </w:tr>
      <w:tr>
        <w:tc>
          <w:tcPr>
            <w:tcW w:type="dxa" w:w="1000"/>
            <w:shd w:fill="FFFFFF" w:val="clear"/>
          </w:tcPr>
          <w:p>
            <w:pPr>
              <w:jc w:val="center"/>
            </w:pPr>
            <w:r>
              <w:rPr>
                <w:b/>
                <w:bCs/>
              </w:rPr>
              <w:t xml:space="preserve">A</w:t>
            </w:r>
          </w:p>
        </w:tc>
        <w:tc>
          <w:tcPr>
            <w:tcW w:type="dxa" w:w="1000"/>
            <w:shd w:fill="FFFFFF" w:val="clear"/>
          </w:tcPr>
          <w:p>
            <w:pPr>
              <w:jc w:val="center"/>
            </w:pPr>
            <w:r>
              <w:t xml:space="preserve">TEC</w:t>
            </w:r>
          </w:p>
        </w:tc>
        <w:tc>
          <w:tcPr>
            <w:tcW w:type="dxa" w:w="5400"/>
            <w:shd w:fill="FFFFFF" w:val="clear"/>
          </w:tcPr>
          <w:p>
            <w:r>
              <w:t xml:space="preserve">Mecanismos de autenticación — Integración con Active Directory / LDAP.</w:t>
            </w:r>
          </w:p>
        </w:tc>
        <w:tc>
          <w:tcPr>
            <w:tcW w:type="dxa" w:w="1200"/>
            <w:shd w:fill="FFFFFF" w:val="clear"/>
          </w:tcPr>
          <w:p>
            <w:pPr>
              <w:jc w:val="center"/>
            </w:pPr>
            <w:r>
              <w:t xml:space="preserve">☐</w:t>
            </w:r>
          </w:p>
        </w:tc>
      </w:tr>
      <w:tr>
        <w:tc>
          <w:tcPr>
            <w:tcW w:type="dxa" w:w="1000"/>
            <w:shd w:fill="F2F2F2" w:val="clear"/>
          </w:tcPr>
          <w:p>
            <w:pPr>
              <w:jc w:val="center"/>
            </w:pPr>
            <w:r>
              <w:rPr>
                <w:b/>
                <w:bCs/>
              </w:rPr>
              <w:t xml:space="preserve">A</w:t>
            </w:r>
          </w:p>
        </w:tc>
        <w:tc>
          <w:tcPr>
            <w:tcW w:type="dxa" w:w="1000"/>
            <w:shd w:fill="F2F2F2" w:val="clear"/>
          </w:tcPr>
          <w:p>
            <w:pPr>
              <w:jc w:val="center"/>
            </w:pPr>
            <w:r>
              <w:t xml:space="preserve">TEC</w:t>
            </w:r>
          </w:p>
        </w:tc>
        <w:tc>
          <w:tcPr>
            <w:tcW w:type="dxa" w:w="5400"/>
            <w:shd w:fill="F2F2F2" w:val="clear"/>
          </w:tcPr>
          <w:p>
            <w:r>
              <w:t xml:space="preserve">Registro de eventos (logs) — Trazabilidad de accesos por usuario, fecha, IP y finalidad.</w:t>
            </w:r>
          </w:p>
        </w:tc>
        <w:tc>
          <w:tcPr>
            <w:tcW w:type="dxa" w:w="1200"/>
            <w:shd w:fill="F2F2F2" w:val="clear"/>
          </w:tcPr>
          <w:p>
            <w:pPr>
              <w:jc w:val="center"/>
            </w:pPr>
            <w:r>
              <w:t xml:space="preserve">☐</w:t>
            </w:r>
          </w:p>
        </w:tc>
      </w:tr>
      <w:tr>
        <w:tc>
          <w:tcPr>
            <w:tcW w:type="dxa" w:w="1000"/>
            <w:shd w:fill="FFFFFF" w:val="clear"/>
          </w:tcPr>
          <w:p>
            <w:pPr>
              <w:jc w:val="center"/>
            </w:pPr>
            <w:r>
              <w:rPr>
                <w:b/>
                <w:bCs/>
              </w:rPr>
              <w:t xml:space="preserve">B</w:t>
            </w:r>
          </w:p>
        </w:tc>
        <w:tc>
          <w:tcPr>
            <w:tcW w:type="dxa" w:w="1000"/>
            <w:shd w:fill="FFFFFF" w:val="clear"/>
          </w:tcPr>
          <w:p>
            <w:pPr>
              <w:jc w:val="center"/>
            </w:pPr>
            <w:r>
              <w:t xml:space="preserve">TEC</w:t>
            </w:r>
          </w:p>
        </w:tc>
        <w:tc>
          <w:tcPr>
            <w:tcW w:type="dxa" w:w="5400"/>
            <w:shd w:fill="FFFFFF" w:val="clear"/>
          </w:tcPr>
          <w:p>
            <w:r>
              <w:t xml:space="preserve">Revisión periódica de permisos — Auditoría semestral a cargo del Oficial de Seguridad.</w:t>
            </w:r>
          </w:p>
        </w:tc>
        <w:tc>
          <w:tcPr>
            <w:tcW w:type="dxa" w:w="1200"/>
            <w:shd w:fill="FFFFFF" w:val="clear"/>
          </w:tcPr>
          <w:p>
            <w:pPr>
              <w:jc w:val="center"/>
            </w:pPr>
            <w:r>
              <w:t xml:space="preserve">☐</w:t>
            </w:r>
          </w:p>
        </w:tc>
      </w:tr>
      <w:tr>
        <w:tc>
          <w:tcPr>
            <w:tcW w:type="dxa" w:w="1000"/>
            <w:shd w:fill="F2F2F2" w:val="clear"/>
          </w:tcPr>
          <w:p>
            <w:pPr>
              <w:jc w:val="center"/>
            </w:pPr>
            <w:r>
              <w:rPr>
                <w:b/>
                <w:bCs/>
              </w:rPr>
              <w:t xml:space="preserve">B</w:t>
            </w:r>
          </w:p>
        </w:tc>
        <w:tc>
          <w:tcPr>
            <w:tcW w:type="dxa" w:w="1000"/>
            <w:shd w:fill="F2F2F2" w:val="clear"/>
          </w:tcPr>
          <w:p>
            <w:pPr>
              <w:jc w:val="center"/>
            </w:pPr>
            <w:r>
              <w:t xml:space="preserve">TEC</w:t>
            </w:r>
          </w:p>
        </w:tc>
        <w:tc>
          <w:tcPr>
            <w:tcW w:type="dxa" w:w="5400"/>
            <w:shd w:fill="F2F2F2" w:val="clear"/>
          </w:tcPr>
          <w:p>
            <w:r>
              <w:t xml:space="preserve">Revocación de permisos y baja de cuentas — Ejecución inmediata al cese del vínculo laboral.</w:t>
            </w:r>
          </w:p>
        </w:tc>
        <w:tc>
          <w:tcPr>
            <w:tcW w:type="dxa" w:w="1200"/>
            <w:shd w:fill="F2F2F2" w:val="clear"/>
          </w:tcPr>
          <w:p>
            <w:pPr>
              <w:jc w:val="center"/>
            </w:pPr>
            <w:r>
              <w:t xml:space="preserve">☐</w:t>
            </w:r>
          </w:p>
        </w:tc>
      </w:tr>
      <w:tr>
        <w:tc>
          <w:tcPr>
            <w:tcW w:type="dxa" w:w="1000"/>
            <w:shd w:fill="FFFFFF" w:val="clear"/>
          </w:tcPr>
          <w:p>
            <w:pPr>
              <w:jc w:val="center"/>
            </w:pPr>
            <w:r>
              <w:rPr>
                <w:b/>
                <w:bCs/>
              </w:rPr>
              <w:t xml:space="preserve">B</w:t>
            </w:r>
          </w:p>
        </w:tc>
        <w:tc>
          <w:tcPr>
            <w:tcW w:type="dxa" w:w="1000"/>
            <w:shd w:fill="FFFFFF" w:val="clear"/>
          </w:tcPr>
          <w:p>
            <w:pPr>
              <w:jc w:val="center"/>
            </w:pPr>
            <w:r>
              <w:t xml:space="preserve">PER</w:t>
            </w:r>
          </w:p>
        </w:tc>
        <w:tc>
          <w:tcPr>
            <w:tcW w:type="dxa" w:w="5400"/>
            <w:shd w:fill="FFFFFF" w:val="clear"/>
          </w:tcPr>
          <w:p>
            <w:r>
              <w:t xml:space="preserve">Devolución de activos — Equipos, fotocheck, tokens y dispositivos de almacenamiento.</w:t>
            </w:r>
          </w:p>
        </w:tc>
        <w:tc>
          <w:tcPr>
            <w:tcW w:type="dxa" w:w="1200"/>
            <w:shd w:fill="FFFFFF" w:val="clear"/>
          </w:tcPr>
          <w:p>
            <w:pPr>
              <w:jc w:val="center"/>
            </w:pPr>
            <w:r>
              <w:t xml:space="preserve">☐</w:t>
            </w:r>
          </w:p>
        </w:tc>
      </w:tr>
    </w:tbl>
    <w:p>
      <w:pPr>
        <w:spacing w:after="80" w:before="240"/>
      </w:pPr>
      <w:r>
        <w:rPr>
          <w:b/>
          <w:bCs/>
        </w:rPr>
        <w:t xml:space="preserve">Revisado por: </w:t>
      </w:r>
      <w:r>
        <w:t xml:space="preserve">_______________________________</w:t>
      </w:r>
    </w:p>
    <w:p>
      <w:pPr>
        <w:spacing w:after="240"/>
      </w:pPr>
      <w:r>
        <w:rPr>
          <w:b/>
          <w:bCs/>
        </w:rPr>
        <w:t xml:space="preserve">Fecha: </w:t>
      </w:r>
      <w:r>
        <w:t xml:space="preserve">_______________</w:t>
      </w:r>
    </w:p>
    <w:p>
      <w:pPr>
        <w:pStyle w:val="Heading2"/>
        <w:spacing w:after="140" w:before="320"/>
      </w:pPr>
      <w:r>
        <w:rPr>
          <w:b/>
          <w:bCs/>
          <w:color w:val="1F3864"/>
          <w:sz w:val="26"/>
          <w:szCs w:val="26"/>
        </w:rPr>
        <w:t xml:space="preserve">6.12. Referencias</w:t>
      </w:r>
    </w:p>
    <w:p>
      <w:pPr>
        <w:spacing w:after="100"/>
        <w:ind w:left="431" w:hanging="431"/>
      </w:pPr>
      <w:r>
        <w:rPr>
          <w:b/>
          <w:bCs/>
        </w:rPr>
        <w:t xml:space="preserve">[1] </w:t>
      </w:r>
      <w:r>
        <w:t xml:space="preserve">INCIBE — Instituto Nacional de Ciberseguridad de España. Políticas de seguridad para la pyme: Control de acceso.</w:t>
      </w:r>
    </w:p>
    <w:p>
      <w:pPr>
        <w:spacing w:after="100"/>
        <w:ind w:left="431" w:hanging="431"/>
      </w:pPr>
      <w:r>
        <w:rPr>
          <w:b/>
          <w:bCs/>
        </w:rPr>
        <w:t xml:space="preserve">[2] </w:t>
      </w:r>
      <w:r>
        <w:t xml:space="preserve">Ley N.° 29733, Ley de Protección de Datos Personales, Congreso de la República del Perú.</w:t>
      </w:r>
    </w:p>
    <w:p>
      <w:pPr>
        <w:spacing w:after="100"/>
        <w:ind w:left="431" w:hanging="431"/>
      </w:pPr>
      <w:r>
        <w:rPr>
          <w:b/>
          <w:bCs/>
        </w:rPr>
        <w:t xml:space="preserve">[3] </w:t>
      </w:r>
      <w:r>
        <w:t xml:space="preserve">Decreto Legislativo N.° 1412, Ley de Gobierno Digital, Presidencia del Consejo de Ministros.</w:t>
      </w:r>
    </w:p>
    <w:p>
      <w:pPr>
        <w:spacing w:after="100"/>
        <w:ind w:left="431" w:hanging="431"/>
      </w:pPr>
      <w:r>
        <w:rPr>
          <w:b/>
          <w:bCs/>
        </w:rPr>
        <w:t xml:space="preserve">[4] </w:t>
      </w:r>
      <w:r>
        <w:t xml:space="preserve">Ley N.° 30096, Ley de Delitos Informáticos, Congreso de la República del Perú.</w:t>
      </w:r>
    </w:p>
    <w:p>
      <w:pPr>
        <w:spacing w:after="100"/>
        <w:ind w:left="431" w:hanging="431"/>
      </w:pPr>
      <w:r>
        <w:rPr>
          <w:b/>
          <w:bCs/>
        </w:rPr>
        <w:t xml:space="preserve">[5] </w:t>
      </w:r>
      <w:r>
        <w:t xml:space="preserve">Resolución Ministerial N.° 004-2007-PCM, Presidencia del Consejo de Ministros.</w:t>
      </w:r>
    </w:p>
    <w:p>
      <w:pPr>
        <w:spacing w:after="100"/>
        <w:ind w:left="431" w:hanging="431"/>
      </w:pPr>
      <w:r>
        <w:rPr>
          <w:b/>
          <w:bCs/>
        </w:rPr>
        <w:t xml:space="preserve">[6] </w:t>
      </w:r>
      <w:r>
        <w:t xml:space="preserve">SUNAFIL — Política de Contraseñas (documento interno referenciado en el numeral 6.5).</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Política de Control de Accesos</w:t>
    </w:r>
    <w:r>
      <w:rPr>
        <w:color w:val="595959"/>
        <w:sz w:val="16"/>
        <w:szCs w:val="16"/>
      </w:rPr>
      <w:t xml:space="preserve">   |   Página </w:t>
    </w:r>
    <w:r>
      <w:rPr>
        <w:color w:val="595959"/>
        <w:sz w:val="16"/>
        <w:szCs w:val="16"/>
      </w:rPr>
      <w:fldChar w:fldCharType="begin"/>
      <w:instrText xml:space="preserve">PAGE</w:instrText>
      <w:fldChar w:fldCharType="separate"/>
      <w:fldChar w:fldCharType="end"/>
    </w:r>
    <w:r>
      <w:rPr>
        <w:color w:val="595959"/>
        <w:sz w:val="16"/>
        <w:szCs w:val="16"/>
      </w:rPr>
      <w:t xml:space="preserve"> de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595959"/>
        <w:sz w:val="16"/>
        <w:szCs w:val="16"/>
      </w:rPr>
      <w:t xml:space="preserve">SUNAFIL — Sistema de Gestión de Seguridad de la Información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2026-09-15T18:18:53.035Z</dcterms:created>
  <dcterms:modified xsi:type="dcterms:W3CDTF">2026-09-15T18:18:53.035Z</dcterms:modified>
</cp:coreProperties>
</file>

<file path=docProps/custom.xml><?xml version="1.0" encoding="utf-8"?>
<Properties xmlns="http://schemas.openxmlformats.org/officeDocument/2006/custom-properties" xmlns:vt="http://schemas.openxmlformats.org/officeDocument/2006/docPropsVTypes"/>
</file>