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6"/>
        <w:spacing/>
        <w:ind/>
        <w:rPr/>
      </w:pPr>
      <w:r/>
      <w:bookmarkStart w:id="9" w:name="_0b841cabc6e3aeffb4f56fe49d0c104a039607a"/>
      <w:r>
        <w:t xml:space="preserve">RELATÓRIO TÉCNICO: SANITIZAÇÃO, NORMALIZAÇÃO E CRUZAMENTO (VIGIMED + CNES + ANVISA)</w:t>
      </w:r>
      <w:bookmarkEnd w:id="9"/>
      <w:r/>
      <w:r/>
    </w:p>
    <w:p>
      <w:pPr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7"/>
        <w:spacing/>
        <w:ind/>
        <w:rPr/>
      </w:pPr>
      <w:r/>
      <w:bookmarkStart w:id="10" w:name="_1b3547d69b7fbba86648f39df59203063c5ffb7"/>
      <w:r>
        <w:t xml:space="preserve">1. Visão Geral das Bases de Dados (Esquema Original)</w:t>
      </w:r>
      <w:bookmarkEnd w:id="10"/>
      <w:r/>
      <w:r/>
    </w:p>
    <w:p>
      <w:pPr>
        <w:pStyle w:val="695"/>
        <w:spacing/>
        <w:ind/>
        <w:rPr/>
      </w:pPr>
      <w:r>
        <w:t xml:space="preserve">A aplicação util</w:t>
      </w:r>
      <w:r>
        <w:t xml:space="preserve">iza três fontes de dados abertos do Governo Federal. A análise inicial revelou que os dados originais possuem formato semiestruturado, tabelas achatadas com listas intercaladas por delimitadores, problemas severos de codificação e violações de integridade.</w:t>
      </w:r>
      <w:r/>
    </w:p>
    <w:tbl>
      <w:tblPr>
        <w:tblStyle w:val="72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418"/>
        <w:gridCol w:w="1418"/>
        <w:gridCol w:w="1772"/>
        <w:gridCol w:w="1772"/>
        <w:gridCol w:w="1240"/>
        <w:gridCol w:w="1951"/>
      </w:tblGrid>
      <w:tr>
        <w:trPr>
          <w:tblHeader/>
        </w:trPr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Base de Dados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Arquivo Bruto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Registros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Colunas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Codificação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Principais Problemas Identificados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VigiMed (Notificações)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rStyle w:val="737"/>
              </w:rPr>
              <w:t xml:space="preserve">VigiMed_Notificacoes.csv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363.249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rStyle w:val="737"/>
              </w:rPr>
              <w:t xml:space="preserve">ISO-8859-1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Presença de</w:t>
            </w:r>
            <w:r>
              <w:t xml:space="preserve"> </w:t>
            </w:r>
            <w:r>
              <w:rPr>
                <w:rStyle w:val="737"/>
              </w:rPr>
              <w:t xml:space="preserve">\r</w:t>
            </w:r>
            <w:r>
              <w:t xml:space="preserve"> </w:t>
            </w:r>
            <w:r>
              <w:t xml:space="preserve">no meio da coluna</w:t>
            </w:r>
            <w:r>
              <w:t xml:space="preserve"> </w:t>
            </w:r>
            <w:r>
              <w:rPr>
                <w:rStyle w:val="737"/>
              </w:rPr>
              <w:t xml:space="preserve">NOTIFICADOR</w:t>
            </w:r>
            <w:r>
              <w:t xml:space="preserve">; 23% de UFs inválidas ou não informadas; listas de elementos separados por</w:t>
            </w:r>
            <w:r>
              <w:t xml:space="preserve"> </w:t>
            </w:r>
            <w:r>
              <w:rPr>
                <w:rStyle w:val="737"/>
              </w:rPr>
              <w:t xml:space="preserve">\|</w:t>
            </w:r>
            <w:r>
              <w:t xml:space="preserve">.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VigiMed (Reações)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rStyle w:val="737"/>
              </w:rPr>
              <w:t xml:space="preserve">VigiMed_Reacoes.csv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1.114.976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rStyle w:val="737"/>
              </w:rPr>
              <w:t xml:space="preserve">ISO-8859-1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32.470 reações órfãs (sem notificação pai); dependência transitiva na hierarquia MedDRA.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VigiMed (Medicamentos)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rStyle w:val="737"/>
              </w:rPr>
              <w:t xml:space="preserve">VigiMed_Medicamentos.csv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711.106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rStyle w:val="737"/>
              </w:rPr>
              <w:t xml:space="preserve">ISO-8859-1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8.016 linhas com aspas no meio do texto; 76% de detentores ausentes; nomes comerciais misturados com genéricos.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CNES Estabelecimentos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rStyle w:val="737"/>
              </w:rPr>
              <w:t xml:space="preserve">cnes_estabelecimentos.csv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640.494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rStyle w:val="737"/>
              </w:rPr>
              <w:t xml:space="preserve">US-ASCII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8,8% de códigos CNES sem zeros à esquerda; endereços concatenados; 80,8% de CNPJs de mantenedoras vazios.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Anvisa Medicamentos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rStyle w:val="737"/>
              </w:rPr>
              <w:t xml:space="preserve">DADOS_ABERTOS_MEDICAMENTOS.csv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~228.900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rStyle w:val="737"/>
              </w:rPr>
              <w:t xml:space="preserve">ISO-8859-1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Presença de entidades HTML (</w:t>
            </w:r>
            <w:r>
              <w:rPr>
                <w:rStyle w:val="737"/>
              </w:rPr>
              <w:t xml:space="preserve">&amp;#231;</w:t>
            </w:r>
            <w:r>
              <w:t xml:space="preserve"> </w:t>
            </w:r>
            <w:r>
              <w:t xml:space="preserve">em vez de</w:t>
            </w:r>
            <w:r>
              <w:t xml:space="preserve"> </w:t>
            </w:r>
            <w:r>
              <w:rPr>
                <w:rStyle w:val="737"/>
              </w:rPr>
              <w:t xml:space="preserve">ç</w:t>
            </w:r>
            <w:r>
              <w:t xml:space="preserve">); 21,5% de registros sem número oficial.</w:t>
            </w:r>
            <w:r/>
          </w:p>
        </w:tc>
      </w:tr>
    </w:tbl>
    <w:p>
      <w:pPr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7"/>
        <w:spacing/>
        <w:ind/>
        <w:rPr/>
      </w:pPr>
      <w:r/>
      <w:bookmarkStart w:id="11" w:name="_f14ef1bc10ca16ad509e5864906a8a90c58d82c"/>
      <w:r>
        <w:t xml:space="preserve">2. Tratamento de Dados Não-Conformes e Inconsistências (ETL)</w:t>
      </w:r>
      <w:bookmarkEnd w:id="11"/>
      <w:r/>
      <w:r/>
    </w:p>
    <w:p>
      <w:pPr>
        <w:pStyle w:val="695"/>
        <w:spacing/>
        <w:ind/>
        <w:rPr/>
      </w:pPr>
      <w:r>
        <w:t xml:space="preserve">O pipeline desenvolvido em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aplicou as seguintes regras de sanitização antes de popular o banco</w:t>
      </w:r>
      <w:r>
        <w:t xml:space="preserve"> </w:t>
      </w:r>
      <w:r>
        <w:rPr>
          <w:b/>
          <w:bCs/>
        </w:rPr>
        <w:t xml:space="preserve">MariaDB</w:t>
      </w:r>
      <w:r>
        <w:t xml:space="preserve">:</w:t>
      </w:r>
      <w:r/>
    </w:p>
    <w:p>
      <w:pPr>
        <w:pStyle w:val="708"/>
        <w:spacing/>
        <w:ind/>
        <w:rPr/>
      </w:pPr>
      <w:r/>
      <w:bookmarkStart w:id="12" w:name="_3f45a165491f937aeff5746a541c85e35f41867"/>
      <w:r>
        <w:t xml:space="preserve">A. Correção de Encoding e Entidades HTML</w:t>
      </w:r>
      <w:bookmarkEnd w:id="12"/>
      <w:r/>
      <w:r/>
    </w:p>
    <w:p>
      <w:pPr>
        <w:pStyle w:val="696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Problema:</w:t>
      </w:r>
      <w:r>
        <w:t xml:space="preserve"> </w:t>
      </w:r>
      <w:r>
        <w:t xml:space="preserve">A base de medicamentos da Anvisa trazia nomes codificados em HTML (ex.:</w:t>
      </w:r>
      <w:r>
        <w:t xml:space="preserve"> </w:t>
      </w:r>
      <w:r>
        <w:rPr>
          <w:rStyle w:val="737"/>
        </w:rPr>
        <w:t xml:space="preserve">SOLU&amp;#231;&amp;#227;O</w:t>
      </w:r>
      <w:r>
        <w:t xml:space="preserve">), enquanto o VigiMed utilizava</w:t>
      </w:r>
      <w:r>
        <w:t xml:space="preserve"> </w:t>
      </w:r>
      <w:r>
        <w:rPr>
          <w:rStyle w:val="737"/>
        </w:rPr>
        <w:t xml:space="preserve">Windows-1252</w:t>
      </w:r>
      <w:r>
        <w:t xml:space="preserve">.</w:t>
      </w:r>
      <w:r/>
    </w:p>
    <w:p>
      <w:pPr>
        <w:pStyle w:val="696"/>
        <w:numPr>
          <w:ilvl w:val="0"/>
          <w:numId w:val="2"/>
        </w:numPr>
        <w:spacing/>
        <w:ind/>
        <w:rPr/>
      </w:pPr>
      <w:r>
        <w:rPr>
          <w:b/>
          <w:bCs/>
        </w:rPr>
        <w:t xml:space="preserve">Solução em Java:</w:t>
      </w:r>
      <w:r>
        <w:t xml:space="preserve"> </w:t>
      </w:r>
      <w:r>
        <w:t xml:space="preserve">Leitura dos arquivos com</w:t>
      </w:r>
      <w:r>
        <w:t xml:space="preserve"> </w:t>
      </w:r>
      <w:r>
        <w:rPr>
          <w:rStyle w:val="737"/>
        </w:rPr>
        <w:t xml:space="preserve">StandardCharsets.ISO_8859_1</w:t>
      </w:r>
      <w:r>
        <w:t xml:space="preserve"> </w:t>
      </w:r>
      <w:r>
        <w:t xml:space="preserve">e aplicação de decodificador Regex (</w:t>
      </w:r>
      <w:r>
        <w:rPr>
          <w:rStyle w:val="737"/>
        </w:rPr>
        <w:t xml:space="preserve">CsvSanitizer.decodeHtmlEntities()</w:t>
      </w:r>
      <w:r>
        <w:t xml:space="preserve">) para padronizar todos os caracteres para UTF-8 antes do salvamento.</w:t>
      </w:r>
      <w:r/>
    </w:p>
    <w:p>
      <w:pPr>
        <w:pStyle w:val="708"/>
        <w:spacing/>
        <w:ind/>
        <w:rPr/>
      </w:pPr>
      <w:r/>
      <w:bookmarkStart w:id="13" w:name="_e2f9f3182efd0d99bd422973a1afa7a941376d0"/>
      <w:r>
        <w:t xml:space="preserve">B. Tratamento de Caracteres Especiais e Aspas Soltas</w:t>
      </w:r>
      <w:bookmarkEnd w:id="13"/>
      <w:r/>
      <w:r/>
    </w:p>
    <w:p>
      <w:pPr>
        <w:pStyle w:val="696"/>
        <w:numPr>
          <w:ilvl w:val="0"/>
          <w:numId w:val="3"/>
        </w:numPr>
        <w:spacing/>
        <w:ind/>
        <w:rPr/>
      </w:pPr>
      <w:r>
        <w:rPr>
          <w:b/>
          <w:bCs/>
        </w:rPr>
        <w:t xml:space="preserve">Problema: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737"/>
        </w:rPr>
        <w:t xml:space="preserve">VigiMed_Notificacoes.csv</w:t>
      </w:r>
      <w:r>
        <w:t xml:space="preserve"> </w:t>
      </w:r>
      <w:r>
        <w:t xml:space="preserve">continha 33.390 caracteres</w:t>
      </w:r>
      <w:r>
        <w:t xml:space="preserve"> </w:t>
      </w:r>
      <w:r>
        <w:rPr>
          <w:rStyle w:val="737"/>
        </w:rPr>
        <w:t xml:space="preserve">\r</w:t>
      </w:r>
      <w:r>
        <w:t xml:space="preserve"> </w:t>
      </w:r>
      <w:r>
        <w:t xml:space="preserve">(Retorno de Carro) dentro do texto da coluna</w:t>
      </w:r>
      <w:r>
        <w:t xml:space="preserve"> </w:t>
      </w:r>
      <w:r>
        <w:rPr>
          <w:rStyle w:val="737"/>
        </w:rPr>
        <w:t xml:space="preserve">NOTIFICADOR</w:t>
      </w:r>
      <w:r>
        <w:t xml:space="preserve">, o que fazia leitores tradicionais de CSV cortarem a linha ao meio. Além disso, 8.016 linhas do VigiMed Medicamentos continham aspas soltas (ex.:</w:t>
      </w:r>
      <w:r>
        <w:t xml:space="preserve"> </w:t>
      </w:r>
      <w:r>
        <w:rPr>
          <w:rStyle w:val="737"/>
        </w:rPr>
        <w:t xml:space="preserve">Uso "off-label"</w:t>
      </w:r>
      <w:r>
        <w:t xml:space="preserve">).</w:t>
      </w:r>
      <w:r/>
    </w:p>
    <w:p>
      <w:pPr>
        <w:pStyle w:val="696"/>
        <w:numPr>
          <w:ilvl w:val="0"/>
          <w:numId w:val="3"/>
        </w:numPr>
        <w:spacing/>
        <w:ind/>
        <w:rPr/>
      </w:pPr>
      <w:r>
        <w:rPr>
          <w:b/>
          <w:bCs/>
        </w:rPr>
        <w:t xml:space="preserve">Solução em Java:</w:t>
      </w:r>
      <w:r>
        <w:t xml:space="preserve"> </w:t>
      </w:r>
      <w:r>
        <w:t xml:space="preserve">Uso de</w:t>
      </w:r>
      <w:r>
        <w:t xml:space="preserve"> </w:t>
      </w:r>
      <w:r>
        <w:rPr>
          <w:rStyle w:val="737"/>
        </w:rPr>
        <w:t xml:space="preserve">line.split(";", -1)</w:t>
      </w:r>
      <w:r>
        <w:t xml:space="preserve"> </w:t>
      </w:r>
      <w:r>
        <w:t xml:space="preserve">com tratamento de linha bruta, ignorando o caractere de aspa como delimitador estrito e substituindo</w:t>
      </w:r>
      <w:r>
        <w:t xml:space="preserve"> </w:t>
      </w:r>
      <w:r>
        <w:rPr>
          <w:rStyle w:val="737"/>
        </w:rPr>
        <w:t xml:space="preserve">\r</w:t>
      </w:r>
      <w:r>
        <w:t xml:space="preserve"> </w:t>
      </w:r>
      <w:r>
        <w:t xml:space="preserve">internos por barras</w:t>
      </w:r>
      <w:r>
        <w:t xml:space="preserve"> </w:t>
      </w:r>
      <w:r>
        <w:rPr>
          <w:rStyle w:val="737"/>
        </w:rPr>
        <w:t xml:space="preserve">\|</w:t>
      </w:r>
      <w:r>
        <w:t xml:space="preserve">.</w:t>
      </w:r>
      <w:r/>
    </w:p>
    <w:p>
      <w:pPr>
        <w:pStyle w:val="708"/>
        <w:spacing/>
        <w:ind/>
        <w:rPr/>
      </w:pPr>
      <w:r/>
      <w:bookmarkStart w:id="14" w:name="_a2ab84422a82af13e349610f6af6ae38636a5c3"/>
      <w:r>
        <w:t xml:space="preserve">C. Normalização de Placeholders para NULL</w:t>
      </w:r>
      <w:bookmarkEnd w:id="14"/>
      <w:r/>
      <w:r/>
    </w:p>
    <w:p>
      <w:pPr>
        <w:pStyle w:val="696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Problema:</w:t>
      </w:r>
      <w:r>
        <w:t xml:space="preserve"> </w:t>
      </w:r>
      <w:r>
        <w:t xml:space="preserve">Diversos campos continham</w:t>
      </w:r>
      <w:r>
        <w:t xml:space="preserve"> </w:t>
      </w:r>
      <w:r>
        <w:t xml:space="preserve">“falsos valores”</w:t>
      </w:r>
      <w:r>
        <w:t xml:space="preserve"> </w:t>
      </w:r>
      <w:r>
        <w:t xml:space="preserve">como</w:t>
      </w:r>
      <w:r>
        <w:t xml:space="preserve"> </w:t>
      </w:r>
      <w:r>
        <w:rPr>
          <w:rStyle w:val="737"/>
        </w:rPr>
        <w:t xml:space="preserve">"None"</w:t>
      </w:r>
      <w:r>
        <w:t xml:space="preserve">,</w:t>
      </w:r>
      <w:r>
        <w:t xml:space="preserve"> </w:t>
      </w:r>
      <w:r>
        <w:rPr>
          <w:rStyle w:val="737"/>
        </w:rPr>
        <w:t xml:space="preserve">"Não informado"</w:t>
      </w:r>
      <w:r>
        <w:t xml:space="preserve">,</w:t>
      </w:r>
      <w:r>
        <w:t xml:space="preserve"> </w:t>
      </w:r>
      <w:r>
        <w:rPr>
          <w:rStyle w:val="737"/>
        </w:rPr>
        <w:t xml:space="preserve">"Mal Formatado"</w:t>
      </w:r>
      <w:r>
        <w:t xml:space="preserve">,</w:t>
      </w:r>
      <w:r>
        <w:t xml:space="preserve"> </w:t>
      </w:r>
      <w:r>
        <w:rPr>
          <w:rStyle w:val="737"/>
        </w:rPr>
        <w:t xml:space="preserve">"NOT SPECIFIED"</w:t>
      </w:r>
      <w:r>
        <w:t xml:space="preserve">, textos vazios e zeros em peso/altura.</w:t>
      </w:r>
      <w:r/>
    </w:p>
    <w:p>
      <w:pPr>
        <w:pStyle w:val="696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Métrica:</w:t>
      </w:r>
      <w:r>
        <w:t xml:space="preserve"> </w:t>
      </w:r>
      <w:r>
        <w:t xml:space="preserve">Na coluna UF do VigiMed, 82.502 registros eram</w:t>
      </w:r>
      <w:r>
        <w:t xml:space="preserve"> </w:t>
      </w:r>
      <w:r>
        <w:t xml:space="preserve">“Não informado”</w:t>
      </w:r>
      <w:r>
        <w:t xml:space="preserve"> </w:t>
      </w:r>
      <w:r>
        <w:t xml:space="preserve">e 2.927</w:t>
      </w:r>
      <w:r>
        <w:t xml:space="preserve"> </w:t>
      </w:r>
      <w:r>
        <w:t xml:space="preserve">“Mal Formatado”</w:t>
      </w:r>
      <w:r>
        <w:t xml:space="preserve"> </w:t>
      </w:r>
      <w:r>
        <w:t xml:space="preserve">(totalizando 23,5% da base).</w:t>
      </w:r>
      <w:r/>
    </w:p>
    <w:p>
      <w:pPr>
        <w:pStyle w:val="696"/>
        <w:numPr>
          <w:ilvl w:val="0"/>
          <w:numId w:val="4"/>
        </w:numPr>
        <w:spacing/>
        <w:ind/>
        <w:rPr/>
      </w:pPr>
      <w:r>
        <w:rPr>
          <w:b/>
          <w:bCs/>
        </w:rPr>
        <w:t xml:space="preserve">Solução em Java:</w:t>
      </w:r>
      <w:r>
        <w:t xml:space="preserve"> </w:t>
      </w:r>
      <w:r>
        <w:t xml:space="preserve">Mapeamento centralizado no método</w:t>
      </w:r>
      <w:r>
        <w:t xml:space="preserve"> </w:t>
      </w:r>
      <w:r>
        <w:rPr>
          <w:rStyle w:val="737"/>
        </w:rPr>
        <w:t xml:space="preserve">CsvSanitizer.toNullIfInvalid()</w:t>
      </w:r>
      <w:r>
        <w:t xml:space="preserve">, convertendo todas essas ocorrências para o valor</w:t>
      </w:r>
      <w:r>
        <w:t xml:space="preserve"> </w:t>
      </w:r>
      <w:r>
        <w:rPr>
          <w:rStyle w:val="737"/>
        </w:rPr>
        <w:t xml:space="preserve">NULL</w:t>
      </w:r>
      <w:r>
        <w:t xml:space="preserve"> </w:t>
      </w:r>
      <w:r>
        <w:t xml:space="preserve">do SQL, garantindo estatísticas reais no banco.</w:t>
      </w:r>
      <w:r/>
    </w:p>
    <w:p>
      <w:pPr>
        <w:pStyle w:val="708"/>
        <w:spacing/>
        <w:ind/>
        <w:rPr/>
      </w:pPr>
      <w:r/>
      <w:bookmarkStart w:id="15" w:name="_8e21d51ad89f308156b0c5549edfeb594a9dbcf"/>
      <w:r>
        <w:t xml:space="preserve">D. Reconstituição de Chaves (Zeros à Esquerda)</w:t>
      </w:r>
      <w:bookmarkEnd w:id="15"/>
      <w:r/>
      <w:r/>
    </w:p>
    <w:p>
      <w:pPr>
        <w:pStyle w:val="696"/>
        <w:numPr>
          <w:ilvl w:val="0"/>
          <w:numId w:val="5"/>
        </w:numPr>
        <w:spacing/>
        <w:ind/>
        <w:rPr/>
      </w:pPr>
      <w:r>
        <w:rPr>
          <w:b/>
          <w:bCs/>
        </w:rPr>
        <w:t xml:space="preserve">Problema:</w:t>
      </w:r>
      <w:r>
        <w:t xml:space="preserve"> </w:t>
      </w:r>
      <w:r>
        <w:t xml:space="preserve">O Excel/ferramentas de extração cortaram os zeros à esquerda do CNES (56.505 linhas com menos de 7 dígitos) e de CEPs.</w:t>
      </w:r>
      <w:r/>
    </w:p>
    <w:p>
      <w:pPr>
        <w:pStyle w:val="696"/>
        <w:numPr>
          <w:ilvl w:val="0"/>
          <w:numId w:val="5"/>
        </w:numPr>
        <w:spacing/>
        <w:ind/>
        <w:rPr/>
      </w:pPr>
      <w:r>
        <w:rPr>
          <w:b/>
          <w:bCs/>
        </w:rPr>
        <w:t xml:space="preserve">Solução em Java:</w:t>
      </w:r>
      <w:r>
        <w:t xml:space="preserve"> </w:t>
      </w:r>
      <w:r>
        <w:t xml:space="preserve">Recomposição programática preenchendo com zeros à esquerda via</w:t>
      </w:r>
      <w:r>
        <w:t xml:space="preserve"> </w:t>
      </w:r>
      <w:r>
        <w:rPr>
          <w:rStyle w:val="737"/>
        </w:rPr>
        <w:t xml:space="preserve">String.format("%07d", cnes)</w:t>
      </w:r>
      <w:r>
        <w:t xml:space="preserve"> </w:t>
      </w:r>
      <w:r>
        <w:t xml:space="preserve">para garantir que a chave primária de 7 dígitos fosse mantida.</w:t>
      </w:r>
      <w:r/>
    </w:p>
    <w:p>
      <w:pPr>
        <w:pStyle w:val="708"/>
        <w:spacing/>
        <w:ind/>
        <w:rPr/>
      </w:pPr>
      <w:r/>
      <w:bookmarkStart w:id="16" w:name="_e7279f00a51110da22058d0e852873db6291692"/>
      <w:r>
        <w:t xml:space="preserve">E. Tratamento de Violação de Integridade Referencial (Órfãos)</w:t>
      </w:r>
      <w:bookmarkEnd w:id="16"/>
      <w:r/>
      <w:r/>
    </w:p>
    <w:p>
      <w:pPr>
        <w:pStyle w:val="696"/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Problema:</w:t>
      </w:r>
      <w:r>
        <w:t xml:space="preserve"> </w:t>
      </w:r>
      <w:r>
        <w:t xml:space="preserve">Identificaram-se</w:t>
      </w:r>
      <w:r>
        <w:t xml:space="preserve"> </w:t>
      </w:r>
      <w:r>
        <w:rPr>
          <w:b/>
          <w:bCs/>
        </w:rPr>
        <w:t xml:space="preserve">32.470 reações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2.946 medicamentos</w:t>
      </w:r>
      <w:r>
        <w:t xml:space="preserve"> </w:t>
      </w:r>
      <w:r>
        <w:t xml:space="preserve">no VigiMed com IDs de notificação que não existiam na tabela principal de Notificações.</w:t>
      </w:r>
      <w:r/>
    </w:p>
    <w:p>
      <w:pPr>
        <w:pStyle w:val="696"/>
        <w:numPr>
          <w:ilvl w:val="0"/>
          <w:numId w:val="6"/>
        </w:numPr>
        <w:spacing/>
        <w:ind/>
        <w:rPr/>
      </w:pPr>
      <w:r>
        <w:rPr>
          <w:b/>
          <w:bCs/>
        </w:rPr>
        <w:t xml:space="preserve">Solução em Java:</w:t>
      </w:r>
      <w:r>
        <w:t xml:space="preserve"> </w:t>
      </w:r>
      <w:r>
        <w:t xml:space="preserve">Implementação de um filtro de quarentena no</w:t>
      </w:r>
      <w:r>
        <w:t xml:space="preserve"> </w:t>
      </w:r>
      <w:r>
        <w:rPr>
          <w:rStyle w:val="737"/>
        </w:rPr>
        <w:t xml:space="preserve">ETLService</w:t>
      </w:r>
      <w:r>
        <w:t xml:space="preserve">. Os registros órfãos foram rejeitados da carga principal com log de auditoria, evitando falhas de</w:t>
      </w:r>
      <w:r>
        <w:t xml:space="preserve"> </w:t>
      </w:r>
      <w:r>
        <w:rPr>
          <w:rStyle w:val="737"/>
        </w:rPr>
        <w:t xml:space="preserve">Foreign Key Constraint</w:t>
      </w:r>
      <w:r>
        <w:t xml:space="preserve"> </w:t>
      </w:r>
      <w:r>
        <w:t xml:space="preserve">no MariaDB.</w:t>
      </w:r>
      <w:r/>
    </w:p>
    <w:p>
      <w:pPr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7"/>
        <w:spacing/>
        <w:ind/>
        <w:rPr/>
      </w:pPr>
      <w:r/>
      <w:bookmarkStart w:id="17" w:name="_d1b6d952346bf749cfbf6a943e1401553321898"/>
      <w:r>
        <w:t xml:space="preserve">3. Desmembramento e Padronização de Endereços (CNES)</w:t>
      </w:r>
      <w:bookmarkEnd w:id="17"/>
      <w:r/>
      <w:r/>
    </w:p>
    <w:p>
      <w:pPr>
        <w:pStyle w:val="695"/>
        <w:spacing/>
        <w:ind/>
        <w:rPr/>
      </w:pPr>
      <w:r>
        <w:t xml:space="preserve">Atendendo ao requisito de manipulação de dados espaciais:</w:t>
      </w:r>
      <w:r/>
    </w:p>
    <w:p>
      <w:pPr>
        <w:pStyle w:val="696"/>
        <w:numPr>
          <w:ilvl w:val="0"/>
          <w:numId w:val="7"/>
        </w:numPr>
        <w:spacing/>
        <w:ind/>
        <w:rPr/>
      </w:pPr>
      <w:r>
        <w:rPr>
          <w:b/>
          <w:bCs/>
        </w:rPr>
        <w:t xml:space="preserve">Inconsistência Original:</w:t>
      </w:r>
      <w:r>
        <w:t xml:space="preserve"> </w:t>
      </w:r>
      <w:r>
        <w:t xml:space="preserve">A coluna</w:t>
      </w:r>
      <w:r>
        <w:t xml:space="preserve"> </w:t>
      </w:r>
      <w:r>
        <w:rPr>
          <w:rStyle w:val="737"/>
        </w:rPr>
        <w:t xml:space="preserve">NO_LOGRADOURO</w:t>
      </w:r>
      <w:r>
        <w:t xml:space="preserve"> </w:t>
      </w:r>
      <w:r>
        <w:t xml:space="preserve">do CNES continha strings brutas com abreviações misturadas e nomes variados (ex.:</w:t>
      </w:r>
      <w:r>
        <w:t xml:space="preserve"> </w:t>
      </w:r>
      <w:r>
        <w:rPr>
          <w:rStyle w:val="737"/>
        </w:rPr>
        <w:t xml:space="preserve">RUA 21 DE ABRIL</w:t>
      </w:r>
      <w:r>
        <w:t xml:space="preserve">,</w:t>
      </w:r>
      <w:r>
        <w:t xml:space="preserve"> </w:t>
      </w:r>
      <w:r>
        <w:rPr>
          <w:rStyle w:val="737"/>
        </w:rPr>
        <w:t xml:space="preserve">AVN PRESIDENTE GETULIO VARGAS</w:t>
      </w:r>
      <w:r>
        <w:t xml:space="preserve">,</w:t>
      </w:r>
      <w:r>
        <w:t xml:space="preserve"> </w:t>
      </w:r>
      <w:r>
        <w:rPr>
          <w:rStyle w:val="737"/>
        </w:rPr>
        <w:t xml:space="preserve">BR 101 SUL KM 33</w:t>
      </w:r>
      <w:r>
        <w:t xml:space="preserve">).</w:t>
      </w:r>
      <w:r/>
    </w:p>
    <w:p>
      <w:pPr>
        <w:pStyle w:val="696"/>
        <w:numPr>
          <w:ilvl w:val="0"/>
          <w:numId w:val="7"/>
        </w:numPr>
        <w:spacing/>
        <w:ind/>
        <w:rPr/>
      </w:pPr>
      <w:r>
        <w:rPr>
          <w:b/>
          <w:bCs/>
        </w:rPr>
        <w:t xml:space="preserve">Processamento no Java (</w:t>
      </w:r>
      <w:r>
        <w:rPr>
          <w:rStyle w:val="737"/>
          <w:b/>
          <w:bCs/>
        </w:rPr>
        <w:t xml:space="preserve">AddressParser</w:t>
      </w:r>
      <w:r>
        <w:rPr>
          <w:b/>
          <w:bCs/>
        </w:rPr>
        <w:t xml:space="preserve">):</w:t>
      </w:r>
      <w:r/>
    </w:p>
    <w:p>
      <w:pPr>
        <w:pStyle w:val="696"/>
        <w:numPr>
          <w:ilvl w:val="1"/>
          <w:numId w:val="8"/>
        </w:numPr>
        <w:spacing/>
        <w:ind/>
        <w:rPr/>
      </w:pPr>
      <w:r>
        <w:rPr>
          <w:b/>
          <w:bCs/>
        </w:rPr>
        <w:t xml:space="preserve">Tipos de Via Identificados:</w:t>
      </w:r>
      <w:r>
        <w:t xml:space="preserve"> </w:t>
      </w:r>
      <w:r>
        <w:t xml:space="preserve">Mapeamento de abreviações e variações via Regex para um tipo canônico (</w:t>
      </w:r>
      <w:r>
        <w:rPr>
          <w:rStyle w:val="737"/>
        </w:rPr>
        <w:t xml:space="preserve">R</w:t>
      </w:r>
      <w:r>
        <w:t xml:space="preserve"> </w:t>
      </w:r>
      <w:r>
        <w:t xml:space="preserve">/</w:t>
      </w:r>
      <w:r>
        <w:t xml:space="preserve"> </w:t>
      </w:r>
      <w:r>
        <w:rPr>
          <w:rStyle w:val="737"/>
        </w:rPr>
        <w:t xml:space="preserve">RUA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737"/>
        </w:rPr>
        <w:t xml:space="preserve">RUA</w:t>
      </w:r>
      <w:r>
        <w:t xml:space="preserve">;</w:t>
      </w:r>
      <w:r>
        <w:t xml:space="preserve"> </w:t>
      </w:r>
      <w:r>
        <w:rPr>
          <w:rStyle w:val="737"/>
        </w:rPr>
        <w:t xml:space="preserve">AV</w:t>
      </w:r>
      <w:r>
        <w:t xml:space="preserve"> </w:t>
      </w:r>
      <w:r>
        <w:t xml:space="preserve">/</w:t>
      </w:r>
      <w:r>
        <w:t xml:space="preserve"> </w:t>
      </w:r>
      <w:r>
        <w:rPr>
          <w:rStyle w:val="737"/>
        </w:rPr>
        <w:t xml:space="preserve">AVN</w:t>
      </w:r>
      <w:r>
        <w:t xml:space="preserve"> </w:t>
      </w:r>
      <w:r>
        <w:t xml:space="preserve">/</w:t>
      </w:r>
      <w:r>
        <w:t xml:space="preserve"> </w:t>
      </w:r>
      <w:r>
        <w:rPr>
          <w:rStyle w:val="737"/>
        </w:rPr>
        <w:t xml:space="preserve">AVENIDA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737"/>
        </w:rPr>
        <w:t xml:space="preserve">AVENIDA</w:t>
      </w:r>
      <w:r>
        <w:t xml:space="preserve">;</w:t>
      </w:r>
      <w:r>
        <w:t xml:space="preserve"> </w:t>
      </w:r>
      <w:r>
        <w:rPr>
          <w:rStyle w:val="737"/>
        </w:rPr>
        <w:t xml:space="preserve">PC</w:t>
      </w:r>
      <w:r>
        <w:t xml:space="preserve"> </w:t>
      </w:r>
      <w:r>
        <w:t xml:space="preserve">/</w:t>
      </w:r>
      <w:r>
        <w:t xml:space="preserve"> </w:t>
      </w:r>
      <w:r>
        <w:rPr>
          <w:rStyle w:val="737"/>
        </w:rPr>
        <w:t xml:space="preserve">PCA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737"/>
        </w:rPr>
        <w:t xml:space="preserve">PRAÇA</w:t>
      </w:r>
      <w:r>
        <w:t xml:space="preserve">).</w:t>
      </w:r>
      <w:r/>
    </w:p>
    <w:p>
      <w:pPr>
        <w:pStyle w:val="696"/>
        <w:numPr>
          <w:ilvl w:val="1"/>
          <w:numId w:val="8"/>
        </w:numPr>
        <w:spacing/>
        <w:ind/>
        <w:rPr/>
      </w:pPr>
      <w:r>
        <w:rPr>
          <w:b/>
          <w:bCs/>
        </w:rPr>
        <w:t xml:space="preserve">Taxa de Sucesso:</w:t>
      </w:r>
      <w:r>
        <w:t xml:space="preserve"> </w:t>
      </w:r>
      <w:r>
        <w:t xml:space="preserve">72,8% dos logradouros (466.299 linhas) tiveram o tipo de via extraído e separado automaticamente na tabela</w:t>
      </w:r>
      <w:r>
        <w:t xml:space="preserve"> </w:t>
      </w:r>
      <w:r>
        <w:rPr>
          <w:rStyle w:val="737"/>
        </w:rPr>
        <w:t xml:space="preserve">tb_endereco</w:t>
      </w:r>
      <w:r>
        <w:t xml:space="preserve">.</w:t>
      </w:r>
      <w:r/>
    </w:p>
    <w:p>
      <w:pPr>
        <w:pStyle w:val="696"/>
        <w:numPr>
          <w:ilvl w:val="1"/>
          <w:numId w:val="8"/>
        </w:numPr>
        <w:spacing/>
        <w:ind/>
        <w:rPr/>
      </w:pPr>
      <w:r>
        <w:rPr>
          <w:b/>
          <w:bCs/>
        </w:rPr>
        <w:t xml:space="preserve">Tratamento do Número:</w:t>
      </w:r>
      <w:r>
        <w:t xml:space="preserve"> </w:t>
      </w:r>
      <w:r>
        <w:t xml:space="preserve">Tratamento de 73.092 ocorrências de</w:t>
      </w:r>
      <w:r>
        <w:t xml:space="preserve"> </w:t>
      </w:r>
      <w:r>
        <w:rPr>
          <w:rStyle w:val="737"/>
        </w:rPr>
        <w:t xml:space="preserve">"S/N"</w:t>
      </w:r>
      <w:r>
        <w:t xml:space="preserve"> </w:t>
      </w:r>
      <w:r>
        <w:t xml:space="preserve">para conversão em</w:t>
      </w:r>
      <w:r>
        <w:t xml:space="preserve"> </w:t>
      </w:r>
      <w:r>
        <w:rPr>
          <w:rStyle w:val="737"/>
        </w:rPr>
        <w:t xml:space="preserve">numero = NULL</w:t>
      </w:r>
      <w:r>
        <w:t xml:space="preserve"> </w:t>
      </w:r>
      <w:r>
        <w:t xml:space="preserve">com flag</w:t>
      </w:r>
      <w:r>
        <w:t xml:space="preserve"> </w:t>
      </w:r>
      <w:r>
        <w:rPr>
          <w:rStyle w:val="737"/>
        </w:rPr>
        <w:t xml:space="preserve">sem_numero = true</w:t>
      </w:r>
      <w:r>
        <w:t xml:space="preserve">.</w:t>
      </w:r>
      <w:r/>
    </w:p>
    <w:p>
      <w:pPr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7"/>
        <w:spacing/>
        <w:ind/>
        <w:rPr/>
      </w:pPr>
      <w:r/>
      <w:bookmarkStart w:id="18" w:name="_113ac1acd65f092b2c4f94357a659a7e9b3ae82"/>
      <w:r>
        <w:t xml:space="preserve">4. Identificação de Sinônimos e Completude Distinta</w:t>
      </w:r>
      <w:bookmarkEnd w:id="18"/>
      <w:r/>
      <w:r/>
    </w:p>
    <w:p>
      <w:pPr>
        <w:pStyle w:val="695"/>
        <w:spacing/>
        <w:ind/>
        <w:rPr/>
      </w:pPr>
      <w:r>
        <w:t xml:space="preserve">Para atender à exigência de agrupamento semântico (equivalente ao exemplo</w:t>
      </w:r>
      <w:r>
        <w:t xml:space="preserve"> </w:t>
      </w:r>
      <w:r>
        <w:t xml:space="preserve">“cefaleia / dor de cabeça”</w:t>
      </w:r>
      <w:r>
        <w:t xml:space="preserve">):</w:t>
      </w:r>
      <w:r/>
    </w:p>
    <w:p>
      <w:pPr>
        <w:pStyle w:val="708"/>
        <w:spacing/>
        <w:ind/>
        <w:rPr/>
      </w:pPr>
      <w:r/>
      <w:bookmarkStart w:id="19" w:name="_5b7787abca585ff32cf566689a8b210a0d1b8a3"/>
      <w:r>
        <w:t xml:space="preserve">A. Sinônimos Clínicos (VigiMed - MedDRA)</w:t>
      </w:r>
      <w:bookmarkEnd w:id="19"/>
      <w:r/>
      <w:r/>
    </w:p>
    <w:p>
      <w:pPr>
        <w:pStyle w:val="695"/>
        <w:spacing/>
        <w:ind/>
        <w:rPr/>
      </w:pPr>
      <w:r>
        <w:t xml:space="preserve">A análise dos dados provou que os notificadores relatam a mesma condição de maneiras diferentes. O algoritmo agrupa os termos relatados no nível LLT (</w:t>
      </w:r>
      <w:r>
        <w:rPr>
          <w:i/>
          <w:iCs/>
        </w:rPr>
        <w:t xml:space="preserve">Low Level Term</w:t>
      </w:r>
      <w:r>
        <w:t xml:space="preserve">) e os converte para o termo padrão PT (</w:t>
      </w:r>
      <w:r>
        <w:rPr>
          <w:i/>
          <w:iCs/>
        </w:rPr>
        <w:t xml:space="preserve">Preferred Term</w:t>
      </w:r>
      <w:r>
        <w:t xml:space="preserve">):</w:t>
      </w:r>
      <w:r/>
    </w:p>
    <w:tbl>
      <w:tblPr>
        <w:tblStyle w:val="728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1760"/>
        <w:gridCol w:w="2200"/>
        <w:gridCol w:w="2200"/>
        <w:gridCol w:w="1760"/>
      </w:tblGrid>
      <w:tr>
        <w:trPr>
          <w:tblHeader/>
        </w:trPr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Termo Digitado / Relatado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Quantidade de Relatos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Termo Padronizado (MedDRA PT)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Tipo de Equivalência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Dor de cabeça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6.341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CEFALEIA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Sinônimo popular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Dor na cabeça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65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CEFALEIA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Sinônimo com preposição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Cefaleia nucal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94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CEFALEIA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Especialização (completude distinta)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Coceira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12.975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PRURIDO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Sinônimo popular</w:t>
            </w:r>
            <w:r/>
          </w:p>
        </w:tc>
      </w:tr>
      <w:tr>
        <w:trPr/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Prurido cutâneo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t xml:space="preserve">2.194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center"/>
              <w:rPr/>
            </w:pPr>
            <w:r>
              <w:rPr>
                <w:b/>
                <w:bCs/>
              </w:rPr>
              <w:t xml:space="preserve">PRURIDO</w:t>
            </w:r>
            <w:r/>
          </w:p>
        </w:tc>
        <w:tc>
          <w:tcPr>
            <w:tcBorders/>
          </w:tcPr>
          <w:p>
            <w:pPr>
              <w:pStyle w:val="696"/>
              <w:spacing/>
              <w:ind/>
              <w:jc w:val="left"/>
              <w:rPr/>
            </w:pPr>
            <w:r>
              <w:t xml:space="preserve">Especialização (completude distinta)</w:t>
            </w:r>
            <w:r/>
          </w:p>
        </w:tc>
      </w:tr>
    </w:tbl>
    <w:p>
      <w:pPr>
        <w:pStyle w:val="708"/>
        <w:spacing/>
        <w:ind/>
        <w:rPr/>
      </w:pPr>
      <w:r/>
      <w:bookmarkStart w:id="20" w:name="_f4f543d3735d8055738f0b6f736e79f282a9363"/>
      <w:r>
        <w:t xml:space="preserve">B. Sinônimos de Fabricantes/Empresas</w:t>
      </w:r>
      <w:bookmarkEnd w:id="20"/>
      <w:r/>
      <w:r/>
    </w:p>
    <w:p>
      <w:pPr>
        <w:pStyle w:val="695"/>
        <w:spacing/>
        <w:ind/>
        <w:rPr/>
      </w:pPr>
      <w:r>
        <w:t xml:space="preserve">Foram identificadas dezenas de variações para a mesma empresa entre as bases: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rPr>
          <w:rStyle w:val="737"/>
        </w:rPr>
        <w:t xml:space="preserve">Cristália</w:t>
      </w:r>
      <w:r>
        <w:t xml:space="preserve">,</w:t>
      </w:r>
      <w:r>
        <w:t xml:space="preserve"> </w:t>
      </w:r>
      <w:r>
        <w:rPr>
          <w:rStyle w:val="737"/>
        </w:rPr>
        <w:t xml:space="preserve">Cristalia</w:t>
      </w:r>
      <w:r>
        <w:t xml:space="preserve">,</w:t>
      </w:r>
      <w:r>
        <w:t xml:space="preserve"> </w:t>
      </w:r>
      <w:r>
        <w:rPr>
          <w:rStyle w:val="737"/>
        </w:rPr>
        <w:t xml:space="preserve">CRISTALIA</w:t>
      </w:r>
      <w:r>
        <w:t xml:space="preserve"> </w:t>
      </w:r>
      <w:r>
        <w:t xml:space="preserve">e</w:t>
      </w:r>
      <w:r>
        <w:t xml:space="preserve"> </w:t>
      </w:r>
      <w:r>
        <w:rPr>
          <w:rStyle w:val="737"/>
        </w:rPr>
        <w:t xml:space="preserve">CRISTÁLIA</w:t>
      </w:r>
      <w:r>
        <w:t xml:space="preserve"> </w:t>
      </w:r>
      <w:r>
        <w:t xml:space="preserve">(6.800 ocorrências) unificados sob o mesmo CNPJ.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Exemplo:</w:t>
      </w:r>
      <w:r>
        <w:t xml:space="preserve"> </w:t>
      </w:r>
      <w:r>
        <w:rPr>
          <w:rStyle w:val="737"/>
        </w:rPr>
        <w:t xml:space="preserve">Laboratório Teuto</w:t>
      </w:r>
      <w:r>
        <w:t xml:space="preserve"> </w:t>
      </w:r>
      <w:r>
        <w:t xml:space="preserve">e</w:t>
      </w:r>
      <w:r>
        <w:t xml:space="preserve"> </w:t>
      </w:r>
      <w:r>
        <w:rPr>
          <w:rStyle w:val="737"/>
        </w:rPr>
        <w:t xml:space="preserve">Laboratório Teuto Brasileiro</w:t>
      </w:r>
      <w:r>
        <w:t xml:space="preserve"> </w:t>
      </w:r>
      <w:r>
        <w:t xml:space="preserve">mapeados via chave limpa sem sufixos.</w:t>
      </w:r>
      <w:r/>
    </w:p>
    <w:p>
      <w:pPr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7"/>
        <w:spacing/>
        <w:ind/>
        <w:rPr/>
      </w:pPr>
      <w:r/>
      <w:bookmarkStart w:id="21" w:name="_9f0128223463e4f87919b9a5ff1a54805a45162"/>
      <w:r>
        <w:t xml:space="preserve">5. Esquema Relacional Normalizado (MariaDB - 3FN)</w:t>
      </w:r>
      <w:bookmarkEnd w:id="21"/>
      <w:r/>
      <w:r/>
    </w:p>
    <w:p>
      <w:pPr>
        <w:pStyle w:val="695"/>
        <w:spacing/>
        <w:ind/>
        <w:rPr/>
      </w:pPr>
      <w:r>
        <w:t xml:space="preserve">A estrutura achatada e multivalorada das bases originais foi quebrada no MariaDB no modelo da</w:t>
      </w:r>
      <w:r>
        <w:t xml:space="preserve"> </w:t>
      </w:r>
      <w:r>
        <w:rPr>
          <w:b/>
          <w:bCs/>
        </w:rPr>
        <w:t xml:space="preserve">3ª Forma Normal (3FN)</w:t>
      </w:r>
      <w:r>
        <w:t xml:space="preserve">:</w:t>
      </w:r>
      <w:r/>
    </w:p>
    <w:p>
      <w:pPr>
        <w:pStyle w:val="742"/>
        <w:spacing/>
        <w:ind/>
        <w:rPr/>
      </w:pPr>
      <w:r>
        <w:rPr>
          <w:rStyle w:val="737"/>
        </w:rPr>
        <w:t xml:space="preserve">[ tb_sinonimo_termo ]  ---&gt; Gerencia as equivalências ("Dor de cabeça" -&gt; "CEFALEIA")</w:t>
      </w:r>
      <w:r>
        <w:br/>
      </w:r>
      <w:r>
        <w:br/>
      </w:r>
      <w:r>
        <w:rPr>
          <w:rStyle w:val="737"/>
        </w:rPr>
        <w:t xml:space="preserve">[ tb_endereco ] &lt;── (1:N) ── [ tb_estabelecimento ] (CNES)</w:t>
      </w:r>
      <w:r>
        <w:br/>
      </w:r>
      <w:r>
        <w:rPr>
          <w:rStyle w:val="737"/>
        </w:rPr>
        <w:t xml:space="preserve">                                    │</w:t>
      </w:r>
      <w:r>
        <w:br/>
      </w:r>
      <w:r>
        <w:rPr>
          <w:rStyle w:val="737"/>
        </w:rPr>
        <w:t xml:space="preserve">                                 (Filtro de UF)</w:t>
      </w:r>
      <w:r>
        <w:br/>
      </w:r>
      <w:r>
        <w:rPr>
          <w:rStyle w:val="737"/>
        </w:rPr>
        <w:t xml:space="preserve">                                    │</w:t>
      </w:r>
      <w:r>
        <w:br/>
      </w:r>
      <w:r>
        <w:rPr>
          <w:rStyle w:val="737"/>
        </w:rPr>
        <w:t xml:space="preserve">                                    ▼</w:t>
      </w:r>
      <w:r>
        <w:br/>
      </w:r>
      <w:r>
        <w:rPr>
          <w:rStyle w:val="737"/>
        </w:rPr>
        <w:t xml:space="preserve">[ tb_notificacao ] &lt;── (1:N) ── [ tb_reacao_notificada ] (VigiMed Reações)</w:t>
      </w:r>
      <w:r>
        <w:br/>
      </w:r>
      <w:r>
        <w:rPr>
          <w:rStyle w:val="737"/>
        </w:rPr>
        <w:t xml:space="preserve">      │</w:t>
      </w:r>
      <w:r>
        <w:br/>
      </w:r>
      <w:r>
        <w:rPr>
          <w:rStyle w:val="737"/>
        </w:rPr>
        <w:t xml:space="preserve">   (1:N)</w:t>
      </w:r>
      <w:r>
        <w:br/>
      </w:r>
      <w:r>
        <w:rPr>
          <w:rStyle w:val="737"/>
        </w:rPr>
        <w:t xml:space="preserve">      ▼</w:t>
      </w:r>
      <w:r>
        <w:br/>
      </w:r>
      <w:r>
        <w:rPr>
          <w:rStyle w:val="737"/>
        </w:rPr>
        <w:t xml:space="preserve">[ tb_medicamento_notificado ] (VigiMed Medicamentos)</w:t>
      </w:r>
      <w:r/>
    </w:p>
    <w:p>
      <w:pPr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>
      <w:pPr>
        <w:pStyle w:val="707"/>
        <w:spacing/>
        <w:ind/>
        <w:rPr/>
      </w:pPr>
      <w:r/>
      <w:bookmarkStart w:id="22" w:name="_3e6052237b0b2e0ec0762e7effe1fbd0ccf138e"/>
      <w:r>
        <w:t xml:space="preserve">6. Demonstração Prática e Resposta da API (JSON)</w:t>
      </w:r>
      <w:bookmarkEnd w:id="22"/>
      <w:r/>
      <w:r/>
    </w:p>
    <w:p>
      <w:pPr>
        <w:pStyle w:val="695"/>
        <w:spacing/>
        <w:ind/>
        <w:rPr/>
      </w:pPr>
      <w:r>
        <w:t xml:space="preserve">A aplicação Spring Boot disponibiliza o endpoint</w:t>
      </w:r>
      <w:r>
        <w:t xml:space="preserve"> </w:t>
      </w:r>
      <w:r>
        <w:rPr>
          <w:rStyle w:val="737"/>
        </w:rPr>
        <w:t xml:space="preserve">POST /api/farmacovigilancia/consultar</w:t>
      </w:r>
      <w:r>
        <w:t xml:space="preserve"> </w:t>
      </w:r>
      <w:r>
        <w:t xml:space="preserve">que recebe o termo em linguagem natural via Request Body e retorna o resultado completamente higienizado.</w:t>
      </w:r>
      <w:r/>
    </w:p>
    <w:p>
      <w:pPr>
        <w:pStyle w:val="708"/>
        <w:spacing/>
        <w:ind/>
        <w:rPr/>
      </w:pPr>
      <w:r/>
      <w:bookmarkStart w:id="23" w:name="_ef6cc7d96144117e578242e0e9b9da1f66de5f2"/>
      <w:r>
        <w:t xml:space="preserve">Requisição Enviada (</w:t>
      </w:r>
      <w:r>
        <w:rPr>
          <w:rStyle w:val="737"/>
        </w:rPr>
        <w:t xml:space="preserve">POST</w:t>
      </w:r>
      <w:r>
        <w:t xml:space="preserve"> </w:t>
      </w:r>
      <w:r>
        <w:t xml:space="preserve">Body):</w:t>
      </w:r>
      <w:bookmarkEnd w:id="23"/>
      <w:r/>
      <w:r/>
    </w:p>
    <w:p>
      <w:pPr>
        <w:pStyle w:val="742"/>
        <w:spacing/>
        <w:ind/>
        <w:rPr/>
      </w:pP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</w:t>
      </w:r>
      <w:r>
        <w:rPr>
          <w:rStyle w:val="744"/>
        </w:rPr>
        <w:t xml:space="preserve">"sintoma"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"dor de cabeça"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</w:t>
      </w:r>
      <w:r>
        <w:rPr>
          <w:rStyle w:val="744"/>
        </w:rPr>
        <w:t xml:space="preserve">"municipio"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"RECIFE"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</w:t>
      </w:r>
      <w:r>
        <w:rPr>
          <w:rStyle w:val="744"/>
        </w:rPr>
        <w:t xml:space="preserve">"uf"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"PE"</w:t>
      </w:r>
      <w:r>
        <w:br/>
      </w:r>
      <w:r>
        <w:rPr>
          <w:rStyle w:val="760"/>
        </w:rPr>
        <w:t xml:space="preserve">}</w:t>
      </w:r>
      <w:r/>
    </w:p>
    <w:p>
      <w:pPr>
        <w:pStyle w:val="708"/>
        <w:spacing/>
        <w:ind/>
        <w:rPr/>
      </w:pPr>
      <w:r/>
      <w:bookmarkStart w:id="24" w:name="_28425201dc70dd460ed66ba48cc65eaad1b9e6f"/>
      <w:r>
        <w:t xml:space="preserve">Resposta Gerada pelo Sistema (JSON):</w:t>
      </w:r>
      <w:bookmarkEnd w:id="24"/>
      <w:r/>
      <w:r/>
    </w:p>
    <w:p>
      <w:pPr>
        <w:pStyle w:val="742"/>
        <w:spacing/>
        <w:ind/>
        <w:rPr/>
      </w:pP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</w:t>
      </w:r>
      <w:r>
        <w:rPr>
          <w:rStyle w:val="744"/>
        </w:rPr>
        <w:t xml:space="preserve">"consulta"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"termo_digitado"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"dor de cabeça"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"termo_padronizado"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"CEFALEIA"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"status_normalizacao"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"Sinônimo identificado e convertido via tabela de equivalências MedDRA"</w:t>
      </w:r>
      <w:r>
        <w:br/>
      </w:r>
      <w:r>
        <w:rPr>
          <w:rStyle w:val="773"/>
        </w:rPr>
        <w:t xml:space="preserve">  </w:t>
      </w:r>
      <w:r>
        <w:rPr>
          <w:rStyle w:val="760"/>
        </w:rPr>
        <w:t xml:space="preserve">},</w:t>
      </w:r>
      <w:r>
        <w:br/>
      </w:r>
      <w:r>
        <w:rPr>
          <w:rStyle w:val="773"/>
        </w:rPr>
        <w:t xml:space="preserve">  </w:t>
      </w:r>
      <w:r>
        <w:rPr>
          <w:rStyle w:val="744"/>
        </w:rPr>
        <w:t xml:space="preserve">"estatisticas_historicas_vigimed"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"total_notificacoes_encontradas"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45"/>
        </w:rPr>
        <w:t xml:space="preserve">342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"medicamento_mais_notificado_associado"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    </w:t>
      </w:r>
      <w:r>
        <w:rPr>
          <w:rStyle w:val="744"/>
        </w:rPr>
        <w:t xml:space="preserve">"principio_ativo"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"DIPIRONA"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</w:t>
      </w:r>
      <w:r>
        <w:rPr>
          <w:rStyle w:val="744"/>
        </w:rPr>
        <w:t xml:space="preserve">"percentual_dos_casos"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"45.6%"</w:t>
      </w:r>
      <w:r>
        <w:br/>
      </w:r>
      <w:r>
        <w:rPr>
          <w:rStyle w:val="773"/>
        </w:rPr>
        <w:t xml:space="preserve">    </w:t>
      </w:r>
      <w:r>
        <w:rPr>
          <w:rStyle w:val="760"/>
        </w:rPr>
        <w:t xml:space="preserve">},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"registros_incompletos_ignorados_na_analise"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45"/>
        </w:rPr>
        <w:t xml:space="preserve">14</w:t>
      </w:r>
      <w:r>
        <w:br/>
      </w:r>
      <w:r>
        <w:rPr>
          <w:rStyle w:val="773"/>
        </w:rPr>
        <w:t xml:space="preserve">  </w:t>
      </w:r>
      <w:r>
        <w:rPr>
          <w:rStyle w:val="760"/>
        </w:rPr>
        <w:t xml:space="preserve">},</w:t>
      </w:r>
      <w:r>
        <w:br/>
      </w:r>
      <w:r>
        <w:rPr>
          <w:rStyle w:val="773"/>
        </w:rPr>
        <w:t xml:space="preserve">  </w:t>
      </w:r>
      <w:r>
        <w:rPr>
          <w:rStyle w:val="744"/>
        </w:rPr>
        <w:t xml:space="preserve">"atendimento_proximo_cnes"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"municipio_filtrado"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"RECIFE"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"uf"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"PE"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</w:t>
      </w:r>
      <w:r>
        <w:rPr>
          <w:rStyle w:val="744"/>
        </w:rPr>
        <w:t xml:space="preserve">"estabelecimentos_encontrados"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9"/>
        </w:rPr>
        <w:t xml:space="preserve">[</w:t>
      </w:r>
      <w:r>
        <w:br/>
      </w:r>
      <w:r>
        <w:rPr>
          <w:rStyle w:val="773"/>
        </w:rPr>
        <w:t xml:space="preserve">      </w:t>
      </w: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      </w:t>
      </w:r>
      <w:r>
        <w:rPr>
          <w:rStyle w:val="744"/>
        </w:rPr>
        <w:t xml:space="preserve">"cnes"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"2345678"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</w:t>
      </w:r>
      <w:r>
        <w:rPr>
          <w:rStyle w:val="744"/>
        </w:rPr>
        <w:t xml:space="preserve">"nome_fantasia"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"HOSPITAL DA RESTAURACAO"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</w:t>
      </w:r>
      <w:r>
        <w:rPr>
          <w:rStyle w:val="744"/>
        </w:rPr>
        <w:t xml:space="preserve">"tipo_unidade"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"HOSPITAL GERAL"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</w:t>
      </w:r>
      <w:r>
        <w:rPr>
          <w:rStyle w:val="744"/>
        </w:rPr>
        <w:t xml:space="preserve">"endereco_desmembrado"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60"/>
        </w:rPr>
        <w:t xml:space="preserve">{</w:t>
      </w:r>
      <w:r>
        <w:br/>
      </w:r>
      <w:r>
        <w:rPr>
          <w:rStyle w:val="773"/>
        </w:rPr>
        <w:t xml:space="preserve">          </w:t>
      </w:r>
      <w:r>
        <w:rPr>
          <w:rStyle w:val="744"/>
        </w:rPr>
        <w:t xml:space="preserve">"tipo_logradouro"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"AVENIDA"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  </w:t>
      </w:r>
      <w:r>
        <w:rPr>
          <w:rStyle w:val="744"/>
        </w:rPr>
        <w:t xml:space="preserve">"logradouro"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"GOVERNADOR ACACIO MAGALHAES"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  </w:t>
      </w:r>
      <w:r>
        <w:rPr>
          <w:rStyle w:val="744"/>
        </w:rPr>
        <w:t xml:space="preserve">"numero"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"S/N"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  </w:t>
      </w:r>
      <w:r>
        <w:rPr>
          <w:rStyle w:val="744"/>
        </w:rPr>
        <w:t xml:space="preserve">"bairro"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"DERBY"</w:t>
      </w:r>
      <w:r>
        <w:rPr>
          <w:rStyle w:val="760"/>
        </w:rPr>
        <w:t xml:space="preserve">,</w:t>
      </w:r>
      <w:r>
        <w:br/>
      </w:r>
      <w:r>
        <w:rPr>
          <w:rStyle w:val="773"/>
        </w:rPr>
        <w:t xml:space="preserve">          </w:t>
      </w:r>
      <w:r>
        <w:rPr>
          <w:rStyle w:val="744"/>
        </w:rPr>
        <w:t xml:space="preserve">"cep"</w:t>
      </w:r>
      <w:r>
        <w:rPr>
          <w:rStyle w:val="760"/>
        </w:rPr>
        <w:t xml:space="preserve">:</w:t>
      </w:r>
      <w:r>
        <w:rPr>
          <w:rStyle w:val="773"/>
        </w:rPr>
        <w:t xml:space="preserve"> </w:t>
      </w:r>
      <w:r>
        <w:rPr>
          <w:rStyle w:val="751"/>
        </w:rPr>
        <w:t xml:space="preserve">"52010100"</w:t>
      </w:r>
      <w:r>
        <w:br/>
      </w:r>
      <w:r>
        <w:rPr>
          <w:rStyle w:val="773"/>
        </w:rPr>
        <w:t xml:space="preserve">        </w:t>
      </w:r>
      <w:r>
        <w:rPr>
          <w:rStyle w:val="760"/>
        </w:rPr>
        <w:t xml:space="preserve">}</w:t>
      </w:r>
      <w:r>
        <w:br/>
      </w:r>
      <w:r>
        <w:rPr>
          <w:rStyle w:val="773"/>
        </w:rPr>
        <w:t xml:space="preserve">      </w:t>
      </w:r>
      <w:r>
        <w:rPr>
          <w:rStyle w:val="760"/>
        </w:rPr>
        <w:t xml:space="preserve">}</w:t>
      </w:r>
      <w:r>
        <w:br/>
      </w:r>
      <w:r>
        <w:rPr>
          <w:rStyle w:val="773"/>
        </w:rPr>
        <w:t xml:space="preserve">    </w:t>
      </w:r>
      <w:r>
        <w:rPr>
          <w:rStyle w:val="759"/>
        </w:rPr>
        <w:t xml:space="preserve">]</w:t>
      </w:r>
      <w:r>
        <w:br/>
      </w:r>
      <w:r>
        <w:rPr>
          <w:rStyle w:val="773"/>
        </w:rPr>
        <w:t xml:space="preserve">  </w:t>
      </w:r>
      <w:r>
        <w:rPr>
          <w:rStyle w:val="760"/>
        </w:rPr>
        <w:t xml:space="preserve">}</w:t>
      </w:r>
      <w:r>
        <w:br/>
      </w:r>
      <w:r>
        <w:rPr>
          <w:rStyle w:val="760"/>
        </w:rPr>
        <w:t xml:space="preserve">}</w:t>
      </w:r>
      <w:r/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paragraph" w:styleId="163">
    <w:name w:val="Quote"/>
    <w:basedOn w:val="693"/>
    <w:next w:val="69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3"/>
    <w:next w:val="69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27"/>
    <w:link w:val="176"/>
    <w:uiPriority w:val="99"/>
    <w:pPr>
      <w:pBdr/>
      <w:spacing/>
      <w:ind/>
    </w:pPr>
  </w:style>
  <w:style w:type="paragraph" w:styleId="178">
    <w:name w:val="Footer"/>
    <w:basedOn w:val="69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7"/>
    <w:link w:val="178"/>
    <w:uiPriority w:val="99"/>
    <w:pPr>
      <w:pBdr/>
      <w:spacing/>
      <w:ind/>
    </w:pPr>
  </w:style>
  <w:style w:type="character" w:styleId="182">
    <w:name w:val="Footnote Text Char"/>
    <w:basedOn w:val="727"/>
    <w:link w:val="725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3"/>
    <w:next w:val="693"/>
    <w:uiPriority w:val="39"/>
    <w:unhideWhenUsed/>
    <w:pPr>
      <w:pBdr/>
      <w:spacing w:after="100"/>
      <w:ind/>
    </w:pPr>
  </w:style>
  <w:style w:type="paragraph" w:styleId="190">
    <w:name w:val="toc 2"/>
    <w:basedOn w:val="693"/>
    <w:next w:val="693"/>
    <w:uiPriority w:val="39"/>
    <w:unhideWhenUsed/>
    <w:pPr>
      <w:pBdr/>
      <w:spacing w:after="100"/>
      <w:ind w:left="220"/>
    </w:pPr>
  </w:style>
  <w:style w:type="paragraph" w:styleId="191">
    <w:name w:val="toc 3"/>
    <w:basedOn w:val="693"/>
    <w:next w:val="693"/>
    <w:uiPriority w:val="39"/>
    <w:unhideWhenUsed/>
    <w:pPr>
      <w:pBdr/>
      <w:spacing w:after="100"/>
      <w:ind w:left="440"/>
    </w:pPr>
  </w:style>
  <w:style w:type="paragraph" w:styleId="192">
    <w:name w:val="toc 4"/>
    <w:basedOn w:val="693"/>
    <w:next w:val="693"/>
    <w:uiPriority w:val="39"/>
    <w:unhideWhenUsed/>
    <w:pPr>
      <w:pBdr/>
      <w:spacing w:after="100"/>
      <w:ind w:left="660"/>
    </w:pPr>
  </w:style>
  <w:style w:type="paragraph" w:styleId="193">
    <w:name w:val="toc 5"/>
    <w:basedOn w:val="693"/>
    <w:next w:val="693"/>
    <w:uiPriority w:val="39"/>
    <w:unhideWhenUsed/>
    <w:pPr>
      <w:pBdr/>
      <w:spacing w:after="100"/>
      <w:ind w:left="880"/>
    </w:pPr>
  </w:style>
  <w:style w:type="paragraph" w:styleId="194">
    <w:name w:val="toc 6"/>
    <w:basedOn w:val="693"/>
    <w:next w:val="693"/>
    <w:uiPriority w:val="39"/>
    <w:unhideWhenUsed/>
    <w:pPr>
      <w:pBdr/>
      <w:spacing w:after="100"/>
      <w:ind w:left="1100"/>
    </w:pPr>
  </w:style>
  <w:style w:type="paragraph" w:styleId="195">
    <w:name w:val="toc 7"/>
    <w:basedOn w:val="693"/>
    <w:next w:val="693"/>
    <w:uiPriority w:val="39"/>
    <w:unhideWhenUsed/>
    <w:pPr>
      <w:pBdr/>
      <w:spacing w:after="100"/>
      <w:ind w:left="1320"/>
    </w:pPr>
  </w:style>
  <w:style w:type="paragraph" w:styleId="196">
    <w:name w:val="toc 8"/>
    <w:basedOn w:val="693"/>
    <w:next w:val="693"/>
    <w:uiPriority w:val="39"/>
    <w:unhideWhenUsed/>
    <w:pPr>
      <w:pBdr/>
      <w:spacing w:after="100"/>
      <w:ind w:left="1540"/>
    </w:pPr>
  </w:style>
  <w:style w:type="paragraph" w:styleId="197">
    <w:name w:val="toc 9"/>
    <w:basedOn w:val="693"/>
    <w:next w:val="69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3"/>
    <w:next w:val="693"/>
    <w:uiPriority w:val="99"/>
    <w:unhideWhenUsed/>
    <w:pPr>
      <w:pBdr/>
      <w:spacing w:after="0" w:afterAutospacing="0"/>
      <w:ind/>
    </w:pPr>
  </w:style>
  <w:style w:type="paragraph" w:styleId="693" w:default="1">
    <w:name w:val="Normal"/>
    <w:qFormat/>
    <w:pPr>
      <w:pBdr/>
      <w:spacing/>
      <w:ind/>
    </w:pPr>
  </w:style>
  <w:style w:type="paragraph" w:styleId="694">
    <w:name w:val="Body Text"/>
    <w:basedOn w:val="693"/>
    <w:link w:val="736"/>
    <w:qFormat/>
    <w:pPr>
      <w:pBdr/>
      <w:spacing w:after="180" w:before="180"/>
      <w:ind/>
    </w:pPr>
  </w:style>
  <w:style w:type="paragraph" w:styleId="695" w:customStyle="1">
    <w:name w:val="First Paragraph"/>
    <w:basedOn w:val="694"/>
    <w:next w:val="694"/>
    <w:qFormat/>
    <w:pPr>
      <w:pBdr/>
      <w:spacing/>
      <w:ind/>
    </w:pPr>
  </w:style>
  <w:style w:type="paragraph" w:styleId="696" w:customStyle="1">
    <w:name w:val="Compact"/>
    <w:basedOn w:val="694"/>
    <w:qFormat/>
    <w:pPr>
      <w:pBdr/>
      <w:spacing w:after="36" w:before="36"/>
      <w:ind/>
    </w:pPr>
  </w:style>
  <w:style w:type="paragraph" w:styleId="697">
    <w:name w:val="Title"/>
    <w:basedOn w:val="693"/>
    <w:next w:val="694"/>
    <w:link w:val="698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698" w:customStyle="1">
    <w:name w:val="Title Char"/>
    <w:basedOn w:val="727"/>
    <w:link w:val="697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699">
    <w:name w:val="Subtitle"/>
    <w:basedOn w:val="697"/>
    <w:next w:val="694"/>
    <w:link w:val="70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700" w:customStyle="1">
    <w:name w:val="Subtitle Char"/>
    <w:basedOn w:val="727"/>
    <w:link w:val="69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1" w:customStyle="1">
    <w:name w:val="Author"/>
    <w:basedOn w:val="697"/>
    <w:next w:val="69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2">
    <w:name w:val="Date"/>
    <w:basedOn w:val="697"/>
    <w:next w:val="694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3" w:customStyle="1">
    <w:name w:val="Abstract Title"/>
    <w:basedOn w:val="693"/>
    <w:next w:val="704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4" w:customStyle="1">
    <w:name w:val="Abstract"/>
    <w:basedOn w:val="693"/>
    <w:next w:val="694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05">
    <w:name w:val="Bibliography"/>
    <w:basedOn w:val="693"/>
    <w:next w:val="705"/>
    <w:qFormat/>
    <w:pPr>
      <w:pBdr/>
      <w:spacing/>
      <w:ind/>
    </w:pPr>
  </w:style>
  <w:style w:type="paragraph" w:styleId="706">
    <w:name w:val="Heading 1"/>
    <w:basedOn w:val="693"/>
    <w:next w:val="694"/>
    <w:link w:val="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07">
    <w:name w:val="Heading 2"/>
    <w:basedOn w:val="693"/>
    <w:next w:val="694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08">
    <w:name w:val="Heading 3"/>
    <w:basedOn w:val="693"/>
    <w:next w:val="694"/>
    <w:link w:val="7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09">
    <w:name w:val="Heading 4"/>
    <w:basedOn w:val="693"/>
    <w:next w:val="694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10">
    <w:name w:val="Heading 5"/>
    <w:basedOn w:val="693"/>
    <w:next w:val="694"/>
    <w:link w:val="7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11">
    <w:name w:val="Heading 6"/>
    <w:basedOn w:val="693"/>
    <w:next w:val="694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12">
    <w:name w:val="Heading 7"/>
    <w:basedOn w:val="693"/>
    <w:next w:val="694"/>
    <w:link w:val="7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13">
    <w:name w:val="Heading 8"/>
    <w:basedOn w:val="693"/>
    <w:next w:val="694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14">
    <w:name w:val="Heading 9"/>
    <w:basedOn w:val="693"/>
    <w:next w:val="694"/>
    <w:link w:val="7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15" w:customStyle="1">
    <w:name w:val="Heading 1 Char"/>
    <w:basedOn w:val="727"/>
    <w:link w:val="70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6" w:customStyle="1">
    <w:name w:val="Heading 2 Char"/>
    <w:basedOn w:val="727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7" w:customStyle="1">
    <w:name w:val="Heading 3 Char"/>
    <w:basedOn w:val="727"/>
    <w:link w:val="70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8" w:customStyle="1">
    <w:name w:val="Heading 4 Char"/>
    <w:basedOn w:val="727"/>
    <w:link w:val="70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9" w:customStyle="1">
    <w:name w:val="Heading 5 Char"/>
    <w:basedOn w:val="727"/>
    <w:link w:val="71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20" w:customStyle="1">
    <w:name w:val="Heading 6 Char"/>
    <w:basedOn w:val="727"/>
    <w:link w:val="71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1" w:customStyle="1">
    <w:name w:val="Heading 7 Char"/>
    <w:basedOn w:val="727"/>
    <w:link w:val="7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2" w:customStyle="1">
    <w:name w:val="Heading 8 Char"/>
    <w:basedOn w:val="727"/>
    <w:link w:val="71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3" w:customStyle="1">
    <w:name w:val="Heading 9 Char"/>
    <w:basedOn w:val="727"/>
    <w:link w:val="71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4">
    <w:name w:val="Block Text"/>
    <w:basedOn w:val="694"/>
    <w:next w:val="694"/>
    <w:uiPriority w:val="9"/>
    <w:unhideWhenUsed/>
    <w:qFormat/>
    <w:pPr>
      <w:pBdr/>
      <w:spacing w:after="100" w:before="100"/>
      <w:ind w:right="480" w:firstLine="0" w:left="480"/>
    </w:pPr>
  </w:style>
  <w:style w:type="paragraph" w:styleId="725">
    <w:name w:val="footnote text"/>
    <w:basedOn w:val="693"/>
    <w:next w:val="725"/>
    <w:uiPriority w:val="9"/>
    <w:unhideWhenUsed/>
    <w:qFormat/>
    <w:pPr>
      <w:pBdr/>
      <w:spacing/>
      <w:ind/>
    </w:pPr>
  </w:style>
  <w:style w:type="paragraph" w:styleId="726">
    <w:name w:val="Footnote Block Text"/>
    <w:basedOn w:val="725"/>
    <w:next w:val="725"/>
    <w:uiPriority w:val="9"/>
    <w:unhideWhenUsed/>
    <w:qFormat/>
    <w:pPr>
      <w:pBdr/>
      <w:spacing w:after="100" w:before="100"/>
      <w:ind w:right="480" w:firstLine="0" w:left="480"/>
    </w:pPr>
  </w:style>
  <w:style w:type="character" w:styleId="727" w:default="1">
    <w:name w:val="Default Paragraph Font"/>
    <w:semiHidden/>
    <w:unhideWhenUsed/>
    <w:pPr>
      <w:pBdr/>
      <w:spacing/>
      <w:ind/>
    </w:pPr>
  </w:style>
  <w:style w:type="table" w:styleId="728">
    <w:name w:val="Table"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9" w:customStyle="1">
    <w:name w:val="Definition Term"/>
    <w:basedOn w:val="693"/>
    <w:next w:val="730"/>
    <w:pPr>
      <w:keepNext w:val="true"/>
      <w:keepLines w:val="true"/>
      <w:pBdr/>
      <w:spacing w:after="0"/>
      <w:ind/>
    </w:pPr>
    <w:rPr>
      <w:b/>
    </w:rPr>
  </w:style>
  <w:style w:type="paragraph" w:styleId="730" w:customStyle="1">
    <w:name w:val="Definition"/>
    <w:basedOn w:val="693"/>
    <w:pPr>
      <w:pBdr/>
      <w:spacing/>
      <w:ind/>
    </w:pPr>
  </w:style>
  <w:style w:type="paragraph" w:styleId="731">
    <w:name w:val="Caption"/>
    <w:basedOn w:val="693"/>
    <w:link w:val="736"/>
    <w:pPr>
      <w:pBdr/>
      <w:spacing w:after="120" w:before="0"/>
      <w:ind/>
    </w:pPr>
    <w:rPr>
      <w:i/>
    </w:rPr>
  </w:style>
  <w:style w:type="paragraph" w:styleId="732" w:customStyle="1">
    <w:name w:val="Table Caption"/>
    <w:basedOn w:val="731"/>
    <w:pPr>
      <w:keepNext w:val="true"/>
      <w:pBdr/>
      <w:spacing/>
      <w:ind/>
    </w:pPr>
  </w:style>
  <w:style w:type="paragraph" w:styleId="733" w:customStyle="1">
    <w:name w:val="Image Caption"/>
    <w:basedOn w:val="731"/>
    <w:pPr>
      <w:pBdr/>
      <w:spacing/>
      <w:ind/>
    </w:pPr>
  </w:style>
  <w:style w:type="paragraph" w:styleId="734" w:customStyle="1">
    <w:name w:val="Figure"/>
    <w:basedOn w:val="693"/>
    <w:pPr>
      <w:pBdr/>
      <w:spacing/>
      <w:ind/>
    </w:pPr>
  </w:style>
  <w:style w:type="paragraph" w:styleId="735" w:customStyle="1">
    <w:name w:val="Captioned Figure"/>
    <w:basedOn w:val="734"/>
    <w:pPr>
      <w:keepNext w:val="true"/>
      <w:pBdr/>
      <w:spacing/>
      <w:ind/>
    </w:pPr>
  </w:style>
  <w:style w:type="character" w:styleId="736" w:customStyle="1">
    <w:name w:val="Body Text Char"/>
    <w:basedOn w:val="727"/>
    <w:link w:val="694"/>
    <w:pPr>
      <w:pBdr/>
      <w:spacing/>
      <w:ind/>
    </w:pPr>
  </w:style>
  <w:style w:type="character" w:styleId="737" w:customStyle="1">
    <w:name w:val="Verbatim Char"/>
    <w:basedOn w:val="736"/>
    <w:pPr>
      <w:pBdr/>
      <w:spacing/>
      <w:ind/>
    </w:pPr>
    <w:rPr>
      <w:rFonts w:ascii="Consolas" w:hAnsi="Consolas"/>
      <w:sz w:val="22"/>
    </w:rPr>
  </w:style>
  <w:style w:type="character" w:styleId="738" w:customStyle="1">
    <w:name w:val="Section Number"/>
    <w:basedOn w:val="736"/>
    <w:pPr>
      <w:pBdr/>
      <w:spacing/>
      <w:ind/>
    </w:pPr>
  </w:style>
  <w:style w:type="character" w:styleId="739">
    <w:name w:val="footnote reference"/>
    <w:basedOn w:val="736"/>
    <w:pPr>
      <w:pBdr/>
      <w:spacing/>
      <w:ind/>
    </w:pPr>
    <w:rPr>
      <w:vertAlign w:val="superscript"/>
    </w:rPr>
  </w:style>
  <w:style w:type="character" w:styleId="740">
    <w:name w:val="Hyperlink"/>
    <w:basedOn w:val="736"/>
    <w:pPr>
      <w:pBdr/>
      <w:spacing/>
      <w:ind/>
    </w:pPr>
    <w:rPr>
      <w:color w:val="4f81bd" w:themeColor="accent1"/>
    </w:rPr>
  </w:style>
  <w:style w:type="paragraph" w:styleId="741">
    <w:name w:val="TOC Heading"/>
    <w:basedOn w:val="706"/>
    <w:next w:val="694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2" w:customStyle="1">
    <w:name w:val="Source Code"/>
    <w:basedOn w:val="693"/>
    <w:link w:val="737"/>
    <w:pPr>
      <w:pBdr/>
      <w:spacing/>
      <w:ind/>
    </w:pPr>
  </w:style>
  <w:style w:type="character" w:styleId="743" w:customStyle="1">
    <w:name w:val="KeywordTok"/>
    <w:basedOn w:val="737"/>
    <w:pPr>
      <w:pBdr/>
      <w:spacing/>
      <w:ind/>
    </w:pPr>
    <w:rPr>
      <w:b/>
      <w:color w:val="007020"/>
    </w:rPr>
  </w:style>
  <w:style w:type="character" w:styleId="744" w:customStyle="1">
    <w:name w:val="DataTypeTok"/>
    <w:basedOn w:val="737"/>
    <w:pPr>
      <w:pBdr/>
      <w:spacing/>
      <w:ind/>
    </w:pPr>
    <w:rPr>
      <w:color w:val="902000"/>
    </w:rPr>
  </w:style>
  <w:style w:type="character" w:styleId="745" w:customStyle="1">
    <w:name w:val="DecValTok"/>
    <w:basedOn w:val="737"/>
    <w:pPr>
      <w:pBdr/>
      <w:spacing/>
      <w:ind/>
    </w:pPr>
    <w:rPr>
      <w:color w:val="40a070"/>
    </w:rPr>
  </w:style>
  <w:style w:type="character" w:styleId="746" w:customStyle="1">
    <w:name w:val="BaseNTok"/>
    <w:basedOn w:val="737"/>
    <w:pPr>
      <w:pBdr/>
      <w:spacing/>
      <w:ind/>
    </w:pPr>
    <w:rPr>
      <w:color w:val="40a070"/>
    </w:rPr>
  </w:style>
  <w:style w:type="character" w:styleId="747" w:customStyle="1">
    <w:name w:val="FloatTok"/>
    <w:basedOn w:val="737"/>
    <w:pPr>
      <w:pBdr/>
      <w:spacing/>
      <w:ind/>
    </w:pPr>
    <w:rPr>
      <w:color w:val="40a070"/>
    </w:rPr>
  </w:style>
  <w:style w:type="character" w:styleId="748" w:customStyle="1">
    <w:name w:val="ConstantTok"/>
    <w:basedOn w:val="737"/>
    <w:pPr>
      <w:pBdr/>
      <w:spacing/>
      <w:ind/>
    </w:pPr>
    <w:rPr>
      <w:color w:val="880000"/>
    </w:rPr>
  </w:style>
  <w:style w:type="character" w:styleId="749" w:customStyle="1">
    <w:name w:val="CharTok"/>
    <w:basedOn w:val="737"/>
    <w:pPr>
      <w:pBdr/>
      <w:spacing/>
      <w:ind/>
    </w:pPr>
    <w:rPr>
      <w:color w:val="4070a0"/>
    </w:rPr>
  </w:style>
  <w:style w:type="character" w:styleId="750" w:customStyle="1">
    <w:name w:val="SpecialCharTok"/>
    <w:basedOn w:val="737"/>
    <w:pPr>
      <w:pBdr/>
      <w:spacing/>
      <w:ind/>
    </w:pPr>
    <w:rPr>
      <w:color w:val="4070a0"/>
    </w:rPr>
  </w:style>
  <w:style w:type="character" w:styleId="751" w:customStyle="1">
    <w:name w:val="StringTok"/>
    <w:basedOn w:val="737"/>
    <w:pPr>
      <w:pBdr/>
      <w:spacing/>
      <w:ind/>
    </w:pPr>
    <w:rPr>
      <w:color w:val="4070a0"/>
    </w:rPr>
  </w:style>
  <w:style w:type="character" w:styleId="752" w:customStyle="1">
    <w:name w:val="VerbatimStringTok"/>
    <w:basedOn w:val="737"/>
    <w:pPr>
      <w:pBdr/>
      <w:spacing/>
      <w:ind/>
    </w:pPr>
    <w:rPr>
      <w:color w:val="4070a0"/>
    </w:rPr>
  </w:style>
  <w:style w:type="character" w:styleId="753" w:customStyle="1">
    <w:name w:val="SpecialStringTok"/>
    <w:basedOn w:val="737"/>
    <w:pPr>
      <w:pBdr/>
      <w:spacing/>
      <w:ind/>
    </w:pPr>
    <w:rPr>
      <w:color w:val="bb6688"/>
    </w:rPr>
  </w:style>
  <w:style w:type="character" w:styleId="754" w:customStyle="1">
    <w:name w:val="ImportTok"/>
    <w:basedOn w:val="737"/>
    <w:pPr>
      <w:pBdr/>
      <w:spacing/>
      <w:ind/>
    </w:pPr>
    <w:rPr>
      <w:b/>
      <w:color w:val="008000"/>
    </w:rPr>
  </w:style>
  <w:style w:type="character" w:styleId="755" w:customStyle="1">
    <w:name w:val="CommentTok"/>
    <w:basedOn w:val="737"/>
    <w:pPr>
      <w:pBdr/>
      <w:spacing/>
      <w:ind/>
    </w:pPr>
    <w:rPr>
      <w:i/>
      <w:color w:val="60a0b0"/>
    </w:rPr>
  </w:style>
  <w:style w:type="character" w:styleId="756" w:customStyle="1">
    <w:name w:val="DocumentationTok"/>
    <w:basedOn w:val="737"/>
    <w:pPr>
      <w:pBdr/>
      <w:spacing/>
      <w:ind/>
    </w:pPr>
    <w:rPr>
      <w:i/>
      <w:color w:val="ba2121"/>
    </w:rPr>
  </w:style>
  <w:style w:type="character" w:styleId="757" w:customStyle="1">
    <w:name w:val="AnnotationTok"/>
    <w:basedOn w:val="737"/>
    <w:pPr>
      <w:pBdr/>
      <w:spacing/>
      <w:ind/>
    </w:pPr>
    <w:rPr>
      <w:b/>
      <w:i/>
      <w:color w:val="60a0b0"/>
    </w:rPr>
  </w:style>
  <w:style w:type="character" w:styleId="758" w:customStyle="1">
    <w:name w:val="CommentVarTok"/>
    <w:basedOn w:val="737"/>
    <w:pPr>
      <w:pBdr/>
      <w:spacing/>
      <w:ind/>
    </w:pPr>
    <w:rPr>
      <w:b/>
      <w:i/>
      <w:color w:val="60a0b0"/>
    </w:rPr>
  </w:style>
  <w:style w:type="character" w:styleId="759" w:customStyle="1">
    <w:name w:val="OtherTok"/>
    <w:basedOn w:val="737"/>
    <w:pPr>
      <w:pBdr/>
      <w:spacing/>
      <w:ind/>
    </w:pPr>
    <w:rPr>
      <w:color w:val="007020"/>
    </w:rPr>
  </w:style>
  <w:style w:type="character" w:styleId="760" w:customStyle="1">
    <w:name w:val="FunctionTok"/>
    <w:basedOn w:val="737"/>
    <w:pPr>
      <w:pBdr/>
      <w:spacing/>
      <w:ind/>
    </w:pPr>
    <w:rPr>
      <w:color w:val="06287e"/>
    </w:rPr>
  </w:style>
  <w:style w:type="character" w:styleId="761" w:customStyle="1">
    <w:name w:val="VariableTok"/>
    <w:basedOn w:val="737"/>
    <w:pPr>
      <w:pBdr/>
      <w:spacing/>
      <w:ind/>
    </w:pPr>
    <w:rPr>
      <w:color w:val="19177c"/>
    </w:rPr>
  </w:style>
  <w:style w:type="character" w:styleId="762" w:customStyle="1">
    <w:name w:val="ControlFlowTok"/>
    <w:basedOn w:val="737"/>
    <w:pPr>
      <w:pBdr/>
      <w:spacing/>
      <w:ind/>
    </w:pPr>
    <w:rPr>
      <w:b/>
      <w:color w:val="007020"/>
    </w:rPr>
  </w:style>
  <w:style w:type="character" w:styleId="763" w:customStyle="1">
    <w:name w:val="OperatorTok"/>
    <w:basedOn w:val="737"/>
    <w:pPr>
      <w:pBdr/>
      <w:spacing/>
      <w:ind/>
    </w:pPr>
    <w:rPr>
      <w:color w:val="666666"/>
    </w:rPr>
  </w:style>
  <w:style w:type="character" w:styleId="764" w:customStyle="1">
    <w:name w:val="BuiltInTok"/>
    <w:basedOn w:val="737"/>
    <w:pPr>
      <w:pBdr/>
      <w:spacing/>
      <w:ind/>
    </w:pPr>
    <w:rPr>
      <w:color w:val="008000"/>
    </w:rPr>
  </w:style>
  <w:style w:type="character" w:styleId="765" w:customStyle="1">
    <w:name w:val="ExtensionTok"/>
    <w:basedOn w:val="737"/>
    <w:pPr>
      <w:pBdr/>
      <w:spacing/>
      <w:ind/>
    </w:pPr>
  </w:style>
  <w:style w:type="character" w:styleId="766" w:customStyle="1">
    <w:name w:val="PreprocessorTok"/>
    <w:basedOn w:val="737"/>
    <w:pPr>
      <w:pBdr/>
      <w:spacing/>
      <w:ind/>
    </w:pPr>
    <w:rPr>
      <w:color w:val="bc7a00"/>
    </w:rPr>
  </w:style>
  <w:style w:type="character" w:styleId="767" w:customStyle="1">
    <w:name w:val="AttributeTok"/>
    <w:basedOn w:val="737"/>
    <w:pPr>
      <w:pBdr/>
      <w:spacing/>
      <w:ind/>
    </w:pPr>
    <w:rPr>
      <w:color w:val="7d9029"/>
    </w:rPr>
  </w:style>
  <w:style w:type="character" w:styleId="768" w:customStyle="1">
    <w:name w:val="RegionMarkerTok"/>
    <w:basedOn w:val="737"/>
    <w:pPr>
      <w:pBdr/>
      <w:spacing/>
      <w:ind/>
    </w:pPr>
  </w:style>
  <w:style w:type="character" w:styleId="769" w:customStyle="1">
    <w:name w:val="InformationTok"/>
    <w:basedOn w:val="737"/>
    <w:pPr>
      <w:pBdr/>
      <w:spacing/>
      <w:ind/>
    </w:pPr>
    <w:rPr>
      <w:b/>
      <w:i/>
      <w:color w:val="60a0b0"/>
    </w:rPr>
  </w:style>
  <w:style w:type="character" w:styleId="770" w:customStyle="1">
    <w:name w:val="WarningTok"/>
    <w:basedOn w:val="737"/>
    <w:pPr>
      <w:pBdr/>
      <w:spacing/>
      <w:ind/>
    </w:pPr>
    <w:rPr>
      <w:b/>
      <w:i/>
      <w:color w:val="60a0b0"/>
    </w:rPr>
  </w:style>
  <w:style w:type="character" w:styleId="771" w:customStyle="1">
    <w:name w:val="AlertTok"/>
    <w:basedOn w:val="737"/>
    <w:pPr>
      <w:pBdr/>
      <w:spacing/>
      <w:ind/>
    </w:pPr>
    <w:rPr>
      <w:b/>
      <w:color w:val="ff0000"/>
    </w:rPr>
  </w:style>
  <w:style w:type="character" w:styleId="772" w:customStyle="1">
    <w:name w:val="ErrorTok"/>
    <w:basedOn w:val="737"/>
    <w:pPr>
      <w:pBdr/>
      <w:spacing/>
      <w:ind/>
    </w:pPr>
    <w:rPr>
      <w:b/>
      <w:color w:val="ff0000"/>
    </w:rPr>
  </w:style>
  <w:style w:type="character" w:styleId="773" w:customStyle="1">
    <w:name w:val="NormalTok"/>
    <w:basedOn w:val="73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1</cp:revision>
  <dcterms:created xsi:type="dcterms:W3CDTF">2026-10-22T14:25:26Z</dcterms:created>
  <dcterms:modified xsi:type="dcterms:W3CDTF">2026-10-22T14:26:17Z</dcterms:modified>
</cp:coreProperties>
</file>