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1DF08" w14:textId="77777777" w:rsidR="002768D3" w:rsidRDefault="00560192">
      <w:pPr>
        <w:spacing w:after="80"/>
        <w:jc w:val="center"/>
      </w:pPr>
      <w:r>
        <w:rPr>
          <w:rFonts w:ascii="Times New Roman" w:hAnsi="Times New Roman"/>
          <w:b/>
          <w:color w:val="003366"/>
          <w:sz w:val="32"/>
        </w:rPr>
        <w:t>Business Insights</w:t>
      </w:r>
    </w:p>
    <w:p w14:paraId="46F62D45" w14:textId="77777777" w:rsidR="002768D3" w:rsidRDefault="00560192">
      <w:pPr>
        <w:spacing w:after="280"/>
        <w:jc w:val="center"/>
      </w:pPr>
      <w:r>
        <w:rPr>
          <w:rFonts w:ascii="Times New Roman" w:hAnsi="Times New Roman"/>
          <w:i/>
          <w:color w:val="646464"/>
          <w:sz w:val="24"/>
        </w:rPr>
        <w:t>Formula 1 World Championship (1950–2020) Power BI Project</w:t>
      </w:r>
    </w:p>
    <w:p w14:paraId="6B4471B6" w14:textId="77777777" w:rsidR="002768D3" w:rsidRDefault="00560192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4"/>
        </w:rPr>
        <w:t>1. Core Strategic &amp; Operational Insights</w:t>
      </w:r>
    </w:p>
    <w:p w14:paraId="3BCB4F6C" w14:textId="77777777" w:rsidR="002768D3" w:rsidRDefault="00560192">
      <w:pPr>
        <w:keepNext/>
        <w:spacing w:before="200" w:after="80"/>
      </w:pPr>
      <w:r>
        <w:rPr>
          <w:rFonts w:ascii="Times New Roman" w:hAnsi="Times New Roman"/>
          <w:b/>
          <w:i/>
          <w:color w:val="003366"/>
          <w:sz w:val="24"/>
        </w:rPr>
        <w:t>Insight 1: Concentration of Driver Victories Among Elite Drivers</w:t>
      </w:r>
    </w:p>
    <w:p w14:paraId="01B2C944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Evidence: </w:t>
      </w:r>
      <w:r>
        <w:rPr>
          <w:rFonts w:ascii="Times New Roman" w:hAnsi="Times New Roman"/>
          <w:sz w:val="24"/>
        </w:rPr>
        <w:t>The Win Distribution by Driver (All-Time) treemap shows Lewis Hamilton and Michael Schumacher holding a subst</w:t>
      </w:r>
      <w:r>
        <w:rPr>
          <w:rFonts w:ascii="Times New Roman" w:hAnsi="Times New Roman"/>
          <w:sz w:val="24"/>
        </w:rPr>
        <w:t>antial lead in career wins over historical peers such as Sebastian Vettel, Alain Prost, and Ayrton Senna†. The Wins Trend by top 5 Drivers chart shows this lead concentrated within specific multi-year windows rather than accumulating evenly over each drive</w:t>
      </w:r>
      <w:r>
        <w:rPr>
          <w:rFonts w:ascii="Times New Roman" w:hAnsi="Times New Roman"/>
          <w:sz w:val="24"/>
        </w:rPr>
        <w:t>r's career — most visibly for Hamilton from 2014 onward and for Schumacher in the early 2000s.</w:t>
      </w:r>
    </w:p>
    <w:p w14:paraId="42DFDFD0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Business Interpretation: </w:t>
      </w:r>
      <w:r>
        <w:rPr>
          <w:rFonts w:ascii="Times New Roman" w:hAnsi="Times New Roman"/>
          <w:sz w:val="24"/>
        </w:rPr>
        <w:t>Win distribution in F1 is concentrated in sustained dominance periods rather than spread evenly across the field. Regulatory stability c</w:t>
      </w:r>
      <w:r>
        <w:rPr>
          <w:rFonts w:ascii="Times New Roman" w:hAnsi="Times New Roman"/>
          <w:sz w:val="24"/>
        </w:rPr>
        <w:t>ombined with strong engine and chassis integration appears to allow top drivers in top-tier teams to accumulate wins at a higher rate during these windows than in more competitive periods.</w:t>
      </w:r>
    </w:p>
    <w:p w14:paraId="219A0B8E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Strategic Implication: </w:t>
      </w:r>
      <w:r>
        <w:rPr>
          <w:rFonts w:ascii="Times New Roman" w:hAnsi="Times New Roman"/>
          <w:sz w:val="24"/>
        </w:rPr>
        <w:t xml:space="preserve">Teams benefit from securing engineering and </w:t>
      </w:r>
      <w:r>
        <w:rPr>
          <w:rFonts w:ascii="Times New Roman" w:hAnsi="Times New Roman"/>
          <w:sz w:val="24"/>
        </w:rPr>
        <w:t>driver stability heading into a new regulation cycle, since sustained win concentration in the trend chart tends to begin near the start of these cycles.</w:t>
      </w:r>
    </w:p>
    <w:p w14:paraId="2DB9FAAA" w14:textId="77777777" w:rsidR="002768D3" w:rsidRDefault="00560192">
      <w:pPr>
        <w:keepNext/>
        <w:spacing w:before="200" w:after="80"/>
      </w:pPr>
      <w:r>
        <w:rPr>
          <w:rFonts w:ascii="Times New Roman" w:hAnsi="Times New Roman"/>
          <w:b/>
          <w:i/>
          <w:color w:val="003366"/>
          <w:sz w:val="24"/>
        </w:rPr>
        <w:t>Insight 2: Constructor Win Concentration Varies Across Eras</w:t>
      </w:r>
    </w:p>
    <w:p w14:paraId="52D20873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Evidence: </w:t>
      </w:r>
      <w:r>
        <w:rPr>
          <w:rFonts w:ascii="Times New Roman" w:hAnsi="Times New Roman"/>
          <w:sz w:val="24"/>
        </w:rPr>
        <w:t>The Top 10 Constructors by All-T</w:t>
      </w:r>
      <w:r>
        <w:rPr>
          <w:rFonts w:ascii="Times New Roman" w:hAnsi="Times New Roman"/>
          <w:sz w:val="24"/>
        </w:rPr>
        <w:t>ime Wins chart shows Scuderia Ferrari as the career leader in total wins, followed by McLaren, Mercedes, and Red Bull Racing†. The Points Trend by top 5 Constructors chart shows Mercedes' points output rising sharply during a shorter, more recent window (2</w:t>
      </w:r>
      <w:r>
        <w:rPr>
          <w:rFonts w:ascii="Times New Roman" w:hAnsi="Times New Roman"/>
          <w:sz w:val="24"/>
        </w:rPr>
        <w:t>014–2020) relative to its historical peers, in contrast with Ferrari's longer but less concentrated win record.</w:t>
      </w:r>
    </w:p>
    <w:p w14:paraId="5E9B028F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Business Interpretation: </w:t>
      </w:r>
      <w:r>
        <w:rPr>
          <w:rFonts w:ascii="Times New Roman" w:hAnsi="Times New Roman"/>
          <w:sz w:val="24"/>
        </w:rPr>
        <w:t>Legacy constructors built their win totals over many decades of participation, while more recent dominance appears more</w:t>
      </w:r>
      <w:r>
        <w:rPr>
          <w:rFonts w:ascii="Times New Roman" w:hAnsi="Times New Roman"/>
          <w:sz w:val="24"/>
        </w:rPr>
        <w:t xml:space="preserve"> concentrated within a shorter span of seasons. This is consistent with, though not a direct measurement of, higher technical entry barriers for constructors without in-house power-unit development.</w:t>
      </w:r>
    </w:p>
    <w:p w14:paraId="7BBE1F88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Strategic Implication: </w:t>
      </w:r>
      <w:r>
        <w:rPr>
          <w:rFonts w:ascii="Times New Roman" w:hAnsi="Times New Roman"/>
          <w:sz w:val="24"/>
        </w:rPr>
        <w:t>Independent constructors may benef</w:t>
      </w:r>
      <w:r>
        <w:rPr>
          <w:rFonts w:ascii="Times New Roman" w:hAnsi="Times New Roman"/>
          <w:sz w:val="24"/>
        </w:rPr>
        <w:t>it from technical partnerships with major manufacturers, or from cost-cap regulations, to narrow the gap with works teams during periods of concentrated dominance.</w:t>
      </w:r>
    </w:p>
    <w:p w14:paraId="47CCA0B6" w14:textId="77777777" w:rsidR="002768D3" w:rsidRDefault="00560192">
      <w:pPr>
        <w:keepNext/>
        <w:spacing w:before="200" w:after="80"/>
      </w:pPr>
      <w:r>
        <w:rPr>
          <w:rFonts w:ascii="Times New Roman" w:hAnsi="Times New Roman"/>
          <w:b/>
          <w:i/>
          <w:color w:val="003366"/>
          <w:sz w:val="24"/>
        </w:rPr>
        <w:t>Insight 3: Points Vary Substantially by Circuit and Constructor</w:t>
      </w:r>
    </w:p>
    <w:p w14:paraId="103E4D26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Evidence: </w:t>
      </w:r>
      <w:r>
        <w:rPr>
          <w:rFonts w:ascii="Times New Roman" w:hAnsi="Times New Roman"/>
          <w:sz w:val="24"/>
        </w:rPr>
        <w:t>The Points by circ</w:t>
      </w:r>
      <w:r>
        <w:rPr>
          <w:rFonts w:ascii="Times New Roman" w:hAnsi="Times New Roman"/>
          <w:sz w:val="24"/>
        </w:rPr>
        <w:t>uit vs Top Constructors pivot table and the country-level points bar chart show that total points differ materially across circuits and constructors. The dashboard does not currently include a measure that computes an explicit top-tier-versus-midfield perc</w:t>
      </w:r>
      <w:r>
        <w:rPr>
          <w:rFonts w:ascii="Times New Roman" w:hAnsi="Times New Roman"/>
          <w:sz w:val="24"/>
        </w:rPr>
        <w:t>entage gap by circuit type, so this comparison is not presented as a pre-built dashboard statistic.</w:t>
      </w:r>
    </w:p>
    <w:p w14:paraId="412254EA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Business Interpretation: </w:t>
      </w:r>
      <w:r>
        <w:rPr>
          <w:rFonts w:ascii="Times New Roman" w:hAnsi="Times New Roman"/>
          <w:sz w:val="24"/>
        </w:rPr>
        <w:t>Circuit-level performance differences are visible in the pivot table, but attributing them to a specific cause (e.g., high-speed ve</w:t>
      </w:r>
      <w:r>
        <w:rPr>
          <w:rFonts w:ascii="Times New Roman" w:hAnsi="Times New Roman"/>
          <w:sz w:val="24"/>
        </w:rPr>
        <w:t xml:space="preserve">rsus low-speed layouts) </w:t>
      </w:r>
      <w:r>
        <w:rPr>
          <w:rFonts w:ascii="Times New Roman" w:hAnsi="Times New Roman"/>
          <w:sz w:val="24"/>
        </w:rPr>
        <w:lastRenderedPageBreak/>
        <w:t>would require a dedicated analysis of the underlying race data rather than a reading of the current visual.</w:t>
      </w:r>
    </w:p>
    <w:p w14:paraId="5D2071FE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Strategic Implication: </w:t>
      </w:r>
      <w:r>
        <w:rPr>
          <w:rFonts w:ascii="Times New Roman" w:hAnsi="Times New Roman"/>
          <w:sz w:val="24"/>
        </w:rPr>
        <w:t>Midfield teams can use the pivot table to identify the specific circuits where their points output tr</w:t>
      </w:r>
      <w:r>
        <w:rPr>
          <w:rFonts w:ascii="Times New Roman" w:hAnsi="Times New Roman"/>
          <w:sz w:val="24"/>
        </w:rPr>
        <w:t>ails top constructors most, and prioritise development resources accordingly, rather than relying on a general power-circuit assumption.</w:t>
      </w:r>
    </w:p>
    <w:p w14:paraId="40C20713" w14:textId="77777777" w:rsidR="002768D3" w:rsidRDefault="00560192">
      <w:pPr>
        <w:keepNext/>
        <w:spacing w:before="200" w:after="80"/>
      </w:pPr>
      <w:r>
        <w:rPr>
          <w:rFonts w:ascii="Times New Roman" w:hAnsi="Times New Roman"/>
          <w:b/>
          <w:i/>
          <w:color w:val="003366"/>
          <w:sz w:val="24"/>
        </w:rPr>
        <w:t>Insight 4: Career Pit Stop Volumes Are Higher for Modern-Era Drivers</w:t>
      </w:r>
    </w:p>
    <w:p w14:paraId="6E9629A8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Evidence: </w:t>
      </w:r>
      <w:r>
        <w:rPr>
          <w:rFonts w:ascii="Times New Roman" w:hAnsi="Times New Roman"/>
          <w:sz w:val="24"/>
        </w:rPr>
        <w:t>The Total Pit Stops by driver chart plot</w:t>
      </w:r>
      <w:r>
        <w:rPr>
          <w:rFonts w:ascii="Times New Roman" w:hAnsi="Times New Roman"/>
          <w:sz w:val="24"/>
        </w:rPr>
        <w:t>s pit stop counts by driver and shows several modern-era drivers with materially higher career totals than drivers from earlier decades†.</w:t>
      </w:r>
    </w:p>
    <w:p w14:paraId="11C9165C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Business Interpretation: </w:t>
      </w:r>
      <w:r>
        <w:rPr>
          <w:rFonts w:ascii="Times New Roman" w:hAnsi="Times New Roman"/>
          <w:sz w:val="24"/>
        </w:rPr>
        <w:t xml:space="preserve">This disparity is unlikely to reflect shorter careers in earlier eras. It is more consistent </w:t>
      </w:r>
      <w:r>
        <w:rPr>
          <w:rFonts w:ascii="Times New Roman" w:hAnsi="Times New Roman"/>
          <w:sz w:val="24"/>
        </w:rPr>
        <w:t>with regulatory changes affecting pit stop frequency: the introduction of mandatory multi-compound tyre usage in the Pirelli era (post-2011) and the removal of in-race refuelling after 2009 both increased the number of scheduled stops per race.</w:t>
      </w:r>
    </w:p>
    <w:p w14:paraId="6A6B7281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>Strategic I</w:t>
      </w:r>
      <w:r>
        <w:rPr>
          <w:rFonts w:ascii="Times New Roman" w:hAnsi="Times New Roman"/>
          <w:b/>
          <w:sz w:val="24"/>
        </w:rPr>
        <w:t xml:space="preserve">mplication: </w:t>
      </w:r>
      <w:r>
        <w:rPr>
          <w:rFonts w:ascii="Times New Roman" w:hAnsi="Times New Roman"/>
          <w:sz w:val="24"/>
        </w:rPr>
        <w:t>Strategy departments should treat pit stops as an operational lever with a direct, measurable effect on track position, and continue investing in pit crew execution time as a low-cost performance gain.</w:t>
      </w:r>
    </w:p>
    <w:p w14:paraId="3714A9B6" w14:textId="77777777" w:rsidR="002768D3" w:rsidRDefault="00560192">
      <w:pPr>
        <w:keepNext/>
        <w:spacing w:before="200" w:after="80"/>
      </w:pPr>
      <w:r>
        <w:rPr>
          <w:rFonts w:ascii="Times New Roman" w:hAnsi="Times New Roman"/>
          <w:b/>
          <w:i/>
          <w:color w:val="003366"/>
          <w:sz w:val="24"/>
        </w:rPr>
        <w:t>Insight 5: Championship Points Are Geograp</w:t>
      </w:r>
      <w:r>
        <w:rPr>
          <w:rFonts w:ascii="Times New Roman" w:hAnsi="Times New Roman"/>
          <w:b/>
          <w:i/>
          <w:color w:val="003366"/>
          <w:sz w:val="24"/>
        </w:rPr>
        <w:t>hically Concentrated</w:t>
      </w:r>
    </w:p>
    <w:p w14:paraId="2EBF85B5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Evidence: </w:t>
      </w:r>
      <w:r>
        <w:rPr>
          <w:rFonts w:ascii="Times New Roman" w:hAnsi="Times New Roman"/>
          <w:sz w:val="24"/>
        </w:rPr>
        <w:t>The Total Points by Country map and the accompanying country bar chart show that a small number of countries account for a disproportionate share of cumulative championship points, with European nations — including the United</w:t>
      </w:r>
      <w:r>
        <w:rPr>
          <w:rFonts w:ascii="Times New Roman" w:hAnsi="Times New Roman"/>
          <w:sz w:val="24"/>
        </w:rPr>
        <w:t xml:space="preserve"> Kingdom and Germany — appearing prominently†.</w:t>
      </w:r>
    </w:p>
    <w:p w14:paraId="04793B63" w14:textId="77777777" w:rsidR="002768D3" w:rsidRDefault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Business Interpretation: </w:t>
      </w:r>
      <w:r>
        <w:rPr>
          <w:rFonts w:ascii="Times New Roman" w:hAnsi="Times New Roman"/>
          <w:sz w:val="24"/>
        </w:rPr>
        <w:t>This pattern is consistent with long-standing driver scouting infrastructure and constructor engineering bases concentrated in Western Europe, though the map itself shows the geographi</w:t>
      </w:r>
      <w:r>
        <w:rPr>
          <w:rFonts w:ascii="Times New Roman" w:hAnsi="Times New Roman"/>
          <w:sz w:val="24"/>
        </w:rPr>
        <w:t>c distribution of points rather than the underlying causes.</w:t>
      </w:r>
    </w:p>
    <w:p w14:paraId="4D6E900A" w14:textId="3E0DB6BD" w:rsidR="002768D3" w:rsidRDefault="00560192" w:rsidP="00560192">
      <w:pPr>
        <w:pStyle w:val="ListBullet"/>
        <w:spacing w:after="80"/>
      </w:pPr>
      <w:r>
        <w:rPr>
          <w:rFonts w:ascii="Times New Roman" w:hAnsi="Times New Roman"/>
          <w:b/>
          <w:sz w:val="24"/>
        </w:rPr>
        <w:t xml:space="preserve">Strategic Implication: </w:t>
      </w:r>
      <w:r>
        <w:rPr>
          <w:rFonts w:ascii="Times New Roman" w:hAnsi="Times New Roman"/>
          <w:sz w:val="24"/>
        </w:rPr>
        <w:t>Commercial rights holders and team driver academies could use this geographic view to identify under-represented regions as targets for grassroots investment and talent-pipe</w:t>
      </w:r>
      <w:r>
        <w:rPr>
          <w:rFonts w:ascii="Times New Roman" w:hAnsi="Times New Roman"/>
          <w:sz w:val="24"/>
        </w:rPr>
        <w:t>line expansion.</w:t>
      </w:r>
      <w:bookmarkStart w:id="0" w:name="_GoBack"/>
      <w:bookmarkEnd w:id="0"/>
    </w:p>
    <w:sectPr w:rsidR="002768D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8D3"/>
    <w:rsid w:val="0029639D"/>
    <w:rsid w:val="00326F90"/>
    <w:rsid w:val="005601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E26DA"/>
  <w14:defaultImageDpi w14:val="300"/>
  <w15:docId w15:val="{C1A61ED7-6F94-40BC-A367-D1900A8F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B3BC0E-1B30-4115-8138-39535F53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p</cp:lastModifiedBy>
  <cp:revision>2</cp:revision>
  <dcterms:created xsi:type="dcterms:W3CDTF">2013-12-23T23:15:00Z</dcterms:created>
  <dcterms:modified xsi:type="dcterms:W3CDTF">2026-08-05T02:01:00Z</dcterms:modified>
  <cp:category/>
</cp:coreProperties>
</file>