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6304AD" w14:textId="77777777" w:rsidR="00A20DC9" w:rsidRDefault="00617263">
      <w:pPr>
        <w:spacing w:after="80"/>
        <w:jc w:val="center"/>
      </w:pPr>
      <w:r>
        <w:rPr>
          <w:rFonts w:ascii="Times New Roman" w:hAnsi="Times New Roman"/>
          <w:b/>
          <w:color w:val="003366"/>
          <w:sz w:val="32"/>
        </w:rPr>
        <w:t>Strategic Recommendations &amp; Presentation Script</w:t>
      </w:r>
    </w:p>
    <w:p w14:paraId="4CB712F9" w14:textId="77777777" w:rsidR="00A20DC9" w:rsidRDefault="00617263">
      <w:pPr>
        <w:spacing w:after="280"/>
        <w:jc w:val="center"/>
      </w:pPr>
      <w:r>
        <w:rPr>
          <w:rFonts w:ascii="Times New Roman" w:hAnsi="Times New Roman"/>
          <w:i/>
          <w:color w:val="646464"/>
          <w:sz w:val="24"/>
        </w:rPr>
        <w:t>Formula 1 World Championship (1950–2020) Power BI Project</w:t>
      </w:r>
    </w:p>
    <w:p w14:paraId="438E5703" w14:textId="77777777" w:rsidR="00A20DC9" w:rsidRDefault="00617263">
      <w:pPr>
        <w:keepNext/>
        <w:spacing w:before="280" w:after="120"/>
      </w:pPr>
      <w:bookmarkStart w:id="0" w:name="_GoBack"/>
      <w:bookmarkEnd w:id="0"/>
      <w:r>
        <w:rPr>
          <w:rFonts w:ascii="Times New Roman" w:hAnsi="Times New Roman"/>
          <w:b/>
          <w:color w:val="003366"/>
          <w:sz w:val="24"/>
        </w:rPr>
        <w:t>1. Strategic Recommendations</w:t>
      </w:r>
    </w:p>
    <w:tbl>
      <w:tblPr>
        <w:tblW w:w="0" w:type="auto"/>
        <w:jc w:val="center"/>
        <w:tblBorders>
          <w:top w:val="single" w:sz="4" w:space="0" w:color="CCCCCC"/>
          <w:bottom w:val="single" w:sz="4" w:space="0" w:color="CCCCCC"/>
          <w:insideH w:val="single" w:sz="4" w:space="0" w:color="E0E0E0"/>
        </w:tblBorders>
        <w:tblLayout w:type="fixed"/>
        <w:tblLook w:val="04A0" w:firstRow="1" w:lastRow="0" w:firstColumn="1" w:lastColumn="0" w:noHBand="0" w:noVBand="1"/>
      </w:tblPr>
      <w:tblGrid>
        <w:gridCol w:w="2160"/>
        <w:gridCol w:w="3168"/>
        <w:gridCol w:w="2160"/>
        <w:gridCol w:w="1152"/>
        <w:gridCol w:w="1440"/>
      </w:tblGrid>
      <w:tr w:rsidR="00A20DC9" w14:paraId="0DA76C6A" w14:textId="77777777">
        <w:trPr>
          <w:tblHeader/>
          <w:jc w:val="center"/>
        </w:trPr>
        <w:tc>
          <w:tcPr>
            <w:tcW w:w="2160" w:type="dxa"/>
            <w:shd w:val="clear" w:color="auto" w:fill="003366"/>
            <w:tcMar>
              <w:top w:w="120" w:type="dxa"/>
              <w:left w:w="100" w:type="dxa"/>
              <w:bottom w:w="120" w:type="dxa"/>
              <w:right w:w="100" w:type="dxa"/>
            </w:tcMar>
          </w:tcPr>
          <w:p w14:paraId="46ACD592" w14:textId="77777777" w:rsidR="00A20DC9" w:rsidRDefault="00617263">
            <w:pPr>
              <w:spacing w:before="80" w:after="80"/>
              <w:jc w:val="center"/>
            </w:pPr>
            <w:r>
              <w:rPr>
                <w:rFonts w:ascii="Times New Roman" w:hAnsi="Times New Roman"/>
                <w:b/>
                <w:color w:val="FFFFFF"/>
                <w:sz w:val="24"/>
              </w:rPr>
              <w:t>Recommendation</w:t>
            </w:r>
          </w:p>
        </w:tc>
        <w:tc>
          <w:tcPr>
            <w:tcW w:w="3168" w:type="dxa"/>
            <w:shd w:val="clear" w:color="auto" w:fill="003366"/>
            <w:tcMar>
              <w:top w:w="120" w:type="dxa"/>
              <w:left w:w="100" w:type="dxa"/>
              <w:bottom w:w="120" w:type="dxa"/>
              <w:right w:w="100" w:type="dxa"/>
            </w:tcMar>
          </w:tcPr>
          <w:p w14:paraId="6F8A26D1" w14:textId="77777777" w:rsidR="00A20DC9" w:rsidRDefault="00617263">
            <w:pPr>
              <w:spacing w:before="80" w:after="80"/>
              <w:jc w:val="center"/>
            </w:pPr>
            <w:r>
              <w:rPr>
                <w:rFonts w:ascii="Times New Roman" w:hAnsi="Times New Roman"/>
                <w:b/>
                <w:color w:val="FFFFFF"/>
                <w:sz w:val="24"/>
              </w:rPr>
              <w:t>Reasoning</w:t>
            </w:r>
          </w:p>
        </w:tc>
        <w:tc>
          <w:tcPr>
            <w:tcW w:w="2160" w:type="dxa"/>
            <w:shd w:val="clear" w:color="auto" w:fill="003366"/>
            <w:tcMar>
              <w:top w:w="120" w:type="dxa"/>
              <w:left w:w="100" w:type="dxa"/>
              <w:bottom w:w="120" w:type="dxa"/>
              <w:right w:w="100" w:type="dxa"/>
            </w:tcMar>
          </w:tcPr>
          <w:p w14:paraId="22000588" w14:textId="77777777" w:rsidR="00A20DC9" w:rsidRDefault="00617263">
            <w:pPr>
              <w:spacing w:before="80" w:after="80"/>
              <w:jc w:val="center"/>
            </w:pPr>
            <w:r>
              <w:rPr>
                <w:rFonts w:ascii="Times New Roman" w:hAnsi="Times New Roman"/>
                <w:b/>
                <w:color w:val="FFFFFF"/>
                <w:sz w:val="24"/>
              </w:rPr>
              <w:t>Expected Benefit</w:t>
            </w:r>
          </w:p>
        </w:tc>
        <w:tc>
          <w:tcPr>
            <w:tcW w:w="1152" w:type="dxa"/>
            <w:shd w:val="clear" w:color="auto" w:fill="003366"/>
            <w:tcMar>
              <w:top w:w="120" w:type="dxa"/>
              <w:left w:w="100" w:type="dxa"/>
              <w:bottom w:w="120" w:type="dxa"/>
              <w:right w:w="100" w:type="dxa"/>
            </w:tcMar>
          </w:tcPr>
          <w:p w14:paraId="75E0F191" w14:textId="77777777" w:rsidR="00A20DC9" w:rsidRDefault="00617263">
            <w:pPr>
              <w:spacing w:before="80" w:after="80"/>
              <w:jc w:val="center"/>
            </w:pPr>
            <w:r>
              <w:rPr>
                <w:rFonts w:ascii="Times New Roman" w:hAnsi="Times New Roman"/>
                <w:b/>
                <w:color w:val="FFFFFF"/>
                <w:sz w:val="24"/>
              </w:rPr>
              <w:t>Priority</w:t>
            </w:r>
          </w:p>
        </w:tc>
        <w:tc>
          <w:tcPr>
            <w:tcW w:w="1440" w:type="dxa"/>
            <w:shd w:val="clear" w:color="auto" w:fill="003366"/>
            <w:tcMar>
              <w:top w:w="120" w:type="dxa"/>
              <w:left w:w="100" w:type="dxa"/>
              <w:bottom w:w="120" w:type="dxa"/>
              <w:right w:w="100" w:type="dxa"/>
            </w:tcMar>
          </w:tcPr>
          <w:p w14:paraId="51A04C99" w14:textId="77777777" w:rsidR="00A20DC9" w:rsidRDefault="00617263">
            <w:pPr>
              <w:spacing w:before="80" w:after="80"/>
              <w:jc w:val="center"/>
            </w:pPr>
            <w:r>
              <w:rPr>
                <w:rFonts w:ascii="Times New Roman" w:hAnsi="Times New Roman"/>
                <w:b/>
                <w:color w:val="FFFFFF"/>
                <w:sz w:val="24"/>
              </w:rPr>
              <w:t>Implementation Difficulty</w:t>
            </w:r>
          </w:p>
        </w:tc>
      </w:tr>
      <w:tr w:rsidR="00A20DC9" w14:paraId="6E15E09A" w14:textId="77777777">
        <w:trPr>
          <w:jc w:val="center"/>
        </w:trPr>
        <w:tc>
          <w:tcPr>
            <w:tcW w:w="2160" w:type="dxa"/>
            <w:shd w:val="clear" w:color="auto" w:fill="FFFFFF"/>
            <w:tcMar>
              <w:top w:w="100" w:type="dxa"/>
              <w:left w:w="100" w:type="dxa"/>
              <w:bottom w:w="100" w:type="dxa"/>
              <w:right w:w="100" w:type="dxa"/>
            </w:tcMar>
          </w:tcPr>
          <w:p w14:paraId="6AF6E863" w14:textId="77777777" w:rsidR="00A20DC9" w:rsidRDefault="00617263">
            <w:pPr>
              <w:spacing w:before="60" w:after="60"/>
            </w:pPr>
            <w:r>
              <w:rPr>
                <w:rFonts w:ascii="Times New Roman" w:hAnsi="Times New Roman"/>
                <w:sz w:val="24"/>
              </w:rPr>
              <w:t xml:space="preserve">Target circuits where the points pivot table shows the </w:t>
            </w:r>
            <w:r>
              <w:rPr>
                <w:rFonts w:ascii="Times New Roman" w:hAnsi="Times New Roman"/>
                <w:sz w:val="24"/>
              </w:rPr>
              <w:t>largest gap versus top constructors</w:t>
            </w:r>
          </w:p>
        </w:tc>
        <w:tc>
          <w:tcPr>
            <w:tcW w:w="3168" w:type="dxa"/>
            <w:shd w:val="clear" w:color="auto" w:fill="FFFFFF"/>
            <w:tcMar>
              <w:top w:w="100" w:type="dxa"/>
              <w:left w:w="100" w:type="dxa"/>
              <w:bottom w:w="100" w:type="dxa"/>
              <w:right w:w="100" w:type="dxa"/>
            </w:tcMar>
          </w:tcPr>
          <w:p w14:paraId="1D3DFB8E" w14:textId="77777777" w:rsidR="00A20DC9" w:rsidRDefault="00617263">
            <w:pPr>
              <w:spacing w:before="60" w:after="60"/>
            </w:pPr>
            <w:r>
              <w:rPr>
                <w:rFonts w:ascii="Times New Roman" w:hAnsi="Times New Roman"/>
                <w:sz w:val="24"/>
              </w:rPr>
              <w:t>The Points by circuit vs Top Constructors pivot table shows meaningful variation in points by circuit and constructor; concentrating aerodynamic development on the circuits where a team trails most closely could yield th</w:t>
            </w:r>
            <w:r>
              <w:rPr>
                <w:rFonts w:ascii="Times New Roman" w:hAnsi="Times New Roman"/>
                <w:sz w:val="24"/>
              </w:rPr>
              <w:t>e highest marginal points return.</w:t>
            </w:r>
          </w:p>
        </w:tc>
        <w:tc>
          <w:tcPr>
            <w:tcW w:w="2160" w:type="dxa"/>
            <w:shd w:val="clear" w:color="auto" w:fill="FFFFFF"/>
            <w:tcMar>
              <w:top w:w="100" w:type="dxa"/>
              <w:left w:w="100" w:type="dxa"/>
              <w:bottom w:w="100" w:type="dxa"/>
              <w:right w:w="100" w:type="dxa"/>
            </w:tcMar>
          </w:tcPr>
          <w:p w14:paraId="6DE8251D" w14:textId="77777777" w:rsidR="00A20DC9" w:rsidRDefault="00617263">
            <w:pPr>
              <w:spacing w:before="60" w:after="60"/>
            </w:pPr>
            <w:r>
              <w:rPr>
                <w:rFonts w:ascii="Times New Roman" w:hAnsi="Times New Roman"/>
                <w:sz w:val="24"/>
              </w:rPr>
              <w:t>Increased likelihood of top-six finishes at the identified circuits.</w:t>
            </w:r>
          </w:p>
        </w:tc>
        <w:tc>
          <w:tcPr>
            <w:tcW w:w="1152" w:type="dxa"/>
            <w:shd w:val="clear" w:color="auto" w:fill="FFFFFF"/>
            <w:tcMar>
              <w:top w:w="100" w:type="dxa"/>
              <w:left w:w="100" w:type="dxa"/>
              <w:bottom w:w="100" w:type="dxa"/>
              <w:right w:w="100" w:type="dxa"/>
            </w:tcMar>
          </w:tcPr>
          <w:p w14:paraId="7DE4C204" w14:textId="77777777" w:rsidR="00A20DC9" w:rsidRDefault="00617263">
            <w:pPr>
              <w:spacing w:before="60" w:after="60"/>
              <w:jc w:val="center"/>
            </w:pPr>
            <w:r>
              <w:rPr>
                <w:rFonts w:ascii="Times New Roman" w:hAnsi="Times New Roman"/>
                <w:sz w:val="24"/>
              </w:rPr>
              <w:t>High</w:t>
            </w:r>
          </w:p>
        </w:tc>
        <w:tc>
          <w:tcPr>
            <w:tcW w:w="1440" w:type="dxa"/>
            <w:shd w:val="clear" w:color="auto" w:fill="FFFFFF"/>
            <w:tcMar>
              <w:top w:w="100" w:type="dxa"/>
              <w:left w:w="100" w:type="dxa"/>
              <w:bottom w:w="100" w:type="dxa"/>
              <w:right w:w="100" w:type="dxa"/>
            </w:tcMar>
          </w:tcPr>
          <w:p w14:paraId="4BF416A7" w14:textId="77777777" w:rsidR="00A20DC9" w:rsidRDefault="00617263">
            <w:pPr>
              <w:spacing w:before="60" w:after="60"/>
              <w:jc w:val="center"/>
            </w:pPr>
            <w:r>
              <w:rPr>
                <w:rFonts w:ascii="Times New Roman" w:hAnsi="Times New Roman"/>
                <w:sz w:val="24"/>
              </w:rPr>
              <w:t>Medium</w:t>
            </w:r>
          </w:p>
        </w:tc>
      </w:tr>
      <w:tr w:rsidR="00A20DC9" w14:paraId="65D2F5DF" w14:textId="77777777">
        <w:trPr>
          <w:jc w:val="center"/>
        </w:trPr>
        <w:tc>
          <w:tcPr>
            <w:tcW w:w="2160" w:type="dxa"/>
            <w:shd w:val="clear" w:color="auto" w:fill="F4F6F9"/>
            <w:tcMar>
              <w:top w:w="100" w:type="dxa"/>
              <w:left w:w="100" w:type="dxa"/>
              <w:bottom w:w="100" w:type="dxa"/>
              <w:right w:w="100" w:type="dxa"/>
            </w:tcMar>
          </w:tcPr>
          <w:p w14:paraId="58566F47" w14:textId="77777777" w:rsidR="00A20DC9" w:rsidRDefault="00617263">
            <w:pPr>
              <w:spacing w:before="60" w:after="60"/>
            </w:pPr>
            <w:r>
              <w:rPr>
                <w:rFonts w:ascii="Times New Roman" w:hAnsi="Times New Roman"/>
                <w:sz w:val="24"/>
              </w:rPr>
              <w:t>Prioritise sub-two-second pit stop execution</w:t>
            </w:r>
          </w:p>
        </w:tc>
        <w:tc>
          <w:tcPr>
            <w:tcW w:w="3168" w:type="dxa"/>
            <w:shd w:val="clear" w:color="auto" w:fill="F4F6F9"/>
            <w:tcMar>
              <w:top w:w="100" w:type="dxa"/>
              <w:left w:w="100" w:type="dxa"/>
              <w:bottom w:w="100" w:type="dxa"/>
              <w:right w:w="100" w:type="dxa"/>
            </w:tcMar>
          </w:tcPr>
          <w:p w14:paraId="06F7D009" w14:textId="77777777" w:rsidR="00A20DC9" w:rsidRDefault="00617263">
            <w:pPr>
              <w:spacing w:before="60" w:after="60"/>
            </w:pPr>
            <w:r>
              <w:rPr>
                <w:rFonts w:ascii="Times New Roman" w:hAnsi="Times New Roman"/>
                <w:sz w:val="24"/>
              </w:rPr>
              <w:t>The Total Pit Stops by driver chart shows high career pit stop volumes for modern-era drivers†,</w:t>
            </w:r>
            <w:r>
              <w:rPr>
                <w:rFonts w:ascii="Times New Roman" w:hAnsi="Times New Roman"/>
                <w:sz w:val="24"/>
              </w:rPr>
              <w:t xml:space="preserve"> indicating that operational pit speed has a direct bearing on track position in multi-stop eras.</w:t>
            </w:r>
          </w:p>
        </w:tc>
        <w:tc>
          <w:tcPr>
            <w:tcW w:w="2160" w:type="dxa"/>
            <w:shd w:val="clear" w:color="auto" w:fill="F4F6F9"/>
            <w:tcMar>
              <w:top w:w="100" w:type="dxa"/>
              <w:left w:w="100" w:type="dxa"/>
              <w:bottom w:w="100" w:type="dxa"/>
              <w:right w:w="100" w:type="dxa"/>
            </w:tcMar>
          </w:tcPr>
          <w:p w14:paraId="6BF4A98E" w14:textId="77777777" w:rsidR="00A20DC9" w:rsidRDefault="00617263">
            <w:pPr>
              <w:spacing w:before="60" w:after="60"/>
            </w:pPr>
            <w:r>
              <w:rPr>
                <w:rFonts w:ascii="Times New Roman" w:hAnsi="Times New Roman"/>
                <w:sz w:val="24"/>
              </w:rPr>
              <w:t>Direct gain of 1–3 seconds of track position per race without additional engine development cost.</w:t>
            </w:r>
          </w:p>
        </w:tc>
        <w:tc>
          <w:tcPr>
            <w:tcW w:w="1152" w:type="dxa"/>
            <w:shd w:val="clear" w:color="auto" w:fill="F4F6F9"/>
            <w:tcMar>
              <w:top w:w="100" w:type="dxa"/>
              <w:left w:w="100" w:type="dxa"/>
              <w:bottom w:w="100" w:type="dxa"/>
              <w:right w:w="100" w:type="dxa"/>
            </w:tcMar>
          </w:tcPr>
          <w:p w14:paraId="2419A6F2" w14:textId="77777777" w:rsidR="00A20DC9" w:rsidRDefault="00617263">
            <w:pPr>
              <w:spacing w:before="60" w:after="60"/>
              <w:jc w:val="center"/>
            </w:pPr>
            <w:r>
              <w:rPr>
                <w:rFonts w:ascii="Times New Roman" w:hAnsi="Times New Roman"/>
                <w:sz w:val="24"/>
              </w:rPr>
              <w:t>High</w:t>
            </w:r>
          </w:p>
        </w:tc>
        <w:tc>
          <w:tcPr>
            <w:tcW w:w="1440" w:type="dxa"/>
            <w:shd w:val="clear" w:color="auto" w:fill="F4F6F9"/>
            <w:tcMar>
              <w:top w:w="100" w:type="dxa"/>
              <w:left w:w="100" w:type="dxa"/>
              <w:bottom w:w="100" w:type="dxa"/>
              <w:right w:w="100" w:type="dxa"/>
            </w:tcMar>
          </w:tcPr>
          <w:p w14:paraId="07265D39" w14:textId="77777777" w:rsidR="00A20DC9" w:rsidRDefault="00617263">
            <w:pPr>
              <w:spacing w:before="60" w:after="60"/>
              <w:jc w:val="center"/>
            </w:pPr>
            <w:r>
              <w:rPr>
                <w:rFonts w:ascii="Times New Roman" w:hAnsi="Times New Roman"/>
                <w:sz w:val="24"/>
              </w:rPr>
              <w:t>Low</w:t>
            </w:r>
          </w:p>
        </w:tc>
      </w:tr>
      <w:tr w:rsidR="00A20DC9" w14:paraId="32F68828" w14:textId="77777777">
        <w:trPr>
          <w:jc w:val="center"/>
        </w:trPr>
        <w:tc>
          <w:tcPr>
            <w:tcW w:w="2160" w:type="dxa"/>
            <w:shd w:val="clear" w:color="auto" w:fill="FFFFFF"/>
            <w:tcMar>
              <w:top w:w="100" w:type="dxa"/>
              <w:left w:w="100" w:type="dxa"/>
              <w:bottom w:w="100" w:type="dxa"/>
              <w:right w:w="100" w:type="dxa"/>
            </w:tcMar>
          </w:tcPr>
          <w:p w14:paraId="692F659E" w14:textId="77777777" w:rsidR="00A20DC9" w:rsidRDefault="00617263">
            <w:pPr>
              <w:spacing w:before="60" w:after="60"/>
            </w:pPr>
            <w:r>
              <w:rPr>
                <w:rFonts w:ascii="Times New Roman" w:hAnsi="Times New Roman"/>
                <w:sz w:val="24"/>
              </w:rPr>
              <w:t>Align R&amp;D cycles with regulatory reset years</w:t>
            </w:r>
          </w:p>
        </w:tc>
        <w:tc>
          <w:tcPr>
            <w:tcW w:w="3168" w:type="dxa"/>
            <w:shd w:val="clear" w:color="auto" w:fill="FFFFFF"/>
            <w:tcMar>
              <w:top w:w="100" w:type="dxa"/>
              <w:left w:w="100" w:type="dxa"/>
              <w:bottom w:w="100" w:type="dxa"/>
              <w:right w:w="100" w:type="dxa"/>
            </w:tcMar>
          </w:tcPr>
          <w:p w14:paraId="5A5A5708" w14:textId="77777777" w:rsidR="00A20DC9" w:rsidRDefault="00617263">
            <w:pPr>
              <w:spacing w:before="60" w:after="60"/>
            </w:pPr>
            <w:r>
              <w:rPr>
                <w:rFonts w:ascii="Times New Roman" w:hAnsi="Times New Roman"/>
                <w:sz w:val="24"/>
              </w:rPr>
              <w:t>The Points Trend by top 5 Constructors chart shows constructor dominance periods (e.g., Ferrari early 2000s, Mercedes 2014–2020) beginning close to the start of major rule changes.</w:t>
            </w:r>
          </w:p>
        </w:tc>
        <w:tc>
          <w:tcPr>
            <w:tcW w:w="2160" w:type="dxa"/>
            <w:shd w:val="clear" w:color="auto" w:fill="FFFFFF"/>
            <w:tcMar>
              <w:top w:w="100" w:type="dxa"/>
              <w:left w:w="100" w:type="dxa"/>
              <w:bottom w:w="100" w:type="dxa"/>
              <w:right w:w="100" w:type="dxa"/>
            </w:tcMar>
          </w:tcPr>
          <w:p w14:paraId="56C9B8AE" w14:textId="77777777" w:rsidR="00A20DC9" w:rsidRDefault="00617263">
            <w:pPr>
              <w:spacing w:before="60" w:after="60"/>
            </w:pPr>
            <w:r>
              <w:rPr>
                <w:rFonts w:ascii="Times New Roman" w:hAnsi="Times New Roman"/>
                <w:sz w:val="24"/>
              </w:rPr>
              <w:t>Sustained multi-year competitive advantage from allocating capital ahead of</w:t>
            </w:r>
            <w:r>
              <w:rPr>
                <w:rFonts w:ascii="Times New Roman" w:hAnsi="Times New Roman"/>
                <w:sz w:val="24"/>
              </w:rPr>
              <w:t xml:space="preserve"> regulatory shifts.</w:t>
            </w:r>
          </w:p>
        </w:tc>
        <w:tc>
          <w:tcPr>
            <w:tcW w:w="1152" w:type="dxa"/>
            <w:shd w:val="clear" w:color="auto" w:fill="FFFFFF"/>
            <w:tcMar>
              <w:top w:w="100" w:type="dxa"/>
              <w:left w:w="100" w:type="dxa"/>
              <w:bottom w:w="100" w:type="dxa"/>
              <w:right w:w="100" w:type="dxa"/>
            </w:tcMar>
          </w:tcPr>
          <w:p w14:paraId="13BEBED5" w14:textId="77777777" w:rsidR="00A20DC9" w:rsidRDefault="00617263">
            <w:pPr>
              <w:spacing w:before="60" w:after="60"/>
              <w:jc w:val="center"/>
            </w:pPr>
            <w:r>
              <w:rPr>
                <w:rFonts w:ascii="Times New Roman" w:hAnsi="Times New Roman"/>
                <w:sz w:val="24"/>
              </w:rPr>
              <w:t>High</w:t>
            </w:r>
          </w:p>
        </w:tc>
        <w:tc>
          <w:tcPr>
            <w:tcW w:w="1440" w:type="dxa"/>
            <w:shd w:val="clear" w:color="auto" w:fill="FFFFFF"/>
            <w:tcMar>
              <w:top w:w="100" w:type="dxa"/>
              <w:left w:w="100" w:type="dxa"/>
              <w:bottom w:w="100" w:type="dxa"/>
              <w:right w:w="100" w:type="dxa"/>
            </w:tcMar>
          </w:tcPr>
          <w:p w14:paraId="17ABC022" w14:textId="77777777" w:rsidR="00A20DC9" w:rsidRDefault="00617263">
            <w:pPr>
              <w:spacing w:before="60" w:after="60"/>
              <w:jc w:val="center"/>
            </w:pPr>
            <w:r>
              <w:rPr>
                <w:rFonts w:ascii="Times New Roman" w:hAnsi="Times New Roman"/>
                <w:sz w:val="24"/>
              </w:rPr>
              <w:t>High</w:t>
            </w:r>
          </w:p>
        </w:tc>
      </w:tr>
      <w:tr w:rsidR="00A20DC9" w14:paraId="7DAE36D7" w14:textId="77777777">
        <w:trPr>
          <w:jc w:val="center"/>
        </w:trPr>
        <w:tc>
          <w:tcPr>
            <w:tcW w:w="2160" w:type="dxa"/>
            <w:shd w:val="clear" w:color="auto" w:fill="F4F6F9"/>
            <w:tcMar>
              <w:top w:w="100" w:type="dxa"/>
              <w:left w:w="100" w:type="dxa"/>
              <w:bottom w:w="100" w:type="dxa"/>
              <w:right w:w="100" w:type="dxa"/>
            </w:tcMar>
          </w:tcPr>
          <w:p w14:paraId="36D23C06" w14:textId="77777777" w:rsidR="00A20DC9" w:rsidRDefault="00617263">
            <w:pPr>
              <w:spacing w:before="60" w:after="60"/>
            </w:pPr>
            <w:r>
              <w:rPr>
                <w:rFonts w:ascii="Times New Roman" w:hAnsi="Times New Roman"/>
                <w:sz w:val="24"/>
              </w:rPr>
              <w:t>Expand regional driver academy investment</w:t>
            </w:r>
          </w:p>
        </w:tc>
        <w:tc>
          <w:tcPr>
            <w:tcW w:w="3168" w:type="dxa"/>
            <w:shd w:val="clear" w:color="auto" w:fill="F4F6F9"/>
            <w:tcMar>
              <w:top w:w="100" w:type="dxa"/>
              <w:left w:w="100" w:type="dxa"/>
              <w:bottom w:w="100" w:type="dxa"/>
              <w:right w:w="100" w:type="dxa"/>
            </w:tcMar>
          </w:tcPr>
          <w:p w14:paraId="3A5595AF" w14:textId="77777777" w:rsidR="00A20DC9" w:rsidRDefault="00617263">
            <w:pPr>
              <w:spacing w:before="60" w:after="60"/>
            </w:pPr>
            <w:r>
              <w:rPr>
                <w:rFonts w:ascii="Times New Roman" w:hAnsi="Times New Roman"/>
                <w:sz w:val="24"/>
              </w:rPr>
              <w:t xml:space="preserve">The Total Points by Country map shows points generation concentrated in a small number of countries, historically led by Western Europe†; expanding scouting elsewhere could </w:t>
            </w:r>
            <w:r>
              <w:rPr>
                <w:rFonts w:ascii="Times New Roman" w:hAnsi="Times New Roman"/>
                <w:sz w:val="24"/>
              </w:rPr>
              <w:t xml:space="preserve">unlock </w:t>
            </w:r>
            <w:r>
              <w:rPr>
                <w:rFonts w:ascii="Times New Roman" w:hAnsi="Times New Roman"/>
                <w:sz w:val="24"/>
              </w:rPr>
              <w:lastRenderedPageBreak/>
              <w:t>untapped talent pools.</w:t>
            </w:r>
          </w:p>
        </w:tc>
        <w:tc>
          <w:tcPr>
            <w:tcW w:w="2160" w:type="dxa"/>
            <w:shd w:val="clear" w:color="auto" w:fill="F4F6F9"/>
            <w:tcMar>
              <w:top w:w="100" w:type="dxa"/>
              <w:left w:w="100" w:type="dxa"/>
              <w:bottom w:w="100" w:type="dxa"/>
              <w:right w:w="100" w:type="dxa"/>
            </w:tcMar>
          </w:tcPr>
          <w:p w14:paraId="005C3CCF" w14:textId="77777777" w:rsidR="00A20DC9" w:rsidRDefault="00617263">
            <w:pPr>
              <w:spacing w:before="60" w:after="60"/>
            </w:pPr>
            <w:r>
              <w:rPr>
                <w:rFonts w:ascii="Times New Roman" w:hAnsi="Times New Roman"/>
                <w:sz w:val="24"/>
              </w:rPr>
              <w:lastRenderedPageBreak/>
              <w:t>Broader sponsorship reach and earlier access to talent from under-represented regions.</w:t>
            </w:r>
          </w:p>
        </w:tc>
        <w:tc>
          <w:tcPr>
            <w:tcW w:w="1152" w:type="dxa"/>
            <w:shd w:val="clear" w:color="auto" w:fill="F4F6F9"/>
            <w:tcMar>
              <w:top w:w="100" w:type="dxa"/>
              <w:left w:w="100" w:type="dxa"/>
              <w:bottom w:w="100" w:type="dxa"/>
              <w:right w:w="100" w:type="dxa"/>
            </w:tcMar>
          </w:tcPr>
          <w:p w14:paraId="6D9589B1" w14:textId="77777777" w:rsidR="00A20DC9" w:rsidRDefault="00617263">
            <w:pPr>
              <w:spacing w:before="60" w:after="60"/>
              <w:jc w:val="center"/>
            </w:pPr>
            <w:r>
              <w:rPr>
                <w:rFonts w:ascii="Times New Roman" w:hAnsi="Times New Roman"/>
                <w:sz w:val="24"/>
              </w:rPr>
              <w:t>Medium</w:t>
            </w:r>
          </w:p>
        </w:tc>
        <w:tc>
          <w:tcPr>
            <w:tcW w:w="1440" w:type="dxa"/>
            <w:shd w:val="clear" w:color="auto" w:fill="F4F6F9"/>
            <w:tcMar>
              <w:top w:w="100" w:type="dxa"/>
              <w:left w:w="100" w:type="dxa"/>
              <w:bottom w:w="100" w:type="dxa"/>
              <w:right w:w="100" w:type="dxa"/>
            </w:tcMar>
          </w:tcPr>
          <w:p w14:paraId="1CD049DC" w14:textId="77777777" w:rsidR="00A20DC9" w:rsidRDefault="00617263">
            <w:pPr>
              <w:spacing w:before="60" w:after="60"/>
              <w:jc w:val="center"/>
            </w:pPr>
            <w:r>
              <w:rPr>
                <w:rFonts w:ascii="Times New Roman" w:hAnsi="Times New Roman"/>
                <w:sz w:val="24"/>
              </w:rPr>
              <w:t>Medium</w:t>
            </w:r>
          </w:p>
        </w:tc>
      </w:tr>
      <w:tr w:rsidR="00A20DC9" w14:paraId="3F1F2F7D" w14:textId="77777777">
        <w:trPr>
          <w:jc w:val="center"/>
        </w:trPr>
        <w:tc>
          <w:tcPr>
            <w:tcW w:w="2160" w:type="dxa"/>
            <w:shd w:val="clear" w:color="auto" w:fill="FFFFFF"/>
            <w:tcMar>
              <w:top w:w="100" w:type="dxa"/>
              <w:left w:w="100" w:type="dxa"/>
              <w:bottom w:w="100" w:type="dxa"/>
              <w:right w:w="100" w:type="dxa"/>
            </w:tcMar>
          </w:tcPr>
          <w:p w14:paraId="1F7ABF9B" w14:textId="77777777" w:rsidR="00A20DC9" w:rsidRDefault="00617263">
            <w:pPr>
              <w:spacing w:before="60" w:after="60"/>
            </w:pPr>
            <w:r>
              <w:rPr>
                <w:rFonts w:ascii="Times New Roman" w:hAnsi="Times New Roman"/>
                <w:sz w:val="24"/>
              </w:rPr>
              <w:t>Standardise the data pipeline ahead of any live-telemetry expansion</w:t>
            </w:r>
          </w:p>
        </w:tc>
        <w:tc>
          <w:tcPr>
            <w:tcW w:w="3168" w:type="dxa"/>
            <w:shd w:val="clear" w:color="auto" w:fill="FFFFFF"/>
            <w:tcMar>
              <w:top w:w="100" w:type="dxa"/>
              <w:left w:w="100" w:type="dxa"/>
              <w:bottom w:w="100" w:type="dxa"/>
              <w:right w:w="100" w:type="dxa"/>
            </w:tcMar>
          </w:tcPr>
          <w:p w14:paraId="43156D8F" w14:textId="77777777" w:rsidR="00A20DC9" w:rsidRDefault="00617263">
            <w:pPr>
              <w:spacing w:before="60" w:after="60"/>
            </w:pPr>
            <w:r>
              <w:rPr>
                <w:rFonts w:ascii="Times New Roman" w:hAnsi="Times New Roman"/>
                <w:sz w:val="24"/>
              </w:rPr>
              <w:t xml:space="preserve">Building this report highlighted the value of a </w:t>
            </w:r>
            <w:r>
              <w:rPr>
                <w:rFonts w:ascii="Times New Roman" w:hAnsi="Times New Roman"/>
                <w:sz w:val="24"/>
              </w:rPr>
              <w:t>clean star schema (DimDriver, DimConstructor, DimCircuit, DimDate) for reliable reporting; extending this structure would ease any future move to real-time data.</w:t>
            </w:r>
          </w:p>
        </w:tc>
        <w:tc>
          <w:tcPr>
            <w:tcW w:w="2160" w:type="dxa"/>
            <w:shd w:val="clear" w:color="auto" w:fill="FFFFFF"/>
            <w:tcMar>
              <w:top w:w="100" w:type="dxa"/>
              <w:left w:w="100" w:type="dxa"/>
              <w:bottom w:w="100" w:type="dxa"/>
              <w:right w:w="100" w:type="dxa"/>
            </w:tcMar>
          </w:tcPr>
          <w:p w14:paraId="2818CF08" w14:textId="77777777" w:rsidR="00A20DC9" w:rsidRDefault="00617263">
            <w:pPr>
              <w:spacing w:before="60" w:after="60"/>
            </w:pPr>
            <w:r>
              <w:rPr>
                <w:rFonts w:ascii="Times New Roman" w:hAnsi="Times New Roman"/>
                <w:sz w:val="24"/>
              </w:rPr>
              <w:t>Faster strategy modelling and more reliable reporting as new data sources are added.</w:t>
            </w:r>
          </w:p>
        </w:tc>
        <w:tc>
          <w:tcPr>
            <w:tcW w:w="1152" w:type="dxa"/>
            <w:shd w:val="clear" w:color="auto" w:fill="FFFFFF"/>
            <w:tcMar>
              <w:top w:w="100" w:type="dxa"/>
              <w:left w:w="100" w:type="dxa"/>
              <w:bottom w:w="100" w:type="dxa"/>
              <w:right w:w="100" w:type="dxa"/>
            </w:tcMar>
          </w:tcPr>
          <w:p w14:paraId="5ACB35B4" w14:textId="77777777" w:rsidR="00A20DC9" w:rsidRDefault="00617263">
            <w:pPr>
              <w:spacing w:before="60" w:after="60"/>
              <w:jc w:val="center"/>
            </w:pPr>
            <w:r>
              <w:rPr>
                <w:rFonts w:ascii="Times New Roman" w:hAnsi="Times New Roman"/>
                <w:sz w:val="24"/>
              </w:rPr>
              <w:t>Medium</w:t>
            </w:r>
          </w:p>
        </w:tc>
        <w:tc>
          <w:tcPr>
            <w:tcW w:w="1440" w:type="dxa"/>
            <w:shd w:val="clear" w:color="auto" w:fill="FFFFFF"/>
            <w:tcMar>
              <w:top w:w="100" w:type="dxa"/>
              <w:left w:w="100" w:type="dxa"/>
              <w:bottom w:w="100" w:type="dxa"/>
              <w:right w:w="100" w:type="dxa"/>
            </w:tcMar>
          </w:tcPr>
          <w:p w14:paraId="40D82563" w14:textId="77777777" w:rsidR="00A20DC9" w:rsidRDefault="00617263">
            <w:pPr>
              <w:spacing w:before="60" w:after="60"/>
              <w:jc w:val="center"/>
            </w:pPr>
            <w:r>
              <w:rPr>
                <w:rFonts w:ascii="Times New Roman" w:hAnsi="Times New Roman"/>
                <w:sz w:val="24"/>
              </w:rPr>
              <w:t>Lo</w:t>
            </w:r>
            <w:r>
              <w:rPr>
                <w:rFonts w:ascii="Times New Roman" w:hAnsi="Times New Roman"/>
                <w:sz w:val="24"/>
              </w:rPr>
              <w:t>w</w:t>
            </w:r>
          </w:p>
        </w:tc>
      </w:tr>
    </w:tbl>
    <w:p w14:paraId="2A6DB729" w14:textId="77777777" w:rsidR="00A20DC9" w:rsidRDefault="00617263">
      <w:pPr>
        <w:keepNext/>
        <w:spacing w:before="280" w:after="120"/>
      </w:pPr>
      <w:r>
        <w:rPr>
          <w:rFonts w:ascii="Times New Roman" w:hAnsi="Times New Roman"/>
          <w:b/>
          <w:color w:val="003366"/>
          <w:sz w:val="24"/>
        </w:rPr>
        <w:t>2. Presentation Script</w:t>
      </w:r>
    </w:p>
    <w:p w14:paraId="4E18772F" w14:textId="77777777" w:rsidR="00A20DC9" w:rsidRDefault="00617263">
      <w:pPr>
        <w:keepNext/>
        <w:spacing w:before="200" w:after="80"/>
      </w:pPr>
      <w:r>
        <w:rPr>
          <w:rFonts w:ascii="Times New Roman" w:hAnsi="Times New Roman"/>
          <w:b/>
          <w:i/>
          <w:color w:val="003366"/>
          <w:sz w:val="24"/>
        </w:rPr>
        <w:t>Title &amp; Executive Context</w:t>
      </w:r>
    </w:p>
    <w:p w14:paraId="1BA1375E" w14:textId="77777777" w:rsidR="00A20DC9" w:rsidRDefault="00617263">
      <w:pPr>
        <w:spacing w:after="120"/>
      </w:pPr>
      <w:r>
        <w:rPr>
          <w:rFonts w:ascii="Times New Roman" w:hAnsi="Times New Roman"/>
          <w:i/>
          <w:sz w:val="24"/>
        </w:rPr>
        <w:t xml:space="preserve">"Today we are walking through a business intelligence report evaluating Formula 1 World Championship performance data from 1950 through 2020. Using Power BI, we modelled Grand Prix race results, </w:t>
      </w:r>
      <w:r>
        <w:rPr>
          <w:rFonts w:ascii="Times New Roman" w:hAnsi="Times New Roman"/>
          <w:i/>
          <w:sz w:val="24"/>
        </w:rPr>
        <w:t>constructor and driver performance, pit stop activity, and championship points into an interactive dashboard. Our goal is to examine what separates temporary winning streaks from sustained dominance, how circuit and country-level results vary, and where op</w:t>
      </w:r>
      <w:r>
        <w:rPr>
          <w:rFonts w:ascii="Times New Roman" w:hAnsi="Times New Roman"/>
          <w:i/>
          <w:sz w:val="24"/>
        </w:rPr>
        <w:t>erational execution — particularly pit stops — has the most influence on outcomes."</w:t>
      </w:r>
    </w:p>
    <w:p w14:paraId="12D5DD34" w14:textId="77777777" w:rsidR="00A20DC9" w:rsidRDefault="00617263">
      <w:pPr>
        <w:keepNext/>
        <w:spacing w:before="200" w:after="80"/>
      </w:pPr>
      <w:r>
        <w:rPr>
          <w:rFonts w:ascii="Times New Roman" w:hAnsi="Times New Roman"/>
          <w:b/>
          <w:i/>
          <w:color w:val="003366"/>
          <w:sz w:val="24"/>
        </w:rPr>
        <w:t>Driver Performance</w:t>
      </w:r>
    </w:p>
    <w:p w14:paraId="3193D561" w14:textId="77777777" w:rsidR="00A20DC9" w:rsidRDefault="00617263">
      <w:pPr>
        <w:spacing w:after="120"/>
      </w:pPr>
      <w:r>
        <w:rPr>
          <w:rFonts w:ascii="Times New Roman" w:hAnsi="Times New Roman"/>
          <w:i/>
          <w:sz w:val="24"/>
        </w:rPr>
        <w:t>"Looking first at overall driver performance: the Win Distribution by Driver treemap shows career victories heavily concentrated among a small group of e</w:t>
      </w:r>
      <w:r>
        <w:rPr>
          <w:rFonts w:ascii="Times New Roman" w:hAnsi="Times New Roman"/>
          <w:i/>
          <w:sz w:val="24"/>
        </w:rPr>
        <w:t>lite drivers. Lewis Hamilton and Michael Schumacher lead overall career wins by a clear margin†. The Wins Trend by top 5 Drivers chart shows that these wins are not spread evenly across each driver's career — they cluster within specific multi-year windows</w:t>
      </w:r>
      <w:r>
        <w:rPr>
          <w:rFonts w:ascii="Times New Roman" w:hAnsi="Times New Roman"/>
          <w:i/>
          <w:sz w:val="24"/>
        </w:rPr>
        <w:t>, most visibly for Hamilton from 2014 onward and for Schumacher in the early 2000s. Top driver success tracks closely with periods of constructor engineering stability."</w:t>
      </w:r>
    </w:p>
    <w:p w14:paraId="0F6DBAA4" w14:textId="77777777" w:rsidR="00A20DC9" w:rsidRDefault="00617263">
      <w:pPr>
        <w:keepNext/>
        <w:spacing w:before="200" w:after="80"/>
      </w:pPr>
      <w:r>
        <w:rPr>
          <w:rFonts w:ascii="Times New Roman" w:hAnsi="Times New Roman"/>
          <w:b/>
          <w:i/>
          <w:color w:val="003366"/>
          <w:sz w:val="24"/>
        </w:rPr>
        <w:t>Constructor Analysis</w:t>
      </w:r>
    </w:p>
    <w:p w14:paraId="7F9DD53B" w14:textId="77777777" w:rsidR="00A20DC9" w:rsidRDefault="00617263">
      <w:pPr>
        <w:spacing w:after="120"/>
      </w:pPr>
      <w:r>
        <w:rPr>
          <w:rFonts w:ascii="Times New Roman" w:hAnsi="Times New Roman"/>
          <w:i/>
          <w:sz w:val="24"/>
        </w:rPr>
        <w:t>"Scuderia Ferrari holds the highest overall historical win total,</w:t>
      </w:r>
      <w:r>
        <w:rPr>
          <w:rFonts w:ascii="Times New Roman" w:hAnsi="Times New Roman"/>
          <w:i/>
          <w:sz w:val="24"/>
        </w:rPr>
        <w:t xml:space="preserve"> reflecting continuous participation since 1950. But the Points Trend by top 5 Constructors chart tells a different story for recent seasons: Mercedes' points output rises sharply within a much shorter, seven-season window from 2014 to 2020, compared with </w:t>
      </w:r>
      <w:r>
        <w:rPr>
          <w:rFonts w:ascii="Times New Roman" w:hAnsi="Times New Roman"/>
          <w:i/>
          <w:sz w:val="24"/>
        </w:rPr>
        <w:t>the longer, steadier accumulation shown by historical constructors such as McLaren and Williams. This suggests that centralised, proprietary power-unit development can produce faster, steeper dominance curves than were typical in earlier decades."</w:t>
      </w:r>
    </w:p>
    <w:p w14:paraId="650A265A" w14:textId="77777777" w:rsidR="00A20DC9" w:rsidRDefault="00617263">
      <w:pPr>
        <w:keepNext/>
        <w:spacing w:before="200" w:after="80"/>
      </w:pPr>
      <w:r>
        <w:rPr>
          <w:rFonts w:ascii="Times New Roman" w:hAnsi="Times New Roman"/>
          <w:b/>
          <w:i/>
          <w:color w:val="003366"/>
          <w:sz w:val="24"/>
        </w:rPr>
        <w:t xml:space="preserve">Circuit </w:t>
      </w:r>
      <w:r>
        <w:rPr>
          <w:rFonts w:ascii="Times New Roman" w:hAnsi="Times New Roman"/>
          <w:b/>
          <w:i/>
          <w:color w:val="003366"/>
          <w:sz w:val="24"/>
        </w:rPr>
        <w:t>and Points Comparison</w:t>
      </w:r>
    </w:p>
    <w:p w14:paraId="516E3684" w14:textId="77777777" w:rsidR="00A20DC9" w:rsidRDefault="00617263">
      <w:pPr>
        <w:spacing w:after="120"/>
      </w:pPr>
      <w:r>
        <w:rPr>
          <w:rFonts w:ascii="Times New Roman" w:hAnsi="Times New Roman"/>
          <w:i/>
          <w:sz w:val="24"/>
        </w:rPr>
        <w:t>"A key question for strategy directors is where the gap between top constructors and the midfield is widest. The Points by circuit vs Top Constructors pivot table lets us compare points totals circuit by circuit and constructor by con</w:t>
      </w:r>
      <w:r>
        <w:rPr>
          <w:rFonts w:ascii="Times New Roman" w:hAnsi="Times New Roman"/>
          <w:i/>
          <w:sz w:val="24"/>
        </w:rPr>
        <w:t>structor. It does not currently produce a single headline gap percentage, so rather than quote one figure for every power circuit, teams should use the pivot table directly to identify the specific circuits where they trail top constructors most, and targe</w:t>
      </w:r>
      <w:r>
        <w:rPr>
          <w:rFonts w:ascii="Times New Roman" w:hAnsi="Times New Roman"/>
          <w:i/>
          <w:sz w:val="24"/>
        </w:rPr>
        <w:t>t development there."</w:t>
      </w:r>
    </w:p>
    <w:p w14:paraId="0C2E4E68" w14:textId="77777777" w:rsidR="00A20DC9" w:rsidRDefault="00617263">
      <w:pPr>
        <w:keepNext/>
        <w:spacing w:before="200" w:after="80"/>
      </w:pPr>
      <w:r>
        <w:rPr>
          <w:rFonts w:ascii="Times New Roman" w:hAnsi="Times New Roman"/>
          <w:b/>
          <w:i/>
          <w:color w:val="003366"/>
          <w:sz w:val="24"/>
        </w:rPr>
        <w:t>Operational Pit Strategy &amp; Geographic Distribution</w:t>
      </w:r>
    </w:p>
    <w:p w14:paraId="6782A733" w14:textId="77777777" w:rsidR="00A20DC9" w:rsidRDefault="00617263">
      <w:pPr>
        <w:spacing w:after="120"/>
      </w:pPr>
      <w:r>
        <w:rPr>
          <w:rFonts w:ascii="Times New Roman" w:hAnsi="Times New Roman"/>
          <w:i/>
          <w:sz w:val="24"/>
        </w:rPr>
        <w:t>"Drivers in the modern era show noticeably higher career pit stop volumes than drivers from earlier decades, as seen in the Total Pit Stops by driver chart†. This lines up with two re</w:t>
      </w:r>
      <w:r>
        <w:rPr>
          <w:rFonts w:ascii="Times New Roman" w:hAnsi="Times New Roman"/>
          <w:i/>
          <w:sz w:val="24"/>
        </w:rPr>
        <w:t xml:space="preserve">gulatory changes: the introduction of mandatory multi-compound tyres in the Pirelli era after 2011, and the removal of in-race refuelling after 2009. Operational pit execution is therefore a real strategic lever, not just a maintenance event. On the Total </w:t>
      </w:r>
      <w:r>
        <w:rPr>
          <w:rFonts w:ascii="Times New Roman" w:hAnsi="Times New Roman"/>
          <w:i/>
          <w:sz w:val="24"/>
        </w:rPr>
        <w:t>Points by Country map, historic points generation remains concentrated in a small number of countries, led by Western Europe†, which points to expanding driver academies into under-represented regions as a growth opportunity."</w:t>
      </w:r>
    </w:p>
    <w:p w14:paraId="1A552AF1" w14:textId="77777777" w:rsidR="00A20DC9" w:rsidRDefault="00617263">
      <w:pPr>
        <w:keepNext/>
        <w:spacing w:before="200" w:after="80"/>
      </w:pPr>
      <w:r>
        <w:rPr>
          <w:rFonts w:ascii="Times New Roman" w:hAnsi="Times New Roman"/>
          <w:b/>
          <w:i/>
          <w:color w:val="003366"/>
          <w:sz w:val="24"/>
        </w:rPr>
        <w:t>Recommendations &amp; Closing</w:t>
      </w:r>
    </w:p>
    <w:p w14:paraId="46D7FD6E" w14:textId="3DCCEB03" w:rsidR="00A20DC9" w:rsidRDefault="00617263" w:rsidP="00617263">
      <w:pPr>
        <w:spacing w:after="120"/>
      </w:pPr>
      <w:r>
        <w:rPr>
          <w:rFonts w:ascii="Times New Roman" w:hAnsi="Times New Roman"/>
          <w:i/>
          <w:sz w:val="24"/>
        </w:rPr>
        <w:t>"In</w:t>
      </w:r>
      <w:r>
        <w:rPr>
          <w:rFonts w:ascii="Times New Roman" w:hAnsi="Times New Roman"/>
          <w:i/>
          <w:sz w:val="24"/>
        </w:rPr>
        <w:t xml:space="preserve"> summary, three priorities follow directly from the dashboard: first, align R&amp;D investment with regulatory transition years, where sustained dominance has historically taken hold. Second, use the circuit-level pivot table — not a single industry-wide figur</w:t>
      </w:r>
      <w:r>
        <w:rPr>
          <w:rFonts w:ascii="Times New Roman" w:hAnsi="Times New Roman"/>
          <w:i/>
          <w:sz w:val="24"/>
        </w:rPr>
        <w:t>e — to target aerodynamic development where it will help most. Third, continue investing in pit crew execution, where sub-two-second stops deliver a measurable, low-cost gain in track position. Thank you, and I welcome any questions."</w:t>
      </w:r>
    </w:p>
    <w:sectPr w:rsidR="00A20DC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263"/>
    <w:rsid w:val="00A20D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B23CE"/>
  <w14:defaultImageDpi w14:val="300"/>
  <w15:docId w15:val="{C1A61ED7-6F94-40BC-A367-D1900A8F4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A9B58D-B0F7-4C52-A159-B02CDBDB4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xavier p</cp:lastModifiedBy>
  <cp:revision>2</cp:revision>
  <dcterms:created xsi:type="dcterms:W3CDTF">2013-12-23T23:15:00Z</dcterms:created>
  <dcterms:modified xsi:type="dcterms:W3CDTF">2026-08-05T01:58:00Z</dcterms:modified>
  <cp:category/>
</cp:coreProperties>
</file>