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60" w:before="0"/>
        <w:jc w:val="center"/>
      </w:pPr>
      <w:r>
        <w:rPr>
          <w:rFonts w:ascii="Arial" w:cs="Arial" w:eastAsia="Arial" w:hAnsi="Arial"/>
          <w:b/>
          <w:bCs/>
          <w:color w:val="1A3C5E"/>
          <w:sz w:val="52"/>
          <w:szCs w:val="52"/>
        </w:rPr>
        <w:t xml:space="preserve">PENETRATION TEST REPORT</w:t>
      </w:r>
    </w:p>
    <w:p>
      <w:pPr>
        <w:spacing w:after="80" w:before="0"/>
        <w:jc w:val="center"/>
      </w:pPr>
      <w:r>
        <w:rPr>
          <w:rFonts w:ascii="Arial" w:cs="Arial" w:eastAsia="Arial" w:hAnsi="Arial"/>
          <w:b/>
          <w:bCs/>
          <w:color w:val="C0392B"/>
          <w:sz w:val="36"/>
          <w:szCs w:val="36"/>
        </w:rPr>
        <w:t xml:space="preserve">OWASP Juice Shop</w:t>
      </w:r>
    </w:p>
    <w:p>
      <w:pPr>
        <w:spacing w:after="600" w:before="0"/>
        <w:jc w:val="center"/>
      </w:pPr>
      <w:r>
        <w:rPr>
          <w:rFonts w:ascii="Arial" w:cs="Arial" w:eastAsia="Arial" w:hAnsi="Arial"/>
          <w:color w:val="555555"/>
          <w:sz w:val="26"/>
          <w:szCs w:val="26"/>
        </w:rPr>
        <w:t xml:space="preserve">Asset Discovery &amp; Reconnaissance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Target Domain</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owasp-juice.shop</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Report Date</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May 2026</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Assessed By</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Hexstrike Security Research (AI-Assisted Reconnaissance)</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Scope</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owasp-juice.shop and all associated subdomains</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Assessment Type</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Black-box Passive + Active Reconnaissance</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Authorization</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Written authorization confirmed by client</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Classification</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CONFIDENTIAL — For Authorized Recipients Only</w:t>
            </w:r>
          </w:p>
        </w:tc>
      </w:tr>
    </w:tbl>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1. Executive Summary</w:t>
      </w:r>
    </w:p>
    <w:p>
      <w:pPr>
        <w:spacing w:after="80" w:before="60"/>
        <w:jc w:val="both"/>
      </w:pPr>
      <w:r>
        <w:rPr>
          <w:rFonts w:ascii="Arial" w:cs="Arial" w:eastAsia="Arial" w:hAnsi="Arial"/>
          <w:color w:val="1A1A2E"/>
          <w:sz w:val="22"/>
          <w:szCs w:val="22"/>
        </w:rPr>
        <w:t xml:space="preserve">This report presents the findings of a reconnaissance and asset discovery assessment conducted against the OWASP Juice Shop platform (owasp-juice.shop). The assessment was performed using passive subdomain enumeration via Subfinder v2.14.0, active DNS analysis via Amass, and the Hexstrike AI-driven reconnaissance workflow engine, with explicit written authorization from the client.</w:t>
      </w:r>
    </w:p>
    <w:p>
      <w:pPr>
        <w:spacing w:after="80" w:before="60"/>
        <w:jc w:val="both"/>
      </w:pPr>
      <w:r>
        <w:rPr>
          <w:rFonts w:ascii="Arial" w:cs="Arial" w:eastAsia="Arial" w:hAnsi="Arial"/>
          <w:color w:val="1A1A2E"/>
          <w:sz w:val="22"/>
          <w:szCs w:val="22"/>
        </w:rPr>
        <w:t xml:space="preserve">The assessment uncovered 19 subdomains, 2 unique IP addresses, the full hosting netblock (81.169.128.0/17 under STRATO AG, AS6724), associated mail infrastructure, and complete DNS configuration details. The overall attack surface was scored at 7.5 out of 10 (High Risk) by the AI reconnaissance engine.</w:t>
      </w:r>
    </w:p>
    <w:p>
      <w:pPr>
        <w:spacing w:after="80" w:before="60"/>
        <w:jc w:val="both"/>
      </w:pPr>
      <w:r>
        <w:rPr>
          <w:rFonts w:ascii="Arial" w:cs="Arial" w:eastAsia="Arial" w:hAnsi="Arial"/>
          <w:color w:val="1A1A2E"/>
          <w:sz w:val="22"/>
          <w:szCs w:val="22"/>
        </w:rPr>
        <w:t xml:space="preserve">A total of 5 findings were identified ranging from High to Informational severity. The most significant risks include publicly accessible staging and preview environments, local developer endpoints exposed via public DNS, and multiple third-party subdomains susceptible to subdomain takeover. Immediate remediation is recommended for the High and Medium findings.</w:t>
      </w:r>
    </w:p>
    <w:p>
      <w:pPr>
        <w:spacing w:after="80" w:before="0"/>
      </w:pPr>
      <w:r>
        <w:t xml:space="preserve"/>
      </w:r>
    </w:p>
    <w:p>
      <w:pPr>
        <w:pStyle w:val="Heading2"/>
        <w:spacing w:after="140" w:before="280"/>
      </w:pPr>
      <w:r>
        <w:rPr>
          <w:rFonts w:ascii="Arial" w:cs="Arial" w:eastAsia="Arial" w:hAnsi="Arial"/>
          <w:b/>
          <w:bCs/>
          <w:color w:val="1A3C5E"/>
          <w:sz w:val="26"/>
          <w:szCs w:val="26"/>
        </w:rPr>
        <w:t xml:space="preserve">1.1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Informational</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560"/>
            <w:tcBorders>
              <w:top w:val="single" w:color="D0D0D0" w:sz="4"/>
              <w:left w:val="single" w:color="D0D0D0" w:sz="4"/>
              <w:bottom w:val="single" w:color="D0D0D0" w:sz="4"/>
              <w:right w:val="single" w:color="D0D0D0" w:sz="4"/>
            </w:tcBorders>
            <w:shd w:fill="C0392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0</w:t>
            </w:r>
          </w:p>
        </w:tc>
        <w:tc>
          <w:tcPr>
            <w:tcW w:type="dxa" w:w="1560"/>
            <w:tcBorders>
              <w:top w:val="single" w:color="D0D0D0" w:sz="4"/>
              <w:left w:val="single" w:color="D0D0D0" w:sz="4"/>
              <w:bottom w:val="single" w:color="D0D0D0" w:sz="4"/>
              <w:right w:val="single" w:color="D0D0D0" w:sz="4"/>
            </w:tcBorders>
            <w:shd w:fill="C0392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W w:type="dxa" w:w="1560"/>
            <w:tcBorders>
              <w:top w:val="single" w:color="D0D0D0" w:sz="4"/>
              <w:left w:val="single" w:color="D0D0D0" w:sz="4"/>
              <w:bottom w:val="single" w:color="D0D0D0" w:sz="4"/>
              <w:right w:val="single" w:color="D0D0D0" w:sz="4"/>
            </w:tcBorders>
            <w:shd w:fill="D3540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W w:type="dxa" w:w="1560"/>
            <w:tcBorders>
              <w:top w:val="single" w:color="D0D0D0" w:sz="4"/>
              <w:left w:val="single" w:color="D0D0D0" w:sz="4"/>
              <w:bottom w:val="single" w:color="D0D0D0" w:sz="4"/>
              <w:right w:val="single" w:color="D0D0D0" w:sz="4"/>
            </w:tcBorders>
            <w:shd w:fill="F39C12"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w:t>
            </w:r>
          </w:p>
        </w:tc>
        <w:tc>
          <w:tcPr>
            <w:tcW w:type="dxa" w:w="156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W w:type="dxa" w:w="156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5</w:t>
            </w:r>
          </w:p>
        </w:tc>
      </w:tr>
    </w:tbl>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2. Scope and Methodology</w:t>
      </w:r>
    </w:p>
    <w:p>
      <w:pPr>
        <w:pStyle w:val="Heading2"/>
        <w:spacing w:after="140" w:before="280"/>
      </w:pPr>
      <w:r>
        <w:rPr>
          <w:rFonts w:ascii="Arial" w:cs="Arial" w:eastAsia="Arial" w:hAnsi="Arial"/>
          <w:b/>
          <w:bCs/>
          <w:color w:val="1A3C5E"/>
          <w:sz w:val="26"/>
          <w:szCs w:val="26"/>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In-Scope Domain</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owasp-juice.shop</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Subdomains</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discovered subdomains under owasp-juice.shop</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IP Ranges</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IP addresses resolved from in-scope DNS records</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Out of Scope</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Third-party platform internals (GitHub, LeanPub, npm) — DNS records only</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Test Window</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2026</w:t>
            </w:r>
          </w:p>
        </w:tc>
      </w:tr>
    </w:tbl>
    <w:p>
      <w:pPr>
        <w:spacing w:after="80" w:before="0"/>
      </w:pPr>
      <w:r>
        <w:t xml:space="preserve"/>
      </w:r>
    </w:p>
    <w:p>
      <w:pPr>
        <w:pStyle w:val="Heading2"/>
        <w:spacing w:after="140" w:before="280"/>
      </w:pPr>
      <w:r>
        <w:rPr>
          <w:rFonts w:ascii="Arial" w:cs="Arial" w:eastAsia="Arial" w:hAnsi="Arial"/>
          <w:b/>
          <w:bCs/>
          <w:color w:val="1A3C5E"/>
          <w:sz w:val="26"/>
          <w:szCs w:val="26"/>
        </w:rPr>
        <w:t xml:space="preserve">2.2 Methodology</w:t>
      </w:r>
    </w:p>
    <w:p>
      <w:pPr>
        <w:spacing w:after="80" w:before="60"/>
        <w:jc w:val="both"/>
      </w:pPr>
      <w:r>
        <w:rPr>
          <w:rFonts w:ascii="Arial" w:cs="Arial" w:eastAsia="Arial" w:hAnsi="Arial"/>
          <w:color w:val="1A1A2E"/>
          <w:sz w:val="22"/>
          <w:szCs w:val="22"/>
        </w:rPr>
        <w:t xml:space="preserve">The assessment was conducted in three sequential phases:</w:t>
      </w:r>
    </w:p>
    <w:p>
      <w:pPr>
        <w:pStyle w:val="ListParagraph"/>
        <w:numPr>
          <w:ilvl w:val="0"/>
          <w:numId w:val="2"/>
        </w:numPr>
        <w:spacing w:after="40" w:before="40"/>
      </w:pPr>
      <w:r>
        <w:rPr>
          <w:rFonts w:ascii="Arial" w:cs="Arial" w:eastAsia="Arial" w:hAnsi="Arial"/>
          <w:color w:val="1A1A2E"/>
          <w:sz w:val="22"/>
          <w:szCs w:val="22"/>
        </w:rPr>
        <w:t xml:space="preserve">Phase 1 — Passive Enumeration: Subfinder v2.14.0 was used with all sources enabled to perform passive subdomain enumeration via certificate transparency logs, public DNS datasets, and OSINT sources. 19 unique subdomains were discovered.</w:t>
      </w:r>
    </w:p>
    <w:p>
      <w:pPr>
        <w:pStyle w:val="ListParagraph"/>
        <w:numPr>
          <w:ilvl w:val="0"/>
          <w:numId w:val="2"/>
        </w:numPr>
        <w:spacing w:after="40" w:before="40"/>
      </w:pPr>
      <w:r>
        <w:rPr>
          <w:rFonts w:ascii="Arial" w:cs="Arial" w:eastAsia="Arial" w:hAnsi="Arial"/>
          <w:color w:val="1A1A2E"/>
          <w:sz w:val="22"/>
          <w:szCs w:val="22"/>
        </w:rPr>
        <w:t xml:space="preserve">Phase 2 — Active DNS Enumeration: Amass (enum mode) performed active DNS resolution, MX and NS record analysis, IP address mapping, ASN identification, and netblock enumeration to build a complete infrastructure map.</w:t>
      </w:r>
    </w:p>
    <w:p>
      <w:pPr>
        <w:pStyle w:val="ListParagraph"/>
        <w:numPr>
          <w:ilvl w:val="0"/>
          <w:numId w:val="2"/>
        </w:numPr>
        <w:spacing w:after="40" w:before="40"/>
      </w:pPr>
      <w:r>
        <w:rPr>
          <w:rFonts w:ascii="Arial" w:cs="Arial" w:eastAsia="Arial" w:hAnsi="Arial"/>
          <w:color w:val="1A1A2E"/>
          <w:sz w:val="22"/>
          <w:szCs w:val="22"/>
        </w:rPr>
        <w:t xml:space="preserve">Phase 3 — AI Reconnaissance Workflow: The Hexstrike AI-driven engine performed deep target analysis, attack surface scoring (7.5/10 High Risk), technology fingerprinting, and generation of an optimized toolchain for subsequent testing phases.</w:t>
      </w:r>
    </w:p>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3. Discovered Assets</w:t>
      </w:r>
    </w:p>
    <w:p>
      <w:pPr>
        <w:pStyle w:val="Heading2"/>
        <w:spacing w:after="140" w:before="280"/>
      </w:pPr>
      <w:r>
        <w:rPr>
          <w:rFonts w:ascii="Arial" w:cs="Arial" w:eastAsia="Arial" w:hAnsi="Arial"/>
          <w:b/>
          <w:bCs/>
          <w:color w:val="1A3C5E"/>
          <w:sz w:val="26"/>
          <w:szCs w:val="26"/>
        </w:rPr>
        <w:t xml:space="preserve">3.1 Subdomains — 19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0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preview.owasp-juice.shop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preview instance — publicly accessible</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staging.owasp-juice.shop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Environment</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Non-production staging environment</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 demonstration instance</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www.owasp-juice.shop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Environment</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web application endpoint</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local3000.owasp-juice.shop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Dev</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Node.js/React dev server (port 3000)</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local4200.owasp-juice.shop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 Dev</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Angular CLI dev server (port 4200)</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localchromeos.owasp-juice.shop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Dev</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 endpoint for ChromeOS environment</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localmac.owasp-juice.shop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 Dev</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Developer endpoint for macOS environment</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ebook.owasp-juice.shop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E-book distribution subdomain</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slides.owasp-juice.shop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Presentation slides hosting</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intro.owasp-juice.shop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Introductory content subdomain</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help.owasp-juice.shop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Help and documentation portal</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merchandise.owasp-juice.shop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Merchandise store — third-party platform</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npm.owasp-juice.shop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npm package subdomain — potential takeover risk</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leanpub.owasp-juice.shop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Resource</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LeanPub publishing — third-party CNAME</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github.owasp-juice.shop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External</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GitHub redirect — third-party CNAME</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sponsor.owasp-juice.shop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Sponsorship page</w:t>
            </w:r>
          </w:p>
        </w:tc>
      </w:tr>
      <w:tr>
        <w:tc>
          <w:tcPr>
            <w:tcW w:type="dxa" w:w="31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stats.owasp-juice.shop</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External</w:t>
            </w:r>
          </w:p>
        </w:tc>
        <w:tc>
          <w:tcPr>
            <w:tcW w:type="dxa" w:w="39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Analytics or statistics platform</w:t>
            </w:r>
          </w:p>
        </w:tc>
      </w:tr>
      <w:tr>
        <w:tc>
          <w:tcPr>
            <w:tcW w:type="dxa" w:w="31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pwning.owasp-juice.shop</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w:t>
            </w:r>
          </w:p>
        </w:tc>
        <w:tc>
          <w:tcPr>
            <w:tcW w:type="dxa" w:w="3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Companion CTF/challenge platform</w:t>
            </w:r>
          </w:p>
        </w:tc>
      </w:tr>
    </w:tbl>
    <w:p>
      <w:pPr>
        <w:spacing w:after="80" w:before="0"/>
      </w:pPr>
      <w:r>
        <w:t xml:space="preserve"/>
      </w:r>
    </w:p>
    <w:p>
      <w:pPr>
        <w:pStyle w:val="Heading2"/>
        <w:spacing w:after="140" w:before="280"/>
      </w:pPr>
      <w:r>
        <w:rPr>
          <w:rFonts w:ascii="Arial" w:cs="Arial" w:eastAsia="Arial" w:hAnsi="Arial"/>
          <w:b/>
          <w:bCs/>
          <w:color w:val="1A3C5E"/>
          <w:sz w:val="26"/>
          <w:szCs w:val="26"/>
        </w:rPr>
        <w:t xml:space="preserve">3.2 Infrastructure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IPv4 — Web Server</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81.169.145.156</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IPv4 — Mail Server</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81.169.145.97</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IPv6 — Mail Server</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2a01:238:20a:202:50f0::1097</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Netblock (IPv4)</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81.169.128.0/17</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Netblock (IPv6)</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2a01:238:20a::/48</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Hosting Provider</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STRATO AG, Germany</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ASN</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AS6724</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Nameserver 1</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shades01.rzone.de</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Nameserver 2</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docks10.rzone.de</w:t>
            </w:r>
          </w:p>
        </w:tc>
      </w:tr>
      <w:tr>
        <w:tc>
          <w:tcPr>
            <w:tcW w:type="dxa" w:w="300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Mail Exchanger</w:t>
            </w:r>
          </w:p>
        </w:tc>
        <w:tc>
          <w:tcPr>
            <w:tcW w:type="dxa" w:w="63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smtpin.rzone.de</w:t>
            </w:r>
          </w:p>
        </w:tc>
      </w:tr>
    </w:tbl>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4. Detailed Findings</w:t>
      </w:r>
    </w:p>
    <w:p>
      <w:pPr>
        <w:spacing w:after="80" w:before="60"/>
        <w:jc w:val="both"/>
      </w:pPr>
      <w:r>
        <w:rPr>
          <w:rFonts w:ascii="Arial" w:cs="Arial" w:eastAsia="Arial" w:hAnsi="Arial"/>
          <w:color w:val="1A1A2E"/>
          <w:sz w:val="22"/>
          <w:szCs w:val="22"/>
        </w:rPr>
        <w:t xml:space="preserve">Each finding below includes a full description of the issue, its potential business impact, risk and criticality ratings, and actionable remediation recommendations.</w:t>
      </w:r>
    </w:p>
    <w:p>
      <w:pPr>
        <w:spacing w:after="80" w:before="0"/>
      </w:pPr>
      <w:r>
        <w:t xml:space="preserve"/>
      </w:r>
    </w:p>
    <w:p>
      <w:pPr>
        <w:pStyle w:val="Heading2"/>
        <w:spacing w:after="140" w:before="280"/>
      </w:pPr>
      <w:r>
        <w:rPr>
          <w:rFonts w:ascii="Arial" w:cs="Arial" w:eastAsia="Arial" w:hAnsi="Arial"/>
          <w:b/>
          <w:bCs/>
          <w:color w:val="1A3C5E"/>
          <w:sz w:val="26"/>
          <w:szCs w:val="26"/>
        </w:rPr>
        <w:t xml:space="preserve">4.1  [F-01]  Exposed Staging and Preview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 ID</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F-01</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Information Disclosure</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7.5</w:t>
            </w:r>
          </w:p>
        </w:tc>
        <w:tc>
          <w:tcPr>
            <w:tcW w:type="dxa" w:w="2340"/>
            <w:tcBorders>
              <w:top w:val="single" w:color="D0D0D0" w:sz="4"/>
              <w:left w:val="single" w:color="D0D0D0" w:sz="4"/>
              <w:bottom w:val="single" w:color="D0D0D0" w:sz="4"/>
              <w:right w:val="single" w:color="D0D0D0"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Criticality Level</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Affected Assets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staging.owasp-juice.shop, preview.owasp-juice.shop</w:t>
            </w:r>
          </w:p>
        </w:tc>
      </w:tr>
    </w:tbl>
    <w:p>
      <w:pPr>
        <w:spacing w:after="80" w:before="0"/>
      </w:pPr>
      <w:r>
        <w:t xml:space="preserve"/>
      </w:r>
    </w:p>
    <w:p>
      <w:pPr>
        <w:pStyle w:val="Heading3"/>
        <w:spacing w:after="100" w:before="200"/>
      </w:pPr>
      <w:r>
        <w:rPr>
          <w:rFonts w:ascii="Arial" w:cs="Arial" w:eastAsia="Arial" w:hAnsi="Arial"/>
          <w:b/>
          <w:bCs/>
          <w:color w:val="2C3E50"/>
          <w:sz w:val="22"/>
          <w:szCs w:val="22"/>
        </w:rPr>
        <w:t xml:space="preserve">Description</w:t>
      </w:r>
    </w:p>
    <w:p>
      <w:pPr>
        <w:spacing w:after="80" w:before="60"/>
        <w:jc w:val="both"/>
      </w:pPr>
      <w:r>
        <w:rPr>
          <w:rFonts w:ascii="Arial" w:cs="Arial" w:eastAsia="Arial" w:hAnsi="Arial"/>
          <w:color w:val="1A1A2E"/>
          <w:sz w:val="22"/>
          <w:szCs w:val="22"/>
        </w:rPr>
        <w:t xml:space="preserve">During passive subdomain enumeration, two publicly accessible non-production environments were identified: staging.owasp-juice.shop and preview.owasp-juice.shop. These environments are typically used to test new features and may contain debug configurations, verbose error messages, relaxed authentication policies, or outdated dependencies not present in the production environment. Exposing these environments publicly substantially increases the overall attack surface of the application.</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Impact</w:t>
      </w:r>
    </w:p>
    <w:p>
      <w:pPr>
        <w:spacing w:after="80" w:before="60"/>
        <w:jc w:val="both"/>
      </w:pPr>
      <w:r>
        <w:rPr>
          <w:rFonts w:ascii="Arial" w:cs="Arial" w:eastAsia="Arial" w:hAnsi="Arial"/>
          <w:color w:val="1A1A2E"/>
          <w:sz w:val="22"/>
          <w:szCs w:val="22"/>
        </w:rPr>
        <w:t xml:space="preserve">An attacker who gains access to the staging environment could identify vulnerabilities before they are fixed, enumerate internal application logic, harvest credentials or tokens used in testing pipelines, or pivot to access internal networks. In the worst case, a misconfigured staging environment may share a database or service account with production, directly enabling data exfiltration.</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Recommendations</w:t>
      </w:r>
    </w:p>
    <w:p>
      <w:pPr>
        <w:pStyle w:val="ListParagraph"/>
        <w:numPr>
          <w:ilvl w:val="0"/>
          <w:numId w:val="2"/>
        </w:numPr>
        <w:spacing w:after="40" w:before="40"/>
      </w:pPr>
      <w:r>
        <w:rPr>
          <w:rFonts w:ascii="Arial" w:cs="Arial" w:eastAsia="Arial" w:hAnsi="Arial"/>
          <w:color w:val="1A1A2E"/>
          <w:sz w:val="22"/>
          <w:szCs w:val="22"/>
        </w:rPr>
        <w:t xml:space="preserve">Restrict access to staging and preview environments via IP allowlisting or VPN authentication.</w:t>
      </w:r>
    </w:p>
    <w:p>
      <w:pPr>
        <w:pStyle w:val="ListParagraph"/>
        <w:numPr>
          <w:ilvl w:val="0"/>
          <w:numId w:val="2"/>
        </w:numPr>
        <w:spacing w:after="40" w:before="40"/>
      </w:pPr>
      <w:r>
        <w:rPr>
          <w:rFonts w:ascii="Arial" w:cs="Arial" w:eastAsia="Arial" w:hAnsi="Arial"/>
          <w:color w:val="1A1A2E"/>
          <w:sz w:val="22"/>
          <w:szCs w:val="22"/>
        </w:rPr>
        <w:t xml:space="preserve">Ensure staging environments are not discoverable via public DNS and are excluded from certificate transparency logs.</w:t>
      </w:r>
    </w:p>
    <w:p>
      <w:pPr>
        <w:pStyle w:val="ListParagraph"/>
        <w:numPr>
          <w:ilvl w:val="0"/>
          <w:numId w:val="2"/>
        </w:numPr>
        <w:spacing w:after="40" w:before="40"/>
      </w:pPr>
      <w:r>
        <w:rPr>
          <w:rFonts w:ascii="Arial" w:cs="Arial" w:eastAsia="Arial" w:hAnsi="Arial"/>
          <w:color w:val="1A1A2E"/>
          <w:sz w:val="22"/>
          <w:szCs w:val="22"/>
        </w:rPr>
        <w:t xml:space="preserve">Remove or rotate any real user data, production credentials, or API keys used in non-production environments.</w:t>
      </w:r>
    </w:p>
    <w:p>
      <w:pPr>
        <w:pStyle w:val="ListParagraph"/>
        <w:numPr>
          <w:ilvl w:val="0"/>
          <w:numId w:val="2"/>
        </w:numPr>
        <w:spacing w:after="40" w:before="40"/>
      </w:pPr>
      <w:r>
        <w:rPr>
          <w:rFonts w:ascii="Arial" w:cs="Arial" w:eastAsia="Arial" w:hAnsi="Arial"/>
          <w:color w:val="1A1A2E"/>
          <w:sz w:val="22"/>
          <w:szCs w:val="22"/>
        </w:rPr>
        <w:t xml:space="preserve">Implement separate secrets management for staging versus production pipelines.</w:t>
      </w:r>
    </w:p>
    <w:p>
      <w:pPr>
        <w:spacing w:after="160" w:before="0"/>
      </w:pPr>
      <w:r>
        <w:t xml:space="preserve"/>
      </w:r>
    </w:p>
    <w:p>
      <w:r>
        <w:br w:type="page"/>
      </w:r>
    </w:p>
    <w:p>
      <w:pPr>
        <w:pStyle w:val="Heading2"/>
        <w:spacing w:after="140" w:before="280"/>
      </w:pPr>
      <w:r>
        <w:rPr>
          <w:rFonts w:ascii="Arial" w:cs="Arial" w:eastAsia="Arial" w:hAnsi="Arial"/>
          <w:b/>
          <w:bCs/>
          <w:color w:val="1A3C5E"/>
          <w:sz w:val="26"/>
          <w:szCs w:val="26"/>
        </w:rPr>
        <w:t xml:space="preserve">4.2  [F-02]  Local Development Endpoints Exposed via Public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 ID</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F-02</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Information Disclosure / Misconfiguration</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5.3</w:t>
            </w:r>
          </w:p>
        </w:tc>
        <w:tc>
          <w:tcPr>
            <w:tcW w:type="dxa" w:w="2340"/>
            <w:tcBorders>
              <w:top w:val="single" w:color="D0D0D0" w:sz="4"/>
              <w:left w:val="single" w:color="D0D0D0" w:sz="4"/>
              <w:bottom w:val="single" w:color="D0D0D0" w:sz="4"/>
              <w:right w:val="single" w:color="D0D0D0" w:sz="4"/>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Criticality Level</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D35400"/>
                <w:sz w:val="20"/>
                <w:szCs w:val="20"/>
              </w:rPr>
              <w:t xml:space="preserve">Medium</w:t>
            </w:r>
          </w:p>
        </w:tc>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Affected Assets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local3000, local4200, localchromeos, localmac (all under owasp-juice.shop)</w:t>
            </w:r>
          </w:p>
        </w:tc>
      </w:tr>
    </w:tbl>
    <w:p>
      <w:pPr>
        <w:spacing w:after="80" w:before="0"/>
      </w:pPr>
      <w:r>
        <w:t xml:space="preserve"/>
      </w:r>
    </w:p>
    <w:p>
      <w:pPr>
        <w:pStyle w:val="Heading3"/>
        <w:spacing w:after="100" w:before="200"/>
      </w:pPr>
      <w:r>
        <w:rPr>
          <w:rFonts w:ascii="Arial" w:cs="Arial" w:eastAsia="Arial" w:hAnsi="Arial"/>
          <w:b/>
          <w:bCs/>
          <w:color w:val="2C3E50"/>
          <w:sz w:val="22"/>
          <w:szCs w:val="22"/>
        </w:rPr>
        <w:t xml:space="preserve">Description</w:t>
      </w:r>
    </w:p>
    <w:p>
      <w:pPr>
        <w:spacing w:after="80" w:before="60"/>
        <w:jc w:val="both"/>
      </w:pPr>
      <w:r>
        <w:rPr>
          <w:rFonts w:ascii="Arial" w:cs="Arial" w:eastAsia="Arial" w:hAnsi="Arial"/>
          <w:color w:val="1A1A2E"/>
          <w:sz w:val="22"/>
          <w:szCs w:val="22"/>
        </w:rPr>
        <w:t xml:space="preserve">Four subdomains suggesting local developer environments were identified in public DNS records. Subdomains such as local3000, local4200, localchromeos, and localmac imply developers are using public DNS to route traffic to their local machines (e.g., via tunnel services). This exposes internal development state and may allow attackers to interact directly with developer machines.</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Impact</w:t>
      </w:r>
    </w:p>
    <w:p>
      <w:pPr>
        <w:spacing w:after="80" w:before="60"/>
        <w:jc w:val="both"/>
      </w:pPr>
      <w:r>
        <w:rPr>
          <w:rFonts w:ascii="Arial" w:cs="Arial" w:eastAsia="Arial" w:hAnsi="Arial"/>
          <w:color w:val="1A1A2E"/>
          <w:sz w:val="22"/>
          <w:szCs w:val="22"/>
        </w:rPr>
        <w:t xml:space="preserve">If active, these endpoints could expose unfinished features, hardcoded credentials in development builds, unsanitized API endpoints, or direct access to developer file systems. They also reveal internal technology choices (port 3000 suggests Node.js/React, port 4200 suggests Angular) which aids attacker reconnaissance considerably.</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Recommendations</w:t>
      </w:r>
    </w:p>
    <w:p>
      <w:pPr>
        <w:pStyle w:val="ListParagraph"/>
        <w:numPr>
          <w:ilvl w:val="0"/>
          <w:numId w:val="2"/>
        </w:numPr>
        <w:spacing w:after="40" w:before="40"/>
      </w:pPr>
      <w:r>
        <w:rPr>
          <w:rFonts w:ascii="Arial" w:cs="Arial" w:eastAsia="Arial" w:hAnsi="Arial"/>
          <w:color w:val="1A1A2E"/>
          <w:sz w:val="22"/>
          <w:szCs w:val="22"/>
        </w:rPr>
        <w:t xml:space="preserve">Remove local developer subdomains from public DNS immediately.</w:t>
      </w:r>
    </w:p>
    <w:p>
      <w:pPr>
        <w:pStyle w:val="ListParagraph"/>
        <w:numPr>
          <w:ilvl w:val="0"/>
          <w:numId w:val="2"/>
        </w:numPr>
        <w:spacing w:after="40" w:before="40"/>
      </w:pPr>
      <w:r>
        <w:rPr>
          <w:rFonts w:ascii="Arial" w:cs="Arial" w:eastAsia="Arial" w:hAnsi="Arial"/>
          <w:color w:val="1A1A2E"/>
          <w:sz w:val="22"/>
          <w:szCs w:val="22"/>
        </w:rPr>
        <w:t xml:space="preserve">Use private DNS zones or local /etc/hosts entries for developer routing instead.</w:t>
      </w:r>
    </w:p>
    <w:p>
      <w:pPr>
        <w:pStyle w:val="ListParagraph"/>
        <w:numPr>
          <w:ilvl w:val="0"/>
          <w:numId w:val="2"/>
        </w:numPr>
        <w:spacing w:after="40" w:before="40"/>
      </w:pPr>
      <w:r>
        <w:rPr>
          <w:rFonts w:ascii="Arial" w:cs="Arial" w:eastAsia="Arial" w:hAnsi="Arial"/>
          <w:color w:val="1A1A2E"/>
          <w:sz w:val="22"/>
          <w:szCs w:val="22"/>
        </w:rPr>
        <w:t xml:space="preserve">Adopt a secure tunneling solution with authentication requirements if remote developer access is needed.</w:t>
      </w:r>
    </w:p>
    <w:p>
      <w:pPr>
        <w:pStyle w:val="ListParagraph"/>
        <w:numPr>
          <w:ilvl w:val="0"/>
          <w:numId w:val="2"/>
        </w:numPr>
        <w:spacing w:after="40" w:before="40"/>
      </w:pPr>
      <w:r>
        <w:rPr>
          <w:rFonts w:ascii="Arial" w:cs="Arial" w:eastAsia="Arial" w:hAnsi="Arial"/>
          <w:color w:val="1A1A2E"/>
          <w:sz w:val="22"/>
          <w:szCs w:val="22"/>
        </w:rPr>
        <w:t xml:space="preserve">Audit all DNS records regularly for inadvertent exposure of internal resources.</w:t>
      </w:r>
    </w:p>
    <w:p>
      <w:pPr>
        <w:spacing w:after="160" w:before="0"/>
      </w:pPr>
      <w:r>
        <w:t xml:space="preserve"/>
      </w:r>
    </w:p>
    <w:p>
      <w:r>
        <w:br w:type="page"/>
      </w:r>
    </w:p>
    <w:p>
      <w:pPr>
        <w:pStyle w:val="Heading2"/>
        <w:spacing w:after="140" w:before="280"/>
      </w:pPr>
      <w:r>
        <w:rPr>
          <w:rFonts w:ascii="Arial" w:cs="Arial" w:eastAsia="Arial" w:hAnsi="Arial"/>
          <w:b/>
          <w:bCs/>
          <w:color w:val="1A3C5E"/>
          <w:sz w:val="26"/>
          <w:szCs w:val="26"/>
        </w:rPr>
        <w:t xml:space="preserve">4.3  [F-03]  Hosting Infrastructure Fully Fingerprinted (STRATO AG / AS6724)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 ID</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F-03</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Infrastructure Exposure</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3.1</w:t>
            </w:r>
          </w:p>
        </w:tc>
        <w:tc>
          <w:tcPr>
            <w:tcW w:type="dxa" w:w="2340"/>
            <w:tcBorders>
              <w:top w:val="single" w:color="D0D0D0" w:sz="4"/>
              <w:left w:val="single" w:color="D0D0D0" w:sz="4"/>
              <w:bottom w:val="single" w:color="D0D0D0" w:sz="4"/>
              <w:right w:val="single" w:color="D0D0D0" w:sz="4"/>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Criticality Level</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F39C12"/>
                <w:sz w:val="20"/>
                <w:szCs w:val="20"/>
              </w:rPr>
              <w:t xml:space="preserve">Low</w:t>
            </w:r>
          </w:p>
        </w:tc>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Affected Assets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81.169.145.97, 81.169.145.156 (Netblock: 81.169.128.0/17, ASN 6724)</w:t>
            </w:r>
          </w:p>
        </w:tc>
      </w:tr>
    </w:tbl>
    <w:p>
      <w:pPr>
        <w:spacing w:after="80" w:before="0"/>
      </w:pPr>
      <w:r>
        <w:t xml:space="preserve"/>
      </w:r>
    </w:p>
    <w:p>
      <w:pPr>
        <w:pStyle w:val="Heading3"/>
        <w:spacing w:after="100" w:before="200"/>
      </w:pPr>
      <w:r>
        <w:rPr>
          <w:rFonts w:ascii="Arial" w:cs="Arial" w:eastAsia="Arial" w:hAnsi="Arial"/>
          <w:b/>
          <w:bCs/>
          <w:color w:val="2C3E50"/>
          <w:sz w:val="22"/>
          <w:szCs w:val="22"/>
        </w:rPr>
        <w:t xml:space="preserve">Description</w:t>
      </w:r>
    </w:p>
    <w:p>
      <w:pPr>
        <w:spacing w:after="80" w:before="60"/>
        <w:jc w:val="both"/>
      </w:pPr>
      <w:r>
        <w:rPr>
          <w:rFonts w:ascii="Arial" w:cs="Arial" w:eastAsia="Arial" w:hAnsi="Arial"/>
          <w:color w:val="1A1A2E"/>
          <w:sz w:val="22"/>
          <w:szCs w:val="22"/>
        </w:rPr>
        <w:t xml:space="preserve">Active DNS enumeration via Amass revealed the full hosting infrastructure of owasp-juice.shop, including the hosting provider (STRATO AG, Germany), autonomous system number (AS6724), IPv4 and IPv6 addresses, and the full /17 netblock. This level of detail allows an attacker to correlate the target with other services hosted on the same infrastructure and tailor network-level attacks.</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Impact</w:t>
      </w:r>
    </w:p>
    <w:p>
      <w:pPr>
        <w:spacing w:after="80" w:before="60"/>
        <w:jc w:val="both"/>
      </w:pPr>
      <w:r>
        <w:rPr>
          <w:rFonts w:ascii="Arial" w:cs="Arial" w:eastAsia="Arial" w:hAnsi="Arial"/>
          <w:color w:val="1A1A2E"/>
          <w:sz w:val="22"/>
          <w:szCs w:val="22"/>
        </w:rPr>
        <w:t xml:space="preserve">Infrastructure fingerprinting enables targeted attacks including scanning of adjacent co-hosted applications, BGP-level awareness, DDoS targeting against known IP ranges, and hosting provider social engineering — such as impersonating the customer to change DNS or account details.</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Recommendations</w:t>
      </w:r>
    </w:p>
    <w:p>
      <w:pPr>
        <w:pStyle w:val="ListParagraph"/>
        <w:numPr>
          <w:ilvl w:val="0"/>
          <w:numId w:val="2"/>
        </w:numPr>
        <w:spacing w:after="40" w:before="40"/>
      </w:pPr>
      <w:r>
        <w:rPr>
          <w:rFonts w:ascii="Arial" w:cs="Arial" w:eastAsia="Arial" w:hAnsi="Arial"/>
          <w:color w:val="1A1A2E"/>
          <w:sz w:val="22"/>
          <w:szCs w:val="22"/>
        </w:rPr>
        <w:t xml:space="preserve">Consider using a CDN or reverse proxy (e.g., Cloudflare) to mask the true origin IP addresses from public resolution.</w:t>
      </w:r>
    </w:p>
    <w:p>
      <w:pPr>
        <w:pStyle w:val="ListParagraph"/>
        <w:numPr>
          <w:ilvl w:val="0"/>
          <w:numId w:val="2"/>
        </w:numPr>
        <w:spacing w:after="40" w:before="40"/>
      </w:pPr>
      <w:r>
        <w:rPr>
          <w:rFonts w:ascii="Arial" w:cs="Arial" w:eastAsia="Arial" w:hAnsi="Arial"/>
          <w:color w:val="1A1A2E"/>
          <w:sz w:val="22"/>
          <w:szCs w:val="22"/>
        </w:rPr>
        <w:t xml:space="preserve">Ensure infrastructure-level firewall rules restrict direct IP access, enforcing all traffic through the CDN layer.</w:t>
      </w:r>
    </w:p>
    <w:p>
      <w:pPr>
        <w:pStyle w:val="ListParagraph"/>
        <w:numPr>
          <w:ilvl w:val="0"/>
          <w:numId w:val="2"/>
        </w:numPr>
        <w:spacing w:after="40" w:before="40"/>
      </w:pPr>
      <w:r>
        <w:rPr>
          <w:rFonts w:ascii="Arial" w:cs="Arial" w:eastAsia="Arial" w:hAnsi="Arial"/>
          <w:color w:val="1A1A2E"/>
          <w:sz w:val="22"/>
          <w:szCs w:val="22"/>
        </w:rPr>
        <w:t xml:space="preserve">Review co-hosted applications on the shared STRATO infrastructure for shared vulnerability exposure.</w:t>
      </w:r>
    </w:p>
    <w:p>
      <w:pPr>
        <w:spacing w:after="160" w:before="0"/>
      </w:pPr>
      <w:r>
        <w:t xml:space="preserve"/>
      </w:r>
    </w:p>
    <w:p>
      <w:r>
        <w:br w:type="page"/>
      </w:r>
    </w:p>
    <w:p>
      <w:pPr>
        <w:pStyle w:val="Heading2"/>
        <w:spacing w:after="140" w:before="280"/>
      </w:pPr>
      <w:r>
        <w:rPr>
          <w:rFonts w:ascii="Arial" w:cs="Arial" w:eastAsia="Arial" w:hAnsi="Arial"/>
          <w:b/>
          <w:bCs/>
          <w:color w:val="1A3C5E"/>
          <w:sz w:val="26"/>
          <w:szCs w:val="26"/>
        </w:rPr>
        <w:t xml:space="preserve">4.4  [F-04]  Mail Server Exposed and Fingerprinted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 ID</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F-04</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Infrastructure Exposure</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3.7</w:t>
            </w:r>
          </w:p>
        </w:tc>
        <w:tc>
          <w:tcPr>
            <w:tcW w:type="dxa" w:w="2340"/>
            <w:tcBorders>
              <w:top w:val="single" w:color="D0D0D0" w:sz="4"/>
              <w:left w:val="single" w:color="D0D0D0" w:sz="4"/>
              <w:bottom w:val="single" w:color="D0D0D0" w:sz="4"/>
              <w:right w:val="single" w:color="D0D0D0" w:sz="4"/>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Criticality Level</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F39C12"/>
                <w:sz w:val="20"/>
                <w:szCs w:val="20"/>
              </w:rPr>
              <w:t xml:space="preserve">Low</w:t>
            </w:r>
          </w:p>
        </w:tc>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Affected Assets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smtpin.rzone.de (81.169.145.97 / 2a01:238:20a:202:50f0::1097)</w:t>
            </w:r>
          </w:p>
        </w:tc>
      </w:tr>
    </w:tbl>
    <w:p>
      <w:pPr>
        <w:spacing w:after="80" w:before="0"/>
      </w:pPr>
      <w:r>
        <w:t xml:space="preserve"/>
      </w:r>
    </w:p>
    <w:p>
      <w:pPr>
        <w:pStyle w:val="Heading3"/>
        <w:spacing w:after="100" w:before="200"/>
      </w:pPr>
      <w:r>
        <w:rPr>
          <w:rFonts w:ascii="Arial" w:cs="Arial" w:eastAsia="Arial" w:hAnsi="Arial"/>
          <w:b/>
          <w:bCs/>
          <w:color w:val="2C3E50"/>
          <w:sz w:val="22"/>
          <w:szCs w:val="22"/>
        </w:rPr>
        <w:t xml:space="preserve">Description</w:t>
      </w:r>
    </w:p>
    <w:p>
      <w:pPr>
        <w:spacing w:after="80" w:before="60"/>
        <w:jc w:val="both"/>
      </w:pPr>
      <w:r>
        <w:rPr>
          <w:rFonts w:ascii="Arial" w:cs="Arial" w:eastAsia="Arial" w:hAnsi="Arial"/>
          <w:color w:val="1A1A2E"/>
          <w:sz w:val="22"/>
          <w:szCs w:val="22"/>
        </w:rPr>
        <w:t xml:space="preserve">The MX record for owasp-juice.shop resolves to smtpin.rzone.de, an STRATO-operated shared mail infrastructure. Both IPv4 and IPv6 addresses were enumerated. Exposure of the mail server endpoint can be leveraged for phishing campaigns targeting the organization, email header analysis to infer internal mail routing, and brute-force attacks against mail authentication endpoints.</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Impact</w:t>
      </w:r>
    </w:p>
    <w:p>
      <w:pPr>
        <w:spacing w:after="80" w:before="60"/>
        <w:jc w:val="both"/>
      </w:pPr>
      <w:r>
        <w:rPr>
          <w:rFonts w:ascii="Arial" w:cs="Arial" w:eastAsia="Arial" w:hAnsi="Arial"/>
          <w:color w:val="1A1A2E"/>
          <w:sz w:val="22"/>
          <w:szCs w:val="22"/>
        </w:rPr>
        <w:t xml:space="preserve">If email authentication controls (SPF, DKIM, DMARC) are not properly enforced, an attacker may spoof emails from the owasp-juice.shop domain, enabling targeted phishing against users and administrators of the application and damaging organizational trust.</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Recommendations</w:t>
      </w:r>
    </w:p>
    <w:p>
      <w:pPr>
        <w:pStyle w:val="ListParagraph"/>
        <w:numPr>
          <w:ilvl w:val="0"/>
          <w:numId w:val="2"/>
        </w:numPr>
        <w:spacing w:after="40" w:before="40"/>
      </w:pPr>
      <w:r>
        <w:rPr>
          <w:rFonts w:ascii="Arial" w:cs="Arial" w:eastAsia="Arial" w:hAnsi="Arial"/>
          <w:color w:val="1A1A2E"/>
          <w:sz w:val="22"/>
          <w:szCs w:val="22"/>
        </w:rPr>
        <w:t xml:space="preserve">Verify that SPF, DKIM, and DMARC records are correctly configured and set to enforcement mode (p=reject).</w:t>
      </w:r>
    </w:p>
    <w:p>
      <w:pPr>
        <w:pStyle w:val="ListParagraph"/>
        <w:numPr>
          <w:ilvl w:val="0"/>
          <w:numId w:val="2"/>
        </w:numPr>
        <w:spacing w:after="40" w:before="40"/>
      </w:pPr>
      <w:r>
        <w:rPr>
          <w:rFonts w:ascii="Arial" w:cs="Arial" w:eastAsia="Arial" w:hAnsi="Arial"/>
          <w:color w:val="1A1A2E"/>
          <w:sz w:val="22"/>
          <w:szCs w:val="22"/>
        </w:rPr>
        <w:t xml:space="preserve">Ensure SMTP port 25 is not directly accessible from the internet for inbound relay on application mail flows.</w:t>
      </w:r>
    </w:p>
    <w:p>
      <w:pPr>
        <w:pStyle w:val="ListParagraph"/>
        <w:numPr>
          <w:ilvl w:val="0"/>
          <w:numId w:val="2"/>
        </w:numPr>
        <w:spacing w:after="40" w:before="40"/>
      </w:pPr>
      <w:r>
        <w:rPr>
          <w:rFonts w:ascii="Arial" w:cs="Arial" w:eastAsia="Arial" w:hAnsi="Arial"/>
          <w:color w:val="1A1A2E"/>
          <w:sz w:val="22"/>
          <w:szCs w:val="22"/>
        </w:rPr>
        <w:t xml:space="preserve">Monitor for spoofed email activity using DMARC aggregate reports from a reporting service.</w:t>
      </w:r>
    </w:p>
    <w:p>
      <w:pPr>
        <w:spacing w:after="160" w:before="0"/>
      </w:pPr>
      <w:r>
        <w:t xml:space="preserve"/>
      </w:r>
    </w:p>
    <w:p>
      <w:r>
        <w:br w:type="page"/>
      </w:r>
    </w:p>
    <w:p>
      <w:pPr>
        <w:pStyle w:val="Heading2"/>
        <w:spacing w:after="140" w:before="280"/>
      </w:pPr>
      <w:r>
        <w:rPr>
          <w:rFonts w:ascii="Arial" w:cs="Arial" w:eastAsia="Arial" w:hAnsi="Arial"/>
          <w:b/>
          <w:bCs/>
          <w:color w:val="1A3C5E"/>
          <w:sz w:val="26"/>
          <w:szCs w:val="26"/>
        </w:rPr>
        <w:t xml:space="preserve">4.5  [F-05]  Third-Party Subdomains Susceptible to Subdomain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 ID</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F-05</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Attack Surface / Third-Party Risk</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234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INFORMATIONAL</w:t>
            </w:r>
          </w:p>
        </w:tc>
      </w:tr>
      <w:tr>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Criticality Level</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1E8449"/>
                <w:sz w:val="20"/>
                <w:szCs w:val="20"/>
              </w:rPr>
              <w:t xml:space="preserve">Informational</w:t>
            </w:r>
          </w:p>
        </w:tc>
        <w:tc>
          <w:tcPr>
            <w:tcW w:type="dxa" w:w="2340"/>
            <w:tcBorders>
              <w:top w:val="single" w:color="D0D0D0" w:sz="4"/>
              <w:left w:val="single" w:color="D0D0D0" w:sz="4"/>
              <w:bottom w:val="single" w:color="D0D0D0" w:sz="4"/>
              <w:right w:val="single" w:color="D0D0D0" w:sz="4"/>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Affected Assets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ebook, slides, intro, help, merchandise, npm, leanpub, github, sponsor, stats, pwning (all owasp-juice.shop subdomains)</w:t>
            </w:r>
          </w:p>
        </w:tc>
      </w:tr>
    </w:tbl>
    <w:p>
      <w:pPr>
        <w:spacing w:after="80" w:before="0"/>
      </w:pPr>
      <w:r>
        <w:t xml:space="preserve"/>
      </w:r>
    </w:p>
    <w:p>
      <w:pPr>
        <w:pStyle w:val="Heading3"/>
        <w:spacing w:after="100" w:before="200"/>
      </w:pPr>
      <w:r>
        <w:rPr>
          <w:rFonts w:ascii="Arial" w:cs="Arial" w:eastAsia="Arial" w:hAnsi="Arial"/>
          <w:b/>
          <w:bCs/>
          <w:color w:val="2C3E50"/>
          <w:sz w:val="22"/>
          <w:szCs w:val="22"/>
        </w:rPr>
        <w:t xml:space="preserve">Description</w:t>
      </w:r>
    </w:p>
    <w:p>
      <w:pPr>
        <w:spacing w:after="80" w:before="60"/>
        <w:jc w:val="both"/>
      </w:pPr>
      <w:r>
        <w:rPr>
          <w:rFonts w:ascii="Arial" w:cs="Arial" w:eastAsia="Arial" w:hAnsi="Arial"/>
          <w:color w:val="1A1A2E"/>
          <w:sz w:val="22"/>
          <w:szCs w:val="22"/>
        </w:rPr>
        <w:t xml:space="preserve">Eleven additional subdomains were identified that route to external platforms including GitHub, npm, LeanPub, and others. Each of these subdomains represents a dependency on an external third-party service. If any of these services are decommissioned without removing the corresponding DNS CNAME entry, the dangling record becomes exploitable via subdomain takeover.</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Impact</w:t>
      </w:r>
    </w:p>
    <w:p>
      <w:pPr>
        <w:spacing w:after="80" w:before="60"/>
        <w:jc w:val="both"/>
      </w:pPr>
      <w:r>
        <w:rPr>
          <w:rFonts w:ascii="Arial" w:cs="Arial" w:eastAsia="Arial" w:hAnsi="Arial"/>
          <w:color w:val="1A1A2E"/>
          <w:sz w:val="22"/>
          <w:szCs w:val="22"/>
        </w:rPr>
        <w:t xml:space="preserve">A successful subdomain takeover allows an attacker to serve content under the trusted owasp-juice.shop domain, enabling phishing attacks against users, session hijacking via cross-domain cookie theft, or distribution of malicious JavaScript under a trusted origin. This can severely damage user trust and may violate data protection obligations.</w:t>
      </w:r>
    </w:p>
    <w:p>
      <w:pPr>
        <w:spacing w:after="80" w:before="0"/>
      </w:pPr>
      <w:r>
        <w:t xml:space="preserve"/>
      </w:r>
    </w:p>
    <w:p>
      <w:pPr>
        <w:pStyle w:val="Heading3"/>
        <w:spacing w:after="100" w:before="200"/>
      </w:pPr>
      <w:r>
        <w:rPr>
          <w:rFonts w:ascii="Arial" w:cs="Arial" w:eastAsia="Arial" w:hAnsi="Arial"/>
          <w:b/>
          <w:bCs/>
          <w:color w:val="2C3E50"/>
          <w:sz w:val="22"/>
          <w:szCs w:val="22"/>
        </w:rPr>
        <w:t xml:space="preserve">Recommendations</w:t>
      </w:r>
    </w:p>
    <w:p>
      <w:pPr>
        <w:pStyle w:val="ListParagraph"/>
        <w:numPr>
          <w:ilvl w:val="0"/>
          <w:numId w:val="2"/>
        </w:numPr>
        <w:spacing w:after="40" w:before="40"/>
      </w:pPr>
      <w:r>
        <w:rPr>
          <w:rFonts w:ascii="Arial" w:cs="Arial" w:eastAsia="Arial" w:hAnsi="Arial"/>
          <w:color w:val="1A1A2E"/>
          <w:sz w:val="22"/>
          <w:szCs w:val="22"/>
        </w:rPr>
        <w:t xml:space="preserve">Audit all CNAME-based subdomains for dangling DNS entries pointing to decommissioned external services.</w:t>
      </w:r>
    </w:p>
    <w:p>
      <w:pPr>
        <w:pStyle w:val="ListParagraph"/>
        <w:numPr>
          <w:ilvl w:val="0"/>
          <w:numId w:val="2"/>
        </w:numPr>
        <w:spacing w:after="40" w:before="40"/>
      </w:pPr>
      <w:r>
        <w:rPr>
          <w:rFonts w:ascii="Arial" w:cs="Arial" w:eastAsia="Arial" w:hAnsi="Arial"/>
          <w:color w:val="1A1A2E"/>
          <w:sz w:val="22"/>
          <w:szCs w:val="22"/>
        </w:rPr>
        <w:t xml:space="preserve">Maintain an inventory of all third-party services referenced by DNS and monitor for service discontinuation.</w:t>
      </w:r>
    </w:p>
    <w:p>
      <w:pPr>
        <w:pStyle w:val="ListParagraph"/>
        <w:numPr>
          <w:ilvl w:val="0"/>
          <w:numId w:val="2"/>
        </w:numPr>
        <w:spacing w:after="40" w:before="40"/>
      </w:pPr>
      <w:r>
        <w:rPr>
          <w:rFonts w:ascii="Arial" w:cs="Arial" w:eastAsia="Arial" w:hAnsi="Arial"/>
          <w:color w:val="1A1A2E"/>
          <w:sz w:val="22"/>
          <w:szCs w:val="22"/>
        </w:rPr>
        <w:t xml:space="preserve">Run periodic automated checks for subdomain takeover vulnerabilities using tools such as subjack or nuclei takeover templates.</w:t>
      </w:r>
    </w:p>
    <w:p>
      <w:pPr>
        <w:pStyle w:val="ListParagraph"/>
        <w:numPr>
          <w:ilvl w:val="0"/>
          <w:numId w:val="2"/>
        </w:numPr>
        <w:spacing w:after="40" w:before="40"/>
      </w:pPr>
      <w:r>
        <w:rPr>
          <w:rFonts w:ascii="Arial" w:cs="Arial" w:eastAsia="Arial" w:hAnsi="Arial"/>
          <w:color w:val="1A1A2E"/>
          <w:sz w:val="22"/>
          <w:szCs w:val="22"/>
        </w:rPr>
        <w:t xml:space="preserve">Review npm and GitHub-linked subdomains for dependency confusion or typosquatting risks in the package ecosystem.</w:t>
      </w:r>
    </w:p>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5. AI-Recommended Attack Chain</w:t>
      </w:r>
    </w:p>
    <w:p>
      <w:pPr>
        <w:spacing w:after="80" w:before="60"/>
        <w:jc w:val="both"/>
      </w:pPr>
      <w:r>
        <w:rPr>
          <w:rFonts w:ascii="Arial" w:cs="Arial" w:eastAsia="Arial" w:hAnsi="Arial"/>
          <w:color w:val="1A1A2E"/>
          <w:sz w:val="22"/>
          <w:szCs w:val="22"/>
        </w:rPr>
        <w:t xml:space="preserve">The Hexstrike AI reconnaissance engine produced the following recommended toolchain for subsequent active testing phases. Each tool was selected based on target fingerprinting, attack surface analysis, and modeled success probability. This section is for planning purposes only and must not be executed without continued written authorization.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1872"/>
        <w:gridCol w:w="1872"/>
      </w:tblGrid>
      <w:tr>
        <w:trPr>
          <w:tblHeader/>
        </w:trPr>
        <w:tc>
          <w:tcPr>
            <w:tcW w:type="dxa" w:w="936"/>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8"/>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72"/>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1872"/>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Success Prob.</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nmap</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 scanning and service version detection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120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56%</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httpx</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Live host probing across all subdomains</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60%</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katana</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crawler and endpoint discovery</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62%</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gau</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Historical URL harvesting from web archives</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57%</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waybackurls</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Wayback Machine archived URL extraction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56%</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nuclei</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Automated vulnerability template scanning</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66%</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dirsearch</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Directory and file brute-forcing</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61%</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gobuster</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Directory enumeration via wordlist</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300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63%</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jaeles</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Signature-based vulnerability scanning</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64%</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dalfox</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Cross-Site Scripting (XSS) fuzzing</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180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65%</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nikto</w:t>
            </w:r>
          </w:p>
        </w:tc>
        <w:tc>
          <w:tcPr>
            <w:tcW w:type="dxa" w:w="2808"/>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server misconfiguration scanning</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240 min</w:t>
            </w:r>
          </w:p>
        </w:tc>
        <w:tc>
          <w:tcPr>
            <w:tcW w:type="dxa" w:w="1872"/>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60%</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sqlmap</w:t>
            </w:r>
          </w:p>
        </w:tc>
        <w:tc>
          <w:tcPr>
            <w:tcW w:type="dxa" w:w="2808"/>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SQL injection testing</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600 min</w:t>
            </w:r>
          </w:p>
        </w:tc>
        <w:tc>
          <w:tcPr>
            <w:tcW w:type="dxa" w:w="1872"/>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63%</w:t>
            </w:r>
          </w:p>
        </w:tc>
      </w:tr>
    </w:tbl>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6. Remediation Roadmap</w:t>
      </w:r>
    </w:p>
    <w:p>
      <w:pPr>
        <w:spacing w:after="80" w:before="60"/>
        <w:jc w:val="both"/>
      </w:pPr>
      <w:r>
        <w:rPr>
          <w:rFonts w:ascii="Arial" w:cs="Arial" w:eastAsia="Arial" w:hAnsi="Arial"/>
          <w:color w:val="1A1A2E"/>
          <w:sz w:val="22"/>
          <w:szCs w:val="22"/>
        </w:rPr>
        <w:t xml:space="preserve">The following roadmap prioritizes findings by risk and provides a recommended timeline for remediation. All timelines assume dedicated security engineering resource availability.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1404"/>
        <w:gridCol w:w="2340"/>
        <w:gridCol w:w="1404"/>
      </w:tblGrid>
      <w:tr>
        <w:trPr>
          <w:tblHeader/>
        </w:trPr>
        <w:tc>
          <w:tcPr>
            <w:tcW w:type="dxa" w:w="936"/>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76"/>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4"/>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4"/>
            <w:tcBorders>
              <w:top w:val="single" w:color="D0D0D0" w:sz="4"/>
              <w:left w:val="single" w:color="D0D0D0" w:sz="4"/>
              <w:bottom w:val="single" w:color="D0D0D0" w:sz="4"/>
              <w:right w:val="single" w:color="D0D0D0"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F-01</w:t>
            </w:r>
          </w:p>
        </w:tc>
        <w:tc>
          <w:tcPr>
            <w:tcW w:type="dxa" w:w="327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Exposed Staging and Preview Environments</w:t>
            </w:r>
          </w:p>
        </w:tc>
        <w:tc>
          <w:tcPr>
            <w:tcW w:type="dxa" w:w="1404"/>
            <w:tcBorders>
              <w:top w:val="single" w:color="D0D0D0" w:sz="4"/>
              <w:left w:val="single" w:color="D0D0D0" w:sz="4"/>
              <w:bottom w:val="single" w:color="D0D0D0" w:sz="4"/>
              <w:right w:val="single" w:color="D0D0D0" w:sz="4"/>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P1 — Immediate</w:t>
            </w:r>
          </w:p>
        </w:tc>
        <w:tc>
          <w:tcPr>
            <w:tcW w:type="dxa" w:w="1404"/>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0–7 days</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F-02</w:t>
            </w:r>
          </w:p>
        </w:tc>
        <w:tc>
          <w:tcPr>
            <w:tcW w:type="dxa" w:w="327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 Dev Endpoints in Public DNS</w:t>
            </w:r>
          </w:p>
        </w:tc>
        <w:tc>
          <w:tcPr>
            <w:tcW w:type="dxa" w:w="1404"/>
            <w:tcBorders>
              <w:top w:val="single" w:color="D0D0D0" w:sz="4"/>
              <w:left w:val="single" w:color="D0D0D0" w:sz="4"/>
              <w:bottom w:val="single" w:color="D0D0D0" w:sz="4"/>
              <w:right w:val="single" w:color="D0D0D0" w:sz="4"/>
            </w:tcBorders>
            <w:shd w:fill="FEF3E2"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Medium</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P2 — Short-term</w:t>
            </w:r>
          </w:p>
        </w:tc>
        <w:tc>
          <w:tcPr>
            <w:tcW w:type="dxa" w:w="1404"/>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7–14 days</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F-03</w:t>
            </w:r>
          </w:p>
        </w:tc>
        <w:tc>
          <w:tcPr>
            <w:tcW w:type="dxa" w:w="327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 Infrastructure Fingerprinted (STRATO AG)</w:t>
            </w:r>
          </w:p>
        </w:tc>
        <w:tc>
          <w:tcPr>
            <w:tcW w:type="dxa" w:w="1404"/>
            <w:tcBorders>
              <w:top w:val="single" w:color="D0D0D0" w:sz="4"/>
              <w:left w:val="single" w:color="D0D0D0" w:sz="4"/>
              <w:bottom w:val="single" w:color="D0D0D0" w:sz="4"/>
              <w:right w:val="single" w:color="D0D0D0" w:sz="4"/>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Low</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P3 — Medium-term</w:t>
            </w:r>
          </w:p>
        </w:tc>
        <w:tc>
          <w:tcPr>
            <w:tcW w:type="dxa" w:w="1404"/>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14–30 days</w:t>
            </w:r>
          </w:p>
        </w:tc>
      </w:tr>
      <w:tr>
        <w:tc>
          <w:tcPr>
            <w:tcW w:type="dxa" w:w="93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F-04</w:t>
            </w:r>
          </w:p>
        </w:tc>
        <w:tc>
          <w:tcPr>
            <w:tcW w:type="dxa" w:w="3276"/>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Mail Server Exposed and Fingerprinted</w:t>
            </w:r>
          </w:p>
        </w:tc>
        <w:tc>
          <w:tcPr>
            <w:tcW w:type="dxa" w:w="1404"/>
            <w:tcBorders>
              <w:top w:val="single" w:color="D0D0D0" w:sz="4"/>
              <w:left w:val="single" w:color="D0D0D0" w:sz="4"/>
              <w:bottom w:val="single" w:color="D0D0D0" w:sz="4"/>
              <w:right w:val="single" w:color="D0D0D0" w:sz="4"/>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Low</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P3 — Medium-term</w:t>
            </w:r>
          </w:p>
        </w:tc>
        <w:tc>
          <w:tcPr>
            <w:tcW w:type="dxa" w:w="1404"/>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14–30 days</w:t>
            </w:r>
          </w:p>
        </w:tc>
      </w:tr>
      <w:tr>
        <w:tc>
          <w:tcPr>
            <w:tcW w:type="dxa" w:w="93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F-05</w:t>
            </w:r>
          </w:p>
        </w:tc>
        <w:tc>
          <w:tcPr>
            <w:tcW w:type="dxa" w:w="327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Third-Party Subdomains — Subdomain Takeover Risk</w:t>
            </w:r>
          </w:p>
        </w:tc>
        <w:tc>
          <w:tcPr>
            <w:tcW w:type="dxa" w:w="1404"/>
            <w:tcBorders>
              <w:top w:val="single" w:color="D0D0D0" w:sz="4"/>
              <w:left w:val="single" w:color="D0D0D0" w:sz="4"/>
              <w:bottom w:val="single" w:color="D0D0D0" w:sz="4"/>
              <w:right w:val="single" w:color="D0D0D0" w:sz="4"/>
            </w:tcBorders>
            <w:shd w:fill="EAF7EF"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Informational</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P4 — Ongoing</w:t>
            </w:r>
          </w:p>
        </w:tc>
        <w:tc>
          <w:tcPr>
            <w:tcW w:type="dxa" w:w="1404"/>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30+ days</w:t>
            </w:r>
          </w:p>
        </w:tc>
      </w:tr>
    </w:tbl>
    <w:p>
      <w:pPr>
        <w:spacing w:after="160" w:before="0"/>
      </w:pPr>
      <w:r>
        <w:t xml:space="preserve"/>
      </w:r>
    </w:p>
    <w:p>
      <w:r>
        <w:br w:type="page"/>
      </w:r>
    </w:p>
    <w:p>
      <w:pPr>
        <w:pStyle w:val="Heading1"/>
        <w:pBdr>
          <w:bottom w:val="single" w:color="1A3C5E" w:sz="8" w:space="4"/>
        </w:pBdr>
        <w:spacing w:after="200" w:before="360"/>
      </w:pPr>
      <w:r>
        <w:rPr>
          <w:rFonts w:ascii="Arial" w:cs="Arial" w:eastAsia="Arial" w:hAnsi="Arial"/>
          <w:b/>
          <w:bCs/>
          <w:color w:val="1A3C5E"/>
          <w:sz w:val="32"/>
          <w:szCs w:val="32"/>
        </w:rPr>
        <w:t xml:space="preserve">7. Conclusion</w:t>
      </w:r>
    </w:p>
    <w:p>
      <w:pPr>
        <w:spacing w:after="80" w:before="60"/>
        <w:jc w:val="both"/>
      </w:pPr>
      <w:r>
        <w:rPr>
          <w:rFonts w:ascii="Arial" w:cs="Arial" w:eastAsia="Arial" w:hAnsi="Arial"/>
          <w:color w:val="1A1A2E"/>
          <w:sz w:val="22"/>
          <w:szCs w:val="22"/>
        </w:rPr>
        <w:t xml:space="preserve">This reconnaissance assessment has successfully mapped the full external attack surface of owasp-juice.shop. The discovery of 19 subdomains, exposed non-production environments, local developer DNS entries, and detailed infrastructure fingerprinting demonstrates a meaningful and actionable attack surface that warrants immediate attention.</w:t>
      </w:r>
    </w:p>
    <w:p>
      <w:pPr>
        <w:spacing w:after="80" w:before="60"/>
        <w:jc w:val="both"/>
      </w:pPr>
      <w:r>
        <w:rPr>
          <w:rFonts w:ascii="Arial" w:cs="Arial" w:eastAsia="Arial" w:hAnsi="Arial"/>
          <w:color w:val="1A1A2E"/>
          <w:sz w:val="22"/>
          <w:szCs w:val="22"/>
        </w:rPr>
        <w:t xml:space="preserve">The highest-priority issues — the publicly accessible staging and preview environments — should be addressed within one week, as they represent direct pathways to pre-production application logic and potentially sensitive test data. The exposure of local developer DNS entries poses an ongoing risk to developer machine security and should be remediated promptly.</w:t>
      </w:r>
    </w:p>
    <w:p>
      <w:pPr>
        <w:spacing w:after="80" w:before="60"/>
        <w:jc w:val="both"/>
      </w:pPr>
      <w:r>
        <w:rPr>
          <w:rFonts w:ascii="Arial" w:cs="Arial" w:eastAsia="Arial" w:hAnsi="Arial"/>
          <w:color w:val="1A1A2E"/>
          <w:sz w:val="22"/>
          <w:szCs w:val="22"/>
        </w:rPr>
        <w:t xml:space="preserve">Following remediation of the identified findings, it is recommended that the organization conduct a full authenticated web application penetration test using the toolchain outlined in Section 5, targeting all live in-scope endpoints. This will provide a comprehensive view of application-layer vulnerabilities including authentication weaknesses, injection flaws, and broken access controls — all hallmarks of the OWASP Juice Shop intentional vulnerability design.</w:t>
      </w:r>
    </w:p>
    <w:p>
      <w:pPr>
        <w:spacing w:after="80" w:before="0"/>
      </w:pPr>
      <w:r>
        <w:t xml:space="preserve"/>
      </w:r>
    </w:p>
    <w:p>
      <w:pPr>
        <w:spacing w:after="80" w:before="60"/>
        <w:jc w:val="both"/>
      </w:pPr>
      <w:r>
        <w:rPr>
          <w:rFonts w:ascii="Arial" w:cs="Arial" w:eastAsia="Arial" w:hAnsi="Arial"/>
          <w:i/>
          <w:iCs/>
          <w:color w:val="888888"/>
          <w:sz w:val="18"/>
          <w:szCs w:val="18"/>
        </w:rPr>
        <w:t xml:space="preserve">This report was prepared by Hexstrike Security Research using AI-assisted tooling on the Hexstrike platform. All testing was performed with explicit written authorization from the application owner.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Prepared by Hexstrike Security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Arial" w:cs="Arial" w:eastAsia="Arial" w:hAnsi="Arial"/>
        <w:color w:val="888888"/>
        <w:sz w:val="16"/>
        <w:szCs w:val="16"/>
      </w:rPr>
      <w:t xml:space="preserve">CONFIDENTIAL  |  Penetration Test Report  |  OWASP Juice 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2026-05-06T04:48:57.649Z</dcterms:created>
  <dcterms:modified xsi:type="dcterms:W3CDTF">2026-05-06T04:48:57.649Z</dcterms:modified>
</cp:coreProperties>
</file>

<file path=docProps/custom.xml><?xml version="1.0" encoding="utf-8"?>
<Properties xmlns="http://schemas.openxmlformats.org/officeDocument/2006/custom-properties" xmlns:vt="http://schemas.openxmlformats.org/officeDocument/2006/docPropsVTypes"/>
</file>