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VELOCIGENE Use Case: Mapping the "Dark Matter" of the Proteome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Quest for Pathogenic smORFs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thanks to Jean Siao @ Regeneron 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Problem Statement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decades, genomic medicine has focused on the "canonical" coding sequences (CDS). However, a significant portion of disease-associated variants fall into non-coding regions—areas we once thought were silent. We now know these regions are teeming with </w:t>
      </w:r>
      <w:r w:rsidDel="00000000" w:rsidR="00000000" w:rsidRPr="00000000">
        <w:rPr>
          <w:b w:val="1"/>
          <w:bCs w:val="1"/>
          <w:rtl w:val="0"/>
        </w:rPr>
        <w:t xml:space="preserve">Small Open Reading Frames (smORFs)</w:t>
      </w:r>
      <w:r w:rsidDel="00000000" w:rsidR="00000000" w:rsidRPr="00000000">
        <w:rPr>
          <w:rtl w:val="0"/>
        </w:rPr>
        <w:t xml:space="preserve"> like uORFs (upstream) and dORFs (downstream).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ENCODE Consortium has recently released a goldmine of </w:t>
      </w:r>
      <w:r w:rsidDel="00000000" w:rsidR="00000000" w:rsidRPr="00000000">
        <w:rPr>
          <w:b w:val="1"/>
          <w:bCs w:val="1"/>
          <w:rtl w:val="0"/>
        </w:rPr>
        <w:t xml:space="preserve">Ribo-seq data</w:t>
      </w:r>
      <w:r w:rsidDel="00000000" w:rsidR="00000000" w:rsidRPr="00000000">
        <w:rPr>
          <w:rtl w:val="0"/>
        </w:rPr>
        <w:t xml:space="preserve">, proving these "non-coding" regions are actively being translated into peptides. </w:t>
      </w:r>
      <w:r w:rsidDel="00000000" w:rsidR="00000000" w:rsidRPr="00000000">
        <w:rPr>
          <w:b w:val="1"/>
          <w:bCs w:val="1"/>
          <w:rtl w:val="0"/>
        </w:rPr>
        <w:t xml:space="preserve">Your mission:</w:t>
      </w:r>
      <w:r w:rsidDel="00000000" w:rsidR="00000000" w:rsidRPr="00000000">
        <w:rPr>
          <w:rtl w:val="0"/>
        </w:rPr>
        <w:t xml:space="preserve"> Bridge the gap between these newly identified smORFs and known human disease variants to identify potentially "silent" drivers of pathology.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36-Hour Objective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Develop a computational pipeline that integrates Ribo-seq defined smORF coordinates with clinical variant databases (like ClinVar or GWAS Catalog) to prioritize non-canonical variants that likely disrupt protein synthesis.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Project Milestones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Data Acquisition &amp; Harmonization (Hours 0–8)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smORF Map:</w:t>
      </w:r>
      <w:r w:rsidDel="00000000" w:rsidR="00000000" w:rsidRPr="00000000">
        <w:rPr>
          <w:rtl w:val="0"/>
        </w:rPr>
        <w:t xml:space="preserve"> Download the Gencode Ribo-seq ORF annotations. You’ll need to parse these into a BED or GTF format.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GENCODE Ribo-seq ORFs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Variant Library:</w:t>
      </w:r>
      <w:r w:rsidDel="00000000" w:rsidR="00000000" w:rsidRPr="00000000">
        <w:rPr>
          <w:rtl w:val="0"/>
        </w:rPr>
        <w:t xml:space="preserve"> Pull known pathogenic or uncertain variants.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ClinVar FTP</w:t>
        </w:r>
      </w:hyperlink>
      <w:r w:rsidDel="00000000" w:rsidR="00000000" w:rsidRPr="00000000">
        <w:rPr>
          <w:rtl w:val="0"/>
        </w:rPr>
        <w:t xml:space="preserve"> or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GWAS Catalog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Reference Genome:</w:t>
      </w:r>
      <w:r w:rsidDel="00000000" w:rsidR="00000000" w:rsidRPr="00000000">
        <w:rPr>
          <w:rtl w:val="0"/>
        </w:rPr>
        <w:t xml:space="preserve"> Ensure all coordinates are on the same assembly (likely </w:t>
      </w:r>
      <w:r w:rsidDel="00000000" w:rsidR="00000000" w:rsidRPr="00000000">
        <w:rPr>
          <w:b w:val="1"/>
          <w:bCs w:val="1"/>
          <w:rtl w:val="0"/>
        </w:rPr>
        <w:t xml:space="preserve">GRCh38</w:t>
      </w:r>
      <w:r w:rsidDel="00000000" w:rsidR="00000000" w:rsidRPr="00000000">
        <w:rPr>
          <w:rtl w:val="0"/>
        </w:rPr>
        <w:t xml:space="preserve">). Use LiftOver tools if you encounter hg19 data.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The Intersection Engine (Hours 8–20)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 a high-speed genomic intersection to find variants falling exactly within the start codons, stop codons, or bodies of these smORFs.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Tools to consider:</w:t>
      </w:r>
      <w:r w:rsidDel="00000000" w:rsidR="00000000" w:rsidRPr="00000000">
        <w:rPr>
          <w:rtl w:val="0"/>
        </w:rPr>
        <w:t xml:space="preserve"> Bedtools, PyBigWig, or BioConductor (R).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Ambitious Goal:</w:t>
      </w:r>
      <w:r w:rsidDel="00000000" w:rsidR="00000000" w:rsidRPr="00000000">
        <w:rPr>
          <w:rtl w:val="0"/>
        </w:rPr>
        <w:t xml:space="preserve"> Don't just find "hits"—calculate the </w:t>
      </w:r>
      <w:r w:rsidDel="00000000" w:rsidR="00000000" w:rsidRPr="00000000">
        <w:rPr>
          <w:b w:val="1"/>
          <w:bCs w:val="1"/>
          <w:rtl w:val="0"/>
        </w:rPr>
        <w:t xml:space="preserve">functional impact</w:t>
      </w:r>
      <w:r w:rsidDel="00000000" w:rsidR="00000000" w:rsidRPr="00000000">
        <w:rPr>
          <w:rtl w:val="0"/>
        </w:rPr>
        <w:t xml:space="preserve">. Does the variant create a premature stop codon in a uORF? If so, does that "repress" or "activate" the main gene?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Functional Scoring &amp; Visualization (Hours 20–32)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PhastCons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PhyloP</w:t>
      </w:r>
      <w:r w:rsidDel="00000000" w:rsidR="00000000" w:rsidRPr="00000000">
        <w:rPr>
          <w:rtl w:val="0"/>
        </w:rPr>
        <w:t xml:space="preserve"> scores to see if these smORFs are evolutionarily conserved. High conservation + Pathogenic variant = A "Smoking Gun."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UCSC Genome Browser Conservation Tracks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Build a dashboard (Streamlit/Dash) where a user can input a gene and see all smORFs and their associated "dark" variants.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The "Pitch" (Hours 32–36)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Identify at least </w:t>
      </w:r>
      <w:r w:rsidDel="00000000" w:rsidR="00000000" w:rsidRPr="00000000">
        <w:rPr>
          <w:b w:val="1"/>
          <w:bCs w:val="1"/>
          <w:rtl w:val="0"/>
        </w:rPr>
        <w:t xml:space="preserve">three specific examples</w:t>
      </w:r>
      <w:r w:rsidDel="00000000" w:rsidR="00000000" w:rsidRPr="00000000">
        <w:rPr>
          <w:rtl w:val="0"/>
        </w:rPr>
        <w:t xml:space="preserve"> where a "non-coding" variant is actually a smORF-disrupting variant. Explain the mechanism: Does it cause "leaky scanning" or "ribosome stalling"?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Technical Deep-Dive Resources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Understanding smORFs: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Review on smORFs and Hidden Proteomes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Manipulation: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Biopython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Variant Impact: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Ensembl Variant Effect Predictor (VEP)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Success Criteria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Rigor:</w:t>
      </w:r>
      <w:r w:rsidDel="00000000" w:rsidR="00000000" w:rsidRPr="00000000">
        <w:rPr>
          <w:rtl w:val="0"/>
        </w:rPr>
        <w:t xml:space="preserve"> How well did you handle genomic coordinate offsets?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Biological Insight:</w:t>
      </w:r>
      <w:r w:rsidDel="00000000" w:rsidR="00000000" w:rsidRPr="00000000">
        <w:rPr>
          <w:rtl w:val="0"/>
        </w:rPr>
        <w:t xml:space="preserve"> Can you prove a variant previously labeled "intergenic" actually hits a translated dORF?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Can your pipeline process the entire ENCODE Ribo-seq set in under 10 minutes?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Pro-Tip:</w:t>
      </w:r>
      <w:r w:rsidDel="00000000" w:rsidR="00000000" w:rsidRPr="00000000">
        <w:rPr>
          <w:rtl w:val="0"/>
        </w:rPr>
        <w:t xml:space="preserve"> Focus first on </w:t>
      </w:r>
      <w:r w:rsidDel="00000000" w:rsidR="00000000" w:rsidRPr="00000000">
        <w:rPr>
          <w:b w:val="1"/>
          <w:bCs w:val="1"/>
          <w:rtl w:val="0"/>
        </w:rPr>
        <w:t xml:space="preserve">uORFs (Upstream ORFs)</w:t>
      </w:r>
      <w:r w:rsidDel="00000000" w:rsidR="00000000" w:rsidRPr="00000000">
        <w:rPr>
          <w:rtl w:val="0"/>
        </w:rPr>
        <w:t xml:space="preserve">. These are the most well-documented regulators of translation and are most likely to yield "low-hanging fruit" for disease associations.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Good luck. You're not just coding; you're rewriting the map of the human genome.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comfortable are you with handling large VCF or BED files, or would you like some tips on optimizing genomic intersections?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iopython.org/" TargetMode="External"/><Relationship Id="rId10" Type="http://schemas.openxmlformats.org/officeDocument/2006/relationships/hyperlink" Target="https://www.nature.com/articles/s41576-019-0173-8" TargetMode="External"/><Relationship Id="rId12" Type="http://schemas.openxmlformats.org/officeDocument/2006/relationships/hyperlink" Target="https://www.google.com/search?q=https://ensembl.org/info/docs/tools/vep/index.html" TargetMode="External"/><Relationship Id="rId9" Type="http://schemas.openxmlformats.org/officeDocument/2006/relationships/hyperlink" Target="https://genome.ucsc.edu/cgi-bin/hgTrackUi?g=cons100wa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ncodegenes.org/pages/riboseq_orfs/" TargetMode="External"/><Relationship Id="rId7" Type="http://schemas.openxmlformats.org/officeDocument/2006/relationships/hyperlink" Target="https://ftp.ncbi.nlm.nih.gov/pub/clinvar/" TargetMode="External"/><Relationship Id="rId8" Type="http://schemas.openxmlformats.org/officeDocument/2006/relationships/hyperlink" Target="https://www.ebi.ac.uk/gw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