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pPr>
      <w:bookmarkStart w:colFirst="0" w:colLast="0" w:name="_ltn34gcacuzn" w:id="0"/>
      <w:bookmarkEnd w:id="0"/>
      <w:r w:rsidDel="00000000" w:rsidR="00000000" w:rsidRPr="00000000">
        <w:rPr>
          <w:rtl w:val="0"/>
        </w:rPr>
        <w:t xml:space="preserve">Starter Kit: Structural Reasoning AI for Trial Prediction</w:t>
      </w:r>
    </w:p>
    <w:p w:rsidR="00000000" w:rsidDel="00000000" w:rsidP="00000000" w:rsidRDefault="00000000" w:rsidRPr="00000000" w14:paraId="00000002">
      <w:pPr>
        <w:pStyle w:val="Heading1"/>
        <w:rPr/>
      </w:pPr>
      <w:bookmarkStart w:colFirst="0" w:colLast="0" w:name="_vw6h2q4pq3md" w:id="1"/>
      <w:bookmarkEnd w:id="1"/>
      <w:r w:rsidDel="00000000" w:rsidR="00000000" w:rsidRPr="00000000">
        <w:rPr>
          <w:rtl w:val="0"/>
        </w:rPr>
        <w:t xml:space="preserve">The Problem: The Sparse Data &amp; Translation Gap</w:t>
      </w:r>
    </w:p>
    <w:p w:rsidR="00000000" w:rsidDel="00000000" w:rsidP="00000000" w:rsidRDefault="00000000" w:rsidRPr="00000000" w14:paraId="00000003">
      <w:pPr>
        <w:rPr/>
      </w:pPr>
      <w:r w:rsidDel="00000000" w:rsidR="00000000" w:rsidRPr="00000000">
        <w:rPr>
          <w:rtl w:val="0"/>
        </w:rPr>
        <w:t xml:space="preserve">Predicting clinical trial outcomes is the holy grail of drug development. However, traditional deep learning and large language models (LLMs) often fail here due to the "sparse data" problem—we simply don"t have billions of historical clinical trials to train on.</w:t>
      </w:r>
    </w:p>
    <w:p w:rsidR="00000000" w:rsidDel="00000000" w:rsidP="00000000" w:rsidRDefault="00000000" w:rsidRPr="00000000" w14:paraId="00000004">
      <w:pPr>
        <w:rPr/>
      </w:pPr>
      <w:r w:rsidDel="00000000" w:rsidR="00000000" w:rsidRPr="00000000">
        <w:rPr>
          <w:rtl w:val="0"/>
        </w:rPr>
        <w:t xml:space="preserve">More importantly, there is a fundamental flaw in how current AI handles physical and biological reality: the translation gap. Today"s AI models typically convert structural, spatial, or visual information (like 3D molecular structures, biological pathway graphs, or trial flowcharts) into text before reasoning over it. As demonstrated by researchers like Andrew Dai at Elorian AI, this text-first approach breaks down when tasks depend on spatial relationships, physical constraints, or structural details that are hard to compress into words.</w:t>
      </w:r>
    </w:p>
    <w:p w:rsidR="00000000" w:rsidDel="00000000" w:rsidP="00000000" w:rsidRDefault="00000000" w:rsidRPr="00000000" w14:paraId="00000005">
      <w:pPr>
        <w:pStyle w:val="Heading1"/>
        <w:rPr/>
      </w:pPr>
      <w:bookmarkStart w:colFirst="0" w:colLast="0" w:name="_nzg4utfrispd" w:id="2"/>
      <w:bookmarkEnd w:id="2"/>
      <w:r w:rsidDel="00000000" w:rsidR="00000000" w:rsidRPr="00000000">
        <w:rPr>
          <w:rtl w:val="0"/>
        </w:rPr>
        <w:t xml:space="preserve">The Objective (Highly Ambitious)</w:t>
      </w:r>
    </w:p>
    <w:p w:rsidR="00000000" w:rsidDel="00000000" w:rsidP="00000000" w:rsidRDefault="00000000" w:rsidRPr="00000000" w14:paraId="00000006">
      <w:pPr>
        <w:rPr/>
      </w:pPr>
      <w:r w:rsidDel="00000000" w:rsidR="00000000" w:rsidRPr="00000000">
        <w:rPr>
          <w:rtl w:val="0"/>
        </w:rPr>
        <w:t xml:space="preserve">Build a Structural Reasoning AI system capable of predicting the outcome (efficacy or safety) of a clinical trial prior to its public results. Instead of just parsing clinical trial text, your system must reason natively over structural representations—such as the spatial constraints of a drug-target interaction or the geometric pathways of a biological knowledge graph. This provides the transparent, mechanistic rationale required by human experts and regulatory audiences, ensuring decisions aren"t made by a black box.</w:t>
      </w:r>
    </w:p>
    <w:p w:rsidR="00000000" w:rsidDel="00000000" w:rsidP="00000000" w:rsidRDefault="00000000" w:rsidRPr="00000000" w14:paraId="00000007">
      <w:pPr>
        <w:pStyle w:val="Heading1"/>
        <w:rPr/>
      </w:pPr>
      <w:bookmarkStart w:colFirst="0" w:colLast="0" w:name="_mjwjng86i7kp" w:id="3"/>
      <w:bookmarkEnd w:id="3"/>
      <w:r w:rsidDel="00000000" w:rsidR="00000000" w:rsidRPr="00000000">
        <w:rPr>
          <w:rtl w:val="0"/>
        </w:rPr>
        <w:t xml:space="preserve">Why Structural Reasoning?</w:t>
      </w:r>
    </w:p>
    <w:p w:rsidR="00000000" w:rsidDel="00000000" w:rsidP="00000000" w:rsidRDefault="00000000" w:rsidRPr="00000000" w14:paraId="00000008">
      <w:pPr>
        <w:rPr/>
      </w:pPr>
      <w:r w:rsidDel="00000000" w:rsidR="00000000" w:rsidRPr="00000000">
        <w:rPr>
          <w:rtl w:val="0"/>
        </w:rPr>
        <w:t xml:space="preserve">Structural AI differentiates itself from standard LLMs by avoiding the text-translation bottleneck. It operates directly on the structure of the data—whether that is a visual representation of a molecule or the complex topology of a Knowledge Graph (KG). By encoding explicit, factual biological relationships into a graph and having an agent reason over its structure, you overcome sparse training data. The AI infers outcomes based on mechanistic, physical pathways rather than purely relying on historical pattern matching, making it far superior for domains like pharma where accuracy is paramount.</w:t>
      </w:r>
    </w:p>
    <w:p w:rsidR="00000000" w:rsidDel="00000000" w:rsidP="00000000" w:rsidRDefault="00000000" w:rsidRPr="00000000" w14:paraId="00000009">
      <w:pPr>
        <w:pStyle w:val="Heading1"/>
        <w:rPr/>
      </w:pPr>
      <w:bookmarkStart w:colFirst="0" w:colLast="0" w:name="_beyf5heis9yu" w:id="4"/>
      <w:bookmarkEnd w:id="4"/>
      <w:r w:rsidDel="00000000" w:rsidR="00000000" w:rsidRPr="00000000">
        <w:rPr>
          <w:rtl w:val="0"/>
        </w:rPr>
        <w:t xml:space="preserve">Agentic Approaches &amp; Hackathon Clues</w:t>
      </w:r>
    </w:p>
    <w:p w:rsidR="00000000" w:rsidDel="00000000" w:rsidP="00000000" w:rsidRDefault="00000000" w:rsidRPr="00000000" w14:paraId="0000000A">
      <w:pPr>
        <w:numPr>
          <w:ilvl w:val="0"/>
          <w:numId w:val="2"/>
        </w:numPr>
        <w:ind w:left="720" w:hanging="360"/>
      </w:pPr>
      <w:r w:rsidDel="00000000" w:rsidR="00000000" w:rsidRPr="00000000">
        <w:rPr>
          <w:rtl w:val="0"/>
        </w:rPr>
        <w:t xml:space="preserve">The 24-Hour Strategy: Do not build structural models from scratch. Use pre-built multi-modal knowledge graphs like PrimeKG, and map clinical trial entities directly to the graph"s structure.</w:t>
      </w:r>
    </w:p>
    <w:p w:rsidR="00000000" w:rsidDel="00000000" w:rsidP="00000000" w:rsidRDefault="00000000" w:rsidRPr="00000000" w14:paraId="0000000B">
      <w:pPr>
        <w:numPr>
          <w:ilvl w:val="0"/>
          <w:numId w:val="2"/>
        </w:numPr>
        <w:ind w:left="720" w:hanging="360"/>
      </w:pPr>
      <w:r w:rsidDel="00000000" w:rsidR="00000000" w:rsidRPr="00000000">
        <w:rPr>
          <w:rtl w:val="0"/>
        </w:rPr>
        <w:t xml:space="preserve">Agentic Assembly: Build an AI agent that takes an NCT number (from ClinicalTrials.gov), extracts the intervention and disease, and spatially/structurally maps them within a Knowledge Graph.</w:t>
      </w:r>
    </w:p>
    <w:p w:rsidR="00000000" w:rsidDel="00000000" w:rsidP="00000000" w:rsidRDefault="00000000" w:rsidRPr="00000000" w14:paraId="0000000C">
      <w:pPr>
        <w:numPr>
          <w:ilvl w:val="0"/>
          <w:numId w:val="2"/>
        </w:numPr>
        <w:ind w:left="720" w:hanging="360"/>
      </w:pPr>
      <w:r w:rsidDel="00000000" w:rsidR="00000000" w:rsidRPr="00000000">
        <w:rPr>
          <w:rtl w:val="0"/>
        </w:rPr>
        <w:t xml:space="preserve">Native Graph Reasoning: Use graph algorithms (e.g., shortest path, structural embeddings) to allow the agent to evaluate the physical and biological plausibility of the drug reaching its target and affecting the disease mechanism, without relying solely on LLM text generation.</w:t>
      </w:r>
    </w:p>
    <w:p w:rsidR="00000000" w:rsidDel="00000000" w:rsidP="00000000" w:rsidRDefault="00000000" w:rsidRPr="00000000" w14:paraId="0000000D">
      <w:pPr>
        <w:pStyle w:val="Heading1"/>
        <w:rPr/>
      </w:pPr>
      <w:bookmarkStart w:colFirst="0" w:colLast="0" w:name="_bifqqdz437kx" w:id="5"/>
      <w:bookmarkEnd w:id="5"/>
      <w:r w:rsidDel="00000000" w:rsidR="00000000" w:rsidRPr="00000000">
        <w:rPr>
          <w:rtl w:val="0"/>
        </w:rPr>
        <w:t xml:space="preserve">Canonical Resources &amp; References</w:t>
      </w:r>
    </w:p>
    <w:p w:rsidR="00000000" w:rsidDel="00000000" w:rsidP="00000000" w:rsidRDefault="00000000" w:rsidRPr="00000000" w14:paraId="0000000E">
      <w:pPr>
        <w:numPr>
          <w:ilvl w:val="0"/>
          <w:numId w:val="1"/>
        </w:numPr>
        <w:ind w:left="720" w:hanging="360"/>
      </w:pPr>
      <w:r w:rsidDel="00000000" w:rsidR="00000000" w:rsidRPr="00000000">
        <w:rPr>
          <w:rtl w:val="0"/>
        </w:rPr>
        <w:t xml:space="preserve">Elorian AI &amp; Structural Reasoning: elorian.ai - Founded by Andrew Dai (former researcher at Google DeepMind and co-developer of Gemini), Elorian AI aims to solve the "visual AGI gap." Their native multimodal models perform structural and visual reasoning—counting, shape matching, and spatial analysis—directly on visual inputs without converting them to text. See their research on multimodal training strategies in recent preprints (e.g., arXiv:2507.06261).</w:t>
      </w:r>
    </w:p>
    <w:p w:rsidR="00000000" w:rsidDel="00000000" w:rsidP="00000000" w:rsidRDefault="00000000" w:rsidRPr="00000000" w14:paraId="0000000F">
      <w:pPr>
        <w:numPr>
          <w:ilvl w:val="0"/>
          <w:numId w:val="1"/>
        </w:numPr>
        <w:ind w:left="720" w:hanging="360"/>
      </w:pPr>
      <w:r w:rsidDel="00000000" w:rsidR="00000000" w:rsidRPr="00000000">
        <w:rPr>
          <w:rtl w:val="0"/>
        </w:rPr>
        <w:t xml:space="preserve">ClinicalTrials.gov API (v2): https://clinicaltrials.gov/data-api/api - Pull fresh trial protocols and endpoints.</w:t>
      </w:r>
    </w:p>
    <w:p w:rsidR="00000000" w:rsidDel="00000000" w:rsidP="00000000" w:rsidRDefault="00000000" w:rsidRPr="00000000" w14:paraId="00000010">
      <w:pPr>
        <w:numPr>
          <w:ilvl w:val="0"/>
          <w:numId w:val="1"/>
        </w:numPr>
        <w:ind w:left="720" w:hanging="360"/>
      </w:pPr>
      <w:r w:rsidDel="00000000" w:rsidR="00000000" w:rsidRPr="00000000">
        <w:rPr>
          <w:rtl w:val="0"/>
        </w:rPr>
        <w:t xml:space="preserve">PrimeKG (Precision Medicine Knowledge Graph): https://zitniklab.hms.harvard.edu/projects/PrimeKG/ - An open-source, multi-modal knowledge graph from Harvard designed specifically for drug discovery.</w:t>
      </w:r>
    </w:p>
    <w:p w:rsidR="00000000" w:rsidDel="00000000" w:rsidP="00000000" w:rsidRDefault="00000000" w:rsidRPr="00000000" w14:paraId="00000011">
      <w:pPr>
        <w:numPr>
          <w:ilvl w:val="0"/>
          <w:numId w:val="1"/>
        </w:numPr>
        <w:ind w:left="720" w:hanging="360"/>
      </w:pPr>
      <w:r w:rsidDel="00000000" w:rsidR="00000000" w:rsidRPr="00000000">
        <w:rPr>
          <w:rtl w:val="0"/>
        </w:rPr>
        <w:t xml:space="preserve">Open Targets Platform: https://platform.opentargets.org/ - Comprehensive data on drug-target-disease associations.</w:t>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utfit">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1f2937"/>
        <w:sz w:val="24"/>
        <w:szCs w:val="24"/>
        <w:lang w:val="en"/>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76" w:lineRule="auto"/>
    </w:pPr>
    <w:rPr>
      <w:rFonts w:ascii="Outfit" w:cs="Outfit" w:eastAsia="Outfit" w:hAnsi="Outfit"/>
      <w:b w:val="1"/>
      <w:bCs w:val="1"/>
      <w:i w:val="0"/>
      <w:iCs w:val="0"/>
      <w:color w:val="3730a3"/>
      <w:sz w:val="36"/>
      <w:szCs w:val="36"/>
    </w:rPr>
  </w:style>
  <w:style w:type="paragraph" w:styleId="Heading2">
    <w:name w:val="heading 2"/>
    <w:basedOn w:val="Normal"/>
    <w:next w:val="Normal"/>
    <w:pPr>
      <w:keepNext w:val="1"/>
      <w:keepLines w:val="1"/>
      <w:pageBreakBefore w:val="0"/>
      <w:spacing w:after="80" w:before="360" w:line="276" w:lineRule="auto"/>
    </w:pPr>
    <w:rPr>
      <w:rFonts w:ascii="Outfit" w:cs="Outfit" w:eastAsia="Outfit" w:hAnsi="Outfit"/>
      <w:b w:val="1"/>
      <w:bCs w:val="1"/>
      <w:i w:val="0"/>
      <w:iCs w:val="0"/>
      <w:color w:val="4338ca"/>
      <w:sz w:val="30"/>
      <w:szCs w:val="30"/>
    </w:rPr>
  </w:style>
  <w:style w:type="paragraph" w:styleId="Heading3">
    <w:name w:val="heading 3"/>
    <w:basedOn w:val="Normal"/>
    <w:next w:val="Normal"/>
    <w:pPr>
      <w:keepNext w:val="1"/>
      <w:keepLines w:val="1"/>
      <w:pageBreakBefore w:val="0"/>
      <w:spacing w:after="80" w:before="280" w:line="276" w:lineRule="auto"/>
    </w:pPr>
    <w:rPr>
      <w:rFonts w:ascii="Outfit" w:cs="Outfit" w:eastAsia="Outfit" w:hAnsi="Outfit"/>
      <w:b w:val="1"/>
      <w:bCs w:val="1"/>
      <w:i w:val="0"/>
      <w:iCs w:val="0"/>
      <w:color w:val="4f46e5"/>
      <w:sz w:val="26"/>
      <w:szCs w:val="26"/>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Outfit" w:cs="Outfit" w:eastAsia="Outfit" w:hAnsi="Outfit"/>
      <w:b w:val="1"/>
      <w:bCs w:val="1"/>
      <w:i w:val="0"/>
      <w:iCs w:val="0"/>
      <w:color w:val="111827"/>
      <w:sz w:val="42"/>
      <w:szCs w:val="4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Outfit-regular.ttf"/><Relationship Id="rId6" Type="http://schemas.openxmlformats.org/officeDocument/2006/relationships/font" Target="fonts/Outfit-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