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24"/>
          <w:szCs w:val="24"/>
        </w:rPr>
        <w:t xml:space="preserve">UNIVERSIDAD MARIANO GÁLVEZ DE GUATEMALA</w:t>
      </w:r>
    </w:p>
    <w:p>
      <w:pPr>
        <w:spacing w:after="600"/>
        <w:jc w:val="center"/>
      </w:pPr>
      <w:r>
        <w:rPr>
          <w:color w:val="444444"/>
          <w:sz w:val="20"/>
          <w:szCs w:val="20"/>
        </w:rPr>
        <w:t xml:space="preserve">Facultad de Ingeniería en Sistemas de Información y Ciencias de la Computación</w:t>
      </w:r>
    </w:p>
    <w:p>
      <w:pPr>
        <w:spacing w:after="200" w:before="800"/>
        <w:jc w:val="center"/>
      </w:pPr>
      <w:r>
        <w:rPr>
          <w:color w:val="444444"/>
          <w:sz w:val="22"/>
          <w:szCs w:val="22"/>
        </w:rPr>
        <w:t xml:space="preserve">Redes de Computadoras 1</w:t>
      </w:r>
    </w:p>
    <w:p>
      <w:pPr>
        <w:spacing w:after="200"/>
        <w:jc w:val="center"/>
      </w:pPr>
      <w:r>
        <w:rPr>
          <w:b/>
          <w:bCs/>
          <w:color w:val="1F3864"/>
          <w:sz w:val="40"/>
          <w:szCs w:val="40"/>
        </w:rPr>
        <w:t xml:space="preserve">Proyecto Final — Virtual Solutions</w:t>
      </w:r>
    </w:p>
    <w:p>
      <w:pPr>
        <w:spacing w:after="900"/>
        <w:jc w:val="center"/>
      </w:pPr>
      <w:r>
        <w:rPr>
          <w:color w:val="2E5395"/>
          <w:sz w:val="30"/>
          <w:szCs w:val="30"/>
        </w:rPr>
        <w:t xml:space="preserve">Fase 1: Análisis y Diseño de la Red Corporativa</w:t>
      </w:r>
    </w:p>
    <w:p>
      <w:pPr>
        <w:spacing w:after="120"/>
        <w:jc w:val="center"/>
      </w:pPr>
      <w:r>
        <w:rPr>
          <w:b/>
          <w:bCs/>
          <w:sz w:val="22"/>
          <w:szCs w:val="22"/>
        </w:rPr>
        <w:t xml:space="preserve">Integrantes</w:t>
      </w:r>
    </w:p>
    <w:p>
      <w:pPr>
        <w:spacing w:after="60"/>
        <w:jc w:val="center"/>
      </w:pPr>
      <w:r>
        <w:rPr>
          <w:sz w:val="21"/>
          <w:szCs w:val="21"/>
        </w:rPr>
        <w:t xml:space="preserve">Samuel</w:t>
      </w:r>
    </w:p>
    <w:p>
      <w:pPr>
        <w:spacing w:after="60"/>
        <w:jc w:val="center"/>
      </w:pPr>
      <w:r>
        <w:rPr>
          <w:sz w:val="21"/>
          <w:szCs w:val="21"/>
        </w:rPr>
        <w:t xml:space="preserve">Sergio</w:t>
      </w:r>
    </w:p>
    <w:p>
      <w:pPr>
        <w:spacing w:after="60"/>
        <w:jc w:val="center"/>
      </w:pPr>
      <w:r>
        <w:rPr>
          <w:sz w:val="21"/>
          <w:szCs w:val="21"/>
        </w:rPr>
        <w:t xml:space="preserve">Melany</w:t>
      </w:r>
    </w:p>
    <w:p>
      <w:pPr>
        <w:spacing w:after="60"/>
        <w:jc w:val="center"/>
      </w:pPr>
      <w:r>
        <w:rPr>
          <w:sz w:val="21"/>
          <w:szCs w:val="21"/>
        </w:rPr>
        <w:t xml:space="preserve">Luis</w:t>
      </w:r>
    </w:p>
    <w:p>
      <w:pPr>
        <w:spacing w:after="60"/>
        <w:jc w:val="center"/>
      </w:pPr>
      <w:r>
        <w:rPr>
          <w:sz w:val="21"/>
          <w:szCs w:val="21"/>
        </w:rPr>
        <w:t xml:space="preserve">Jeferson</w:t>
      </w:r>
    </w:p>
    <w:p>
      <w:pPr>
        <w:spacing w:before="900"/>
        <w:jc w:val="center"/>
      </w:pPr>
      <w:r>
        <w:rPr>
          <w:i/>
          <w:iCs/>
          <w:color w:val="444444"/>
          <w:sz w:val="21"/>
          <w:szCs w:val="21"/>
        </w:rPr>
        <w:t xml:space="preserve">Entrega 1 — 23 de agosto de 2026</w:t>
      </w:r>
    </w:p>
    <w:p>
      <w:r>
        <w:br w:type="page"/>
      </w:r>
    </w:p>
    <w:p>
      <w:pPr>
        <w:pStyle w:val="Heading1"/>
      </w:pPr>
      <w: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pStyle w:val="Heading1"/>
        <w:spacing w:after="180" w:before="480"/>
      </w:pPr>
      <w:r>
        <w:t xml:space="preserve">Fase 1 — Análisis y Diseño de la Red Corporativa (2 pts)</w:t>
      </w:r>
    </w:p>
    <w:p>
      <w:pPr>
        <w:pStyle w:val="Heading2"/>
        <w:spacing w:after="180" w:before="320"/>
      </w:pPr>
      <w:r>
        <w:t xml:space="preserve">Resumen ejecutivo</w:t>
      </w:r>
    </w:p>
    <w:p>
      <w:pPr>
        <w:spacing w:after="160"/>
        <w:jc w:val="both"/>
      </w:pPr>
      <w:r>
        <w:rPr>
          <w:sz w:val="21"/>
          <w:szCs w:val="21"/>
        </w:rPr>
        <w:t xml:space="preserve">Esta carpeta cubre los 6 entregables que exige la Fase 1 del proyecto, </w:t>
      </w:r>
      <w:r>
        <w:rPr>
          <w:b/>
          <w:bCs/>
          <w:sz w:val="21"/>
          <w:szCs w:val="21"/>
        </w:rPr>
        <w:t xml:space="preserve">1 documento por punto</w:t>
      </w:r>
      <w:r>
        <w:rPr>
          <w:sz w:val="21"/>
          <w:szCs w:val="21"/>
        </w:rPr>
        <w:t xml:space="preserve"> para que el equipo pueda repartírselos y para que cada uno sea fácil de encontrar y revisar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Punto exigido por el enunciado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Documento</w:t>
            </w:r>
          </w:p>
        </w:tc>
      </w:tr>
      <w:tr>
        <w:tc>
          <w:tcPr>
            <w:tcW w:type="dxa" w:w="3120"/>
            <w:tcMar>
              <w:top w:type="dxa" w:w="80"/>
              <w:left w:type="dxa" w:w="100"/>
              <w:bottom w:type="dxa" w:w="80"/>
              <w:right w:type="dxa" w:w="100"/>
            </w:tcMar>
            <w:vAlign w:val="center"/>
          </w:tcPr>
          <w:p>
            <w:r>
              <w:rPr>
                <w:b w:val="false"/>
                <w:bCs w:val="false"/>
                <w:sz w:val="19"/>
                <w:szCs w:val="19"/>
              </w:rPr>
              <w:t xml:space="preserve">1</w:t>
            </w:r>
          </w:p>
        </w:tc>
        <w:tc>
          <w:tcPr>
            <w:tcW w:type="dxa" w:w="3120"/>
            <w:tcMar>
              <w:top w:type="dxa" w:w="80"/>
              <w:left w:type="dxa" w:w="100"/>
              <w:bottom w:type="dxa" w:w="80"/>
              <w:right w:type="dxa" w:w="100"/>
            </w:tcMar>
            <w:vAlign w:val="center"/>
          </w:tcPr>
          <w:p>
            <w:r>
              <w:rPr>
                <w:b w:val="false"/>
                <w:bCs w:val="false"/>
                <w:sz w:val="19"/>
                <w:szCs w:val="19"/>
              </w:rPr>
              <w:t xml:space="preserve">Análisis de las necesidades tecnológicas</w:t>
            </w:r>
          </w:p>
        </w:tc>
        <w:tc>
          <w:tcPr>
            <w:tcW w:type="dxa" w:w="3120"/>
            <w:tcMar>
              <w:top w:type="dxa" w:w="80"/>
              <w:left w:type="dxa" w:w="100"/>
              <w:bottom w:type="dxa" w:w="80"/>
              <w:right w:type="dxa" w:w="100"/>
            </w:tcMar>
            <w:vAlign w:val="center"/>
          </w:tcPr>
          <w:p>
            <w:r>
              <w:rPr>
                <w:b w:val="false"/>
                <w:bCs w:val="false"/>
                <w:sz w:val="19"/>
                <w:szCs w:val="19"/>
              </w:rPr>
              <w:t xml:space="preserve">01-Analisis-Necesidades-Tecnologicas.md</w:t>
            </w:r>
          </w:p>
        </w:tc>
      </w:tr>
      <w:tr>
        <w:tc>
          <w:tcPr>
            <w:tcW w:type="dxa" w:w="3120"/>
            <w:tcMar>
              <w:top w:type="dxa" w:w="80"/>
              <w:left w:type="dxa" w:w="100"/>
              <w:bottom w:type="dxa" w:w="80"/>
              <w:right w:type="dxa" w:w="100"/>
            </w:tcMar>
            <w:vAlign w:val="center"/>
          </w:tcPr>
          <w:p>
            <w:r>
              <w:rPr>
                <w:b w:val="false"/>
                <w:bCs w:val="false"/>
                <w:sz w:val="19"/>
                <w:szCs w:val="19"/>
              </w:rPr>
              <w:t xml:space="preserve">2</w:t>
            </w:r>
          </w:p>
        </w:tc>
        <w:tc>
          <w:tcPr>
            <w:tcW w:type="dxa" w:w="3120"/>
            <w:tcMar>
              <w:top w:type="dxa" w:w="80"/>
              <w:left w:type="dxa" w:w="100"/>
              <w:bottom w:type="dxa" w:w="80"/>
              <w:right w:type="dxa" w:w="100"/>
            </w:tcMar>
            <w:vAlign w:val="center"/>
          </w:tcPr>
          <w:p>
            <w:r>
              <w:rPr>
                <w:b w:val="false"/>
                <w:bCs w:val="false"/>
                <w:sz w:val="19"/>
                <w:szCs w:val="19"/>
              </w:rPr>
              <w:t xml:space="preserve">Análisis de requerimientos, costos, tráfico de red, cultura organizacional</w:t>
            </w:r>
          </w:p>
        </w:tc>
        <w:tc>
          <w:tcPr>
            <w:tcW w:type="dxa" w:w="3120"/>
            <w:tcMar>
              <w:top w:type="dxa" w:w="80"/>
              <w:left w:type="dxa" w:w="100"/>
              <w:bottom w:type="dxa" w:w="80"/>
              <w:right w:type="dxa" w:w="100"/>
            </w:tcMar>
            <w:vAlign w:val="center"/>
          </w:tcPr>
          <w:p>
            <w:r>
              <w:rPr>
                <w:b w:val="false"/>
                <w:bCs w:val="false"/>
                <w:sz w:val="19"/>
                <w:szCs w:val="19"/>
              </w:rPr>
              <w:t xml:space="preserve">02-Requerimientos-Costos-Trafico-Cultura.md</w:t>
            </w:r>
          </w:p>
        </w:tc>
      </w:tr>
      <w:tr>
        <w:tc>
          <w:tcPr>
            <w:tcW w:type="dxa" w:w="3120"/>
            <w:tcMar>
              <w:top w:type="dxa" w:w="80"/>
              <w:left w:type="dxa" w:w="100"/>
              <w:bottom w:type="dxa" w:w="80"/>
              <w:right w:type="dxa" w:w="100"/>
            </w:tcMar>
            <w:vAlign w:val="center"/>
          </w:tcPr>
          <w:p>
            <w:r>
              <w:rPr>
                <w:b w:val="false"/>
                <w:bCs w:val="false"/>
                <w:sz w:val="19"/>
                <w:szCs w:val="19"/>
              </w:rPr>
              <w:t xml:space="preserve">3</w:t>
            </w:r>
          </w:p>
        </w:tc>
        <w:tc>
          <w:tcPr>
            <w:tcW w:type="dxa" w:w="3120"/>
            <w:tcMar>
              <w:top w:type="dxa" w:w="80"/>
              <w:left w:type="dxa" w:w="100"/>
              <w:bottom w:type="dxa" w:w="80"/>
              <w:right w:type="dxa" w:w="100"/>
            </w:tcMar>
            <w:vAlign w:val="center"/>
          </w:tcPr>
          <w:p>
            <w:r>
              <w:rPr>
                <w:b w:val="false"/>
                <w:bCs w:val="false"/>
                <w:sz w:val="19"/>
                <w:szCs w:val="19"/>
              </w:rPr>
              <w:t xml:space="preserve">Diseño lógico de la red corporativa</w:t>
            </w:r>
          </w:p>
        </w:tc>
        <w:tc>
          <w:tcPr>
            <w:tcW w:type="dxa" w:w="3120"/>
            <w:tcMar>
              <w:top w:type="dxa" w:w="80"/>
              <w:left w:type="dxa" w:w="100"/>
              <w:bottom w:type="dxa" w:w="80"/>
              <w:right w:type="dxa" w:w="100"/>
            </w:tcMar>
            <w:vAlign w:val="center"/>
          </w:tcPr>
          <w:p>
            <w:r>
              <w:rPr>
                <w:b w:val="false"/>
                <w:bCs w:val="false"/>
                <w:sz w:val="19"/>
                <w:szCs w:val="19"/>
              </w:rPr>
              <w:t xml:space="preserve">03-Diseno-Logico.md</w:t>
            </w:r>
          </w:p>
        </w:tc>
      </w:tr>
      <w:tr>
        <w:tc>
          <w:tcPr>
            <w:tcW w:type="dxa" w:w="3120"/>
            <w:tcMar>
              <w:top w:type="dxa" w:w="80"/>
              <w:left w:type="dxa" w:w="100"/>
              <w:bottom w:type="dxa" w:w="80"/>
              <w:right w:type="dxa" w:w="100"/>
            </w:tcMar>
            <w:vAlign w:val="center"/>
          </w:tcPr>
          <w:p>
            <w:r>
              <w:rPr>
                <w:b w:val="false"/>
                <w:bCs w:val="false"/>
                <w:sz w:val="19"/>
                <w:szCs w:val="19"/>
              </w:rPr>
              <w:t xml:space="preserve">4</w:t>
            </w:r>
          </w:p>
        </w:tc>
        <w:tc>
          <w:tcPr>
            <w:tcW w:type="dxa" w:w="3120"/>
            <w:tcMar>
              <w:top w:type="dxa" w:w="80"/>
              <w:left w:type="dxa" w:w="100"/>
              <w:bottom w:type="dxa" w:w="80"/>
              <w:right w:type="dxa" w:w="100"/>
            </w:tcMar>
            <w:vAlign w:val="center"/>
          </w:tcPr>
          <w:p>
            <w:r>
              <w:rPr>
                <w:b w:val="false"/>
                <w:bCs w:val="false"/>
                <w:sz w:val="19"/>
                <w:szCs w:val="19"/>
              </w:rPr>
              <w:t xml:space="preserve">Diseño físico (planta, cuarto de equipos, estaciones, cableado, UPS) + materiales/marcas/modelos/presupuesto</w:t>
            </w:r>
          </w:p>
        </w:tc>
        <w:tc>
          <w:tcPr>
            <w:tcW w:type="dxa" w:w="3120"/>
            <w:tcMar>
              <w:top w:type="dxa" w:w="80"/>
              <w:left w:type="dxa" w:w="100"/>
              <w:bottom w:type="dxa" w:w="80"/>
              <w:right w:type="dxa" w:w="100"/>
            </w:tcMar>
            <w:vAlign w:val="center"/>
          </w:tcPr>
          <w:p>
            <w:r>
              <w:rPr>
                <w:b w:val="false"/>
                <w:bCs w:val="false"/>
                <w:sz w:val="19"/>
                <w:szCs w:val="19"/>
              </w:rPr>
              <w:t xml:space="preserve">04-Diseno-Fisico.md</w:t>
            </w:r>
          </w:p>
        </w:tc>
      </w:tr>
      <w:tr>
        <w:tc>
          <w:tcPr>
            <w:tcW w:type="dxa" w:w="3120"/>
            <w:tcMar>
              <w:top w:type="dxa" w:w="80"/>
              <w:left w:type="dxa" w:w="100"/>
              <w:bottom w:type="dxa" w:w="80"/>
              <w:right w:type="dxa" w:w="100"/>
            </w:tcMar>
            <w:vAlign w:val="center"/>
          </w:tcPr>
          <w:p>
            <w:r>
              <w:rPr>
                <w:b w:val="false"/>
                <w:bCs w:val="false"/>
                <w:sz w:val="19"/>
                <w:szCs w:val="19"/>
              </w:rPr>
              <w:t xml:space="preserve">5</w:t>
            </w:r>
          </w:p>
        </w:tc>
        <w:tc>
          <w:tcPr>
            <w:tcW w:type="dxa" w:w="3120"/>
            <w:tcMar>
              <w:top w:type="dxa" w:w="80"/>
              <w:left w:type="dxa" w:w="100"/>
              <w:bottom w:type="dxa" w:w="80"/>
              <w:right w:type="dxa" w:w="100"/>
            </w:tcMar>
            <w:vAlign w:val="center"/>
          </w:tcPr>
          <w:p>
            <w:r>
              <w:rPr>
                <w:b w:val="false"/>
                <w:bCs w:val="false"/>
                <w:sz w:val="19"/>
                <w:szCs w:val="19"/>
              </w:rPr>
              <w:t xml:space="preserve">Diseño de Políticas de Seguridad, lógicas y físicas</w:t>
            </w:r>
          </w:p>
        </w:tc>
        <w:tc>
          <w:tcPr>
            <w:tcW w:type="dxa" w:w="3120"/>
            <w:tcMar>
              <w:top w:type="dxa" w:w="80"/>
              <w:left w:type="dxa" w:w="100"/>
              <w:bottom w:type="dxa" w:w="80"/>
              <w:right w:type="dxa" w:w="100"/>
            </w:tcMar>
            <w:vAlign w:val="center"/>
          </w:tcPr>
          <w:p>
            <w:r>
              <w:rPr>
                <w:b w:val="false"/>
                <w:bCs w:val="false"/>
                <w:sz w:val="19"/>
                <w:szCs w:val="19"/>
              </w:rPr>
              <w:t xml:space="preserve">05-Politicas-Seguridad.md</w:t>
            </w:r>
          </w:p>
        </w:tc>
      </w:tr>
      <w:tr>
        <w:tc>
          <w:tcPr>
            <w:tcW w:type="dxa" w:w="3120"/>
            <w:tcMar>
              <w:top w:type="dxa" w:w="80"/>
              <w:left w:type="dxa" w:w="100"/>
              <w:bottom w:type="dxa" w:w="80"/>
              <w:right w:type="dxa" w:w="100"/>
            </w:tcMar>
            <w:vAlign w:val="center"/>
          </w:tcPr>
          <w:p>
            <w:r>
              <w:rPr>
                <w:b w:val="false"/>
                <w:bCs w:val="false"/>
                <w:sz w:val="19"/>
                <w:szCs w:val="19"/>
              </w:rPr>
              <w:t xml:space="preserve">6</w:t>
            </w:r>
          </w:p>
        </w:tc>
        <w:tc>
          <w:tcPr>
            <w:tcW w:type="dxa" w:w="3120"/>
            <w:tcMar>
              <w:top w:type="dxa" w:w="80"/>
              <w:left w:type="dxa" w:w="100"/>
              <w:bottom w:type="dxa" w:w="80"/>
              <w:right w:type="dxa" w:w="100"/>
            </w:tcMar>
            <w:vAlign w:val="center"/>
          </w:tcPr>
          <w:p>
            <w:r>
              <w:rPr>
                <w:b w:val="false"/>
                <w:bCs w:val="false"/>
                <w:sz w:val="19"/>
                <w:szCs w:val="19"/>
              </w:rPr>
              <w:t xml:space="preserve">Diseño de Data Center (según estándares)</w:t>
            </w:r>
          </w:p>
        </w:tc>
        <w:tc>
          <w:tcPr>
            <w:tcW w:type="dxa" w:w="3120"/>
            <w:tcMar>
              <w:top w:type="dxa" w:w="80"/>
              <w:left w:type="dxa" w:w="100"/>
              <w:bottom w:type="dxa" w:w="80"/>
              <w:right w:type="dxa" w:w="100"/>
            </w:tcMar>
            <w:vAlign w:val="center"/>
          </w:tcPr>
          <w:p>
            <w:r>
              <w:rPr>
                <w:b w:val="false"/>
                <w:bCs w:val="false"/>
                <w:sz w:val="19"/>
                <w:szCs w:val="19"/>
              </w:rPr>
              <w:t xml:space="preserve">06-Data-Center-Tier4.md</w:t>
            </w:r>
          </w:p>
        </w:tc>
      </w:tr>
    </w:tbl>
    <w:p>
      <w:pPr>
        <w:spacing w:after="200"/>
      </w:pPr>
    </w:p>
    <w:p>
      <w:pPr>
        <w:spacing w:after="160"/>
        <w:jc w:val="both"/>
      </w:pPr>
      <w:r>
        <w:rPr>
          <w:sz w:val="21"/>
          <w:szCs w:val="21"/>
        </w:rPr>
        <w:t xml:space="preserve">Es un conjunto de documentos de </w:t>
      </w:r>
      <w:r>
        <w:rPr>
          <w:b/>
          <w:bCs/>
          <w:sz w:val="21"/>
          <w:szCs w:val="21"/>
        </w:rPr>
        <w:t xml:space="preserve">ingeniería conceptual</w:t>
      </w:r>
      <w:r>
        <w:rPr>
          <w:sz w:val="21"/>
          <w:szCs w:val="21"/>
        </w:rPr>
        <w:t xml:space="preserve">: cada decisión (segmentación, dimensionamiento de cableado, capacidad de UPS, cada política) se fundamenta con una memoria de cálculo, un estándar técnico citado, o una trazabilidad explícita hasta una necesidad de negocio — no con estimaciones arbitrarias. Es la metodología que se espera de un diseño de red corporativa real, no de un ejercicio de clase.</w:t>
      </w:r>
    </w:p>
    <w:p>
      <w:pPr>
        <w:pStyle w:val="Heading2"/>
        <w:spacing w:after="180" w:before="320"/>
      </w:pPr>
      <w:r>
        <w:t xml:space="preserve">Metodología general seguida</w:t>
      </w:r>
    </w:p>
    <w:p>
      <w:pPr>
        <w:spacing w:after="80" w:before="20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76375"/>
                    </a:xfrm>
                    <a:prstGeom prst="rect">
                      <a:avLst/>
                    </a:prstGeom>
                  </pic:spPr>
                </pic:pic>
              </a:graphicData>
            </a:graphic>
          </wp:inline>
        </w:drawing>
      </w:r>
    </w:p>
    <w:p>
      <w:pPr>
        <w:spacing w:after="240"/>
        <w:jc w:val="center"/>
      </w:pPr>
      <w:r>
        <w:rPr>
          <w:i/>
          <w:iCs/>
          <w:color w:val="555555"/>
          <w:sz w:val="18"/>
          <w:szCs w:val="18"/>
        </w:rPr>
        <w:t xml:space="preserve">Figura 0.1 — Metodología general de la Fase 1</w:t>
      </w:r>
    </w:p>
    <w:p>
      <w:pPr>
        <w:spacing w:after="160"/>
        <w:jc w:val="both"/>
      </w:pPr>
      <w:r>
        <w:rPr>
          <w:sz w:val="21"/>
          <w:szCs w:val="21"/>
        </w:rPr>
        <w:t xml:space="preserve">Este orden (negocio → requerimiento → diseño → controles) es intencional: un diseño de red que no parte de entender el negocio termina sobre-dimensionado o, peor, insuficiente donde realmente importa. Cada documento de esta carpeta referencia explícitamente de qué punto anterior se deriva, para que la trazabilidad completa (por qué existe cada decisión) quede visible sin tener que reconstruirla de memoria.</w:t>
      </w:r>
    </w:p>
    <w:p>
      <w:pPr>
        <w:pStyle w:val="Heading2"/>
        <w:spacing w:after="180" w:before="320"/>
      </w:pPr>
      <w:r>
        <w:t xml:space="preserve">Cómo usar esta carpeta como equipo</w:t>
      </w:r>
    </w:p>
    <w:p>
      <w:pPr>
        <w:pStyle w:val="ListParagraph"/>
        <w:numPr>
          <w:ilvl w:val="0"/>
          <w:numId w:val="2"/>
        </w:numPr>
        <w:spacing w:after="80"/>
      </w:pPr>
      <w:r>
        <w:rPr>
          <w:sz w:val="21"/>
          <w:szCs w:val="21"/>
        </w:rPr>
        <w:t xml:space="preserve">Cada documento (01 a 06) puede leerse, revisarse y presentarse de forma independiente.</w:t>
      </w:r>
    </w:p>
    <w:p>
      <w:pPr>
        <w:pStyle w:val="ListParagraph"/>
        <w:numPr>
          <w:ilvl w:val="0"/>
          <w:numId w:val="2"/>
        </w:numPr>
        <w:spacing w:after="80"/>
      </w:pPr>
      <w:r>
        <w:rPr>
          <w:sz w:val="21"/>
          <w:szCs w:val="21"/>
        </w:rPr>
        <w:t xml:space="preserve">Las referencias cruzadas entre documentos (ej. "ver 03-Diseno-Logico.md §6") son enlaces reales — funcionan igual en GitHub, en un editor Markdown local, o al exportarlos a Word.</w:t>
      </w:r>
    </w:p>
    <w:p>
      <w:pPr>
        <w:pStyle w:val="ListParagraph"/>
        <w:numPr>
          <w:ilvl w:val="0"/>
          <w:numId w:val="2"/>
        </w:numPr>
        <w:spacing w:after="80"/>
      </w:pPr>
      <w:r>
        <w:rPr>
          <w:sz w:val="21"/>
          <w:szCs w:val="21"/>
        </w:rPr>
        <w:t xml:space="preserve">El reparto de trabajo y las decisiones detrás de cada uno están en Responsables/Melany.md y en la matriz RACI de 11-Equipo-y-Responsabilidades.md.</w:t>
      </w:r>
    </w:p>
    <w:p>
      <w:pPr>
        <w:pStyle w:val="Heading2"/>
        <w:spacing w:after="180" w:before="320"/>
      </w:pPr>
      <w:r>
        <w:t xml:space="preserve">Conclusiones y alcance de la propuesta</w:t>
      </w:r>
    </w:p>
    <w:p>
      <w:pPr>
        <w:spacing w:after="160"/>
        <w:jc w:val="both"/>
      </w:pPr>
      <w:r>
        <w:rPr>
          <w:sz w:val="21"/>
          <w:szCs w:val="21"/>
        </w:rPr>
        <w:t xml:space="preserve">El diseño presentado en esta fase resuelve los 6 puntos exigidos con el mismo estándar de rigor que se aplicaría en una consultoría de redes real: cada decisión de dimensionamiento (tráfico, cableado, energía, enfriamiento) parte de una memoria de cálculo explícita, y cada elección de arquitectura (segmentación, modelo jerárquico, protocolo de enrutamiento) está fundamentada contra un estándar o principio de diseño citado, no contra preferencia arbitraria. Las fases siguientes (2, 3 y 4) implementan sobre esta misma base de diseño sin necesidad de redefinirla — el direccionamiento, la segmentación y el modelo jerárquico definidos aquí son la fuente de verdad que usan Terraform, Ansible y la configuración de los equipos físicos en el resto del proyecto.</w:t>
      </w:r>
    </w:p>
    <w:p>
      <w:pPr>
        <w:pStyle w:val="Heading1"/>
        <w:spacing w:after="180" w:before="480"/>
      </w:pPr>
      <w:r>
        <w:t xml:space="preserve">Punto 1 — Análisis de Necesidades Tecnológicas</w:t>
      </w:r>
    </w:p>
    <w:p>
      <w:pPr>
        <w:pStyle w:val="Heading2"/>
        <w:spacing w:after="180" w:before="320"/>
      </w:pPr>
      <w:r>
        <w:t xml:space="preserve">1.1 Objetivo y metodología del análisis</w:t>
      </w:r>
    </w:p>
    <w:p>
      <w:pPr>
        <w:spacing w:after="160"/>
        <w:jc w:val="both"/>
      </w:pPr>
      <w:r>
        <w:rPr>
          <w:sz w:val="21"/>
          <w:szCs w:val="21"/>
        </w:rPr>
        <w:t xml:space="preserve">El objetivo de este análisis es identificar, a partir del contexto de negocio de Virtual Solutions (no de una lista de tecnologías predefinida), qué necesidades tecnológicas reales tiene la organización, para que cada componente del diseño posterior (Puntos 2 a 6) responda a una necesidad identificada aquí y no a una preferencia técnica sin justificación de negocio.</w:t>
      </w:r>
    </w:p>
    <w:p>
      <w:pPr>
        <w:spacing w:after="160"/>
        <w:jc w:val="both"/>
      </w:pPr>
      <w:r>
        <w:rPr>
          <w:sz w:val="21"/>
          <w:szCs w:val="21"/>
        </w:rPr>
        <w:t xml:space="preserve">Metodología aplicada — 4 pasos, estándar en un levantamiento de requerimientos de infraestructura:</w:t>
      </w:r>
    </w:p>
    <w:p>
      <w:pPr>
        <w:pStyle w:val="ListParagraph"/>
        <w:numPr>
          <w:ilvl w:val="0"/>
          <w:numId w:val="3"/>
        </w:numPr>
        <w:spacing w:after="80"/>
      </w:pPr>
      <w:r>
        <w:rPr>
          <w:b/>
          <w:bCs/>
          <w:sz w:val="21"/>
          <w:szCs w:val="21"/>
        </w:rPr>
        <w:t xml:space="preserve">Perfilamiento de la organización</w:t>
      </w:r>
      <w:r>
        <w:rPr>
          <w:sz w:val="21"/>
          <w:szCs w:val="21"/>
        </w:rPr>
        <w:t xml:space="preserve">: tamaño, estructura, distribución física, sector.</w:t>
      </w:r>
    </w:p>
    <w:p>
      <w:pPr>
        <w:pStyle w:val="ListParagraph"/>
        <w:numPr>
          <w:ilvl w:val="0"/>
          <w:numId w:val="3"/>
        </w:numPr>
        <w:spacing w:after="80"/>
      </w:pPr>
      <w:r>
        <w:rPr>
          <w:b/>
          <w:bCs/>
          <w:sz w:val="21"/>
          <w:szCs w:val="21"/>
        </w:rPr>
        <w:t xml:space="preserve">Levantamiento por stakeholder</w:t>
      </w:r>
      <w:r>
        <w:rPr>
          <w:sz w:val="21"/>
          <w:szCs w:val="21"/>
        </w:rPr>
        <w:t xml:space="preserve">: qué necesita cada área/rol, no solo "la empresa" en abstracto.</w:t>
      </w:r>
    </w:p>
    <w:p>
      <w:pPr>
        <w:pStyle w:val="ListParagraph"/>
        <w:numPr>
          <w:ilvl w:val="0"/>
          <w:numId w:val="3"/>
        </w:numPr>
        <w:spacing w:after="80"/>
      </w:pPr>
      <w:r>
        <w:rPr>
          <w:b/>
          <w:bCs/>
          <w:sz w:val="21"/>
          <w:szCs w:val="21"/>
        </w:rPr>
        <w:t xml:space="preserve">Consolidación y priorización</w:t>
      </w:r>
      <w:r>
        <w:rPr>
          <w:sz w:val="21"/>
          <w:szCs w:val="21"/>
        </w:rPr>
        <w:t xml:space="preserve">: agrupar necesidades transversales, priorizar con marco MoSCoW.</w:t>
      </w:r>
    </w:p>
    <w:p>
      <w:pPr>
        <w:pStyle w:val="ListParagraph"/>
        <w:numPr>
          <w:ilvl w:val="0"/>
          <w:numId w:val="3"/>
        </w:numPr>
        <w:spacing w:after="80"/>
      </w:pPr>
      <w:r>
        <w:rPr>
          <w:b/>
          <w:bCs/>
          <w:sz w:val="21"/>
          <w:szCs w:val="21"/>
        </w:rPr>
        <w:t xml:space="preserve">Trazabilidad</w:t>
      </w:r>
      <w:r>
        <w:rPr>
          <w:sz w:val="21"/>
          <w:szCs w:val="21"/>
        </w:rPr>
        <w:t xml:space="preserve">: cada necesidad identificada debe poder rastrearse hasta una decisión concreta en los puntos 3-6 de este documento.</w:t>
      </w:r>
    </w:p>
    <w:p>
      <w:pPr>
        <w:pStyle w:val="Heading2"/>
        <w:spacing w:after="180" w:before="320"/>
      </w:pPr>
      <w:r>
        <w:t xml:space="preserve">1.2 Perfil de la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Atributo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Valor</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Relevancia para el diseño</w:t>
            </w:r>
          </w:p>
        </w:tc>
      </w:tr>
      <w:tr>
        <w:tc>
          <w:tcPr>
            <w:tcW w:type="dxa" w:w="3120"/>
            <w:tcMar>
              <w:top w:type="dxa" w:w="80"/>
              <w:left w:type="dxa" w:w="100"/>
              <w:bottom w:type="dxa" w:w="80"/>
              <w:right w:type="dxa" w:w="100"/>
            </w:tcMar>
            <w:vAlign w:val="center"/>
          </w:tcPr>
          <w:p>
            <w:r>
              <w:rPr>
                <w:b w:val="false"/>
                <w:bCs w:val="false"/>
                <w:sz w:val="19"/>
                <w:szCs w:val="19"/>
              </w:rPr>
              <w:t xml:space="preserve">Tamaño</w:t>
            </w:r>
          </w:p>
        </w:tc>
        <w:tc>
          <w:tcPr>
            <w:tcW w:type="dxa" w:w="3120"/>
            <w:tcMar>
              <w:top w:type="dxa" w:w="80"/>
              <w:left w:type="dxa" w:w="100"/>
              <w:bottom w:type="dxa" w:w="80"/>
              <w:right w:type="dxa" w:w="100"/>
            </w:tcMar>
            <w:vAlign w:val="center"/>
          </w:tcPr>
          <w:p>
            <w:r>
              <w:rPr>
                <w:b w:val="false"/>
                <w:bCs w:val="false"/>
                <w:sz w:val="19"/>
                <w:szCs w:val="19"/>
              </w:rPr>
              <w:t xml:space="preserve">184 usuarios</w:t>
            </w:r>
          </w:p>
        </w:tc>
        <w:tc>
          <w:tcPr>
            <w:tcW w:type="dxa" w:w="3120"/>
            <w:tcMar>
              <w:top w:type="dxa" w:w="80"/>
              <w:left w:type="dxa" w:w="100"/>
              <w:bottom w:type="dxa" w:w="80"/>
              <w:right w:type="dxa" w:w="100"/>
            </w:tcMar>
            <w:vAlign w:val="center"/>
          </w:tcPr>
          <w:p>
            <w:r>
              <w:rPr>
                <w:b w:val="false"/>
                <w:bCs w:val="false"/>
                <w:sz w:val="19"/>
                <w:szCs w:val="19"/>
              </w:rPr>
              <w:t xml:space="preserve">Define la escala de direccionamiento, cableado y capacidad de switching</w:t>
            </w:r>
          </w:p>
        </w:tc>
      </w:tr>
      <w:tr>
        <w:tc>
          <w:tcPr>
            <w:tcW w:type="dxa" w:w="3120"/>
            <w:tcMar>
              <w:top w:type="dxa" w:w="80"/>
              <w:left w:type="dxa" w:w="100"/>
              <w:bottom w:type="dxa" w:w="80"/>
              <w:right w:type="dxa" w:w="100"/>
            </w:tcMar>
            <w:vAlign w:val="center"/>
          </w:tcPr>
          <w:p>
            <w:r>
              <w:rPr>
                <w:b w:val="false"/>
                <w:bCs w:val="false"/>
                <w:sz w:val="19"/>
                <w:szCs w:val="19"/>
              </w:rPr>
              <w:t xml:space="preserve">Distribución física</w:t>
            </w:r>
          </w:p>
        </w:tc>
        <w:tc>
          <w:tcPr>
            <w:tcW w:type="dxa" w:w="3120"/>
            <w:tcMar>
              <w:top w:type="dxa" w:w="80"/>
              <w:left w:type="dxa" w:w="100"/>
              <w:bottom w:type="dxa" w:w="80"/>
              <w:right w:type="dxa" w:w="100"/>
            </w:tcMar>
            <w:vAlign w:val="center"/>
          </w:tcPr>
          <w:p>
            <w:r>
              <w:rPr>
                <w:b w:val="false"/>
                <w:bCs w:val="false"/>
                <w:sz w:val="19"/>
                <w:szCs w:val="19"/>
              </w:rPr>
              <w:t xml:space="preserve">1 edificio, 4 niveles</w:t>
            </w:r>
          </w:p>
        </w:tc>
        <w:tc>
          <w:tcPr>
            <w:tcW w:type="dxa" w:w="3120"/>
            <w:tcMar>
              <w:top w:type="dxa" w:w="80"/>
              <w:left w:type="dxa" w:w="100"/>
              <w:bottom w:type="dxa" w:w="80"/>
              <w:right w:type="dxa" w:w="100"/>
            </w:tcMar>
            <w:vAlign w:val="center"/>
          </w:tcPr>
          <w:p>
            <w:r>
              <w:rPr>
                <w:b w:val="false"/>
                <w:bCs w:val="false"/>
                <w:sz w:val="19"/>
                <w:szCs w:val="19"/>
              </w:rPr>
              <w:t xml:space="preserve">Define el modelo jerárquico de 3 capas (Core-Distribución-Acceso) — ver 03-Diseno-Logico.md</w:t>
            </w:r>
          </w:p>
        </w:tc>
      </w:tr>
      <w:tr>
        <w:tc>
          <w:tcPr>
            <w:tcW w:type="dxa" w:w="3120"/>
            <w:tcMar>
              <w:top w:type="dxa" w:w="80"/>
              <w:left w:type="dxa" w:w="100"/>
              <w:bottom w:type="dxa" w:w="80"/>
              <w:right w:type="dxa" w:w="100"/>
            </w:tcMar>
            <w:vAlign w:val="center"/>
          </w:tcPr>
          <w:p>
            <w:r>
              <w:rPr>
                <w:b w:val="false"/>
                <w:bCs w:val="false"/>
                <w:sz w:val="19"/>
                <w:szCs w:val="19"/>
              </w:rPr>
              <w:t xml:space="preserve">Composición de plantilla</w:t>
            </w:r>
          </w:p>
        </w:tc>
        <w:tc>
          <w:tcPr>
            <w:tcW w:type="dxa" w:w="3120"/>
            <w:tcMar>
              <w:top w:type="dxa" w:w="80"/>
              <w:left w:type="dxa" w:w="100"/>
              <w:bottom w:type="dxa" w:w="80"/>
              <w:right w:type="dxa" w:w="100"/>
            </w:tcMar>
            <w:vAlign w:val="center"/>
          </w:tcPr>
          <w:p>
            <w:r>
              <w:rPr>
                <w:b w:val="false"/>
                <w:bCs w:val="false"/>
                <w:sz w:val="19"/>
                <w:szCs w:val="19"/>
              </w:rPr>
              <w:t xml:space="preserve">60% perfil técnico (Desarrollo I/T)</w:t>
            </w:r>
          </w:p>
        </w:tc>
        <w:tc>
          <w:tcPr>
            <w:tcW w:type="dxa" w:w="3120"/>
            <w:tcMar>
              <w:top w:type="dxa" w:w="80"/>
              <w:left w:type="dxa" w:w="100"/>
              <w:bottom w:type="dxa" w:w="80"/>
              <w:right w:type="dxa" w:w="100"/>
            </w:tcMar>
            <w:vAlign w:val="center"/>
          </w:tcPr>
          <w:p>
            <w:r>
              <w:rPr>
                <w:b w:val="false"/>
                <w:bCs w:val="false"/>
                <w:sz w:val="19"/>
                <w:szCs w:val="19"/>
              </w:rPr>
              <w:t xml:space="preserve">Alta tolerancia a herramientas self-hosted, pero también mayor superficie de riesgo por conocimiento técnico interno — ver 02-Requerimientos-Costos-Trafico-Cultura.md §4</w:t>
            </w:r>
          </w:p>
        </w:tc>
      </w:tr>
      <w:tr>
        <w:tc>
          <w:tcPr>
            <w:tcW w:type="dxa" w:w="3120"/>
            <w:tcMar>
              <w:top w:type="dxa" w:w="80"/>
              <w:left w:type="dxa" w:w="100"/>
              <w:bottom w:type="dxa" w:w="80"/>
              <w:right w:type="dxa" w:w="100"/>
            </w:tcMar>
            <w:vAlign w:val="center"/>
          </w:tcPr>
          <w:p>
            <w:r>
              <w:rPr>
                <w:b w:val="false"/>
                <w:bCs w:val="false"/>
                <w:sz w:val="19"/>
                <w:szCs w:val="19"/>
              </w:rPr>
              <w:t xml:space="preserve">Naturaleza del negocio</w:t>
            </w:r>
          </w:p>
        </w:tc>
        <w:tc>
          <w:tcPr>
            <w:tcW w:type="dxa" w:w="3120"/>
            <w:tcMar>
              <w:top w:type="dxa" w:w="80"/>
              <w:left w:type="dxa" w:w="100"/>
              <w:bottom w:type="dxa" w:w="80"/>
              <w:right w:type="dxa" w:w="100"/>
            </w:tcMar>
            <w:vAlign w:val="center"/>
          </w:tcPr>
          <w:p>
            <w:r>
              <w:rPr>
                <w:b w:val="false"/>
                <w:bCs w:val="false"/>
                <w:sz w:val="19"/>
                <w:szCs w:val="19"/>
              </w:rPr>
              <w:t xml:space="preserve">Maneja recursos monetarios (dato explícito del cliente)</w:t>
            </w:r>
          </w:p>
        </w:tc>
        <w:tc>
          <w:tcPr>
            <w:tcW w:type="dxa" w:w="3120"/>
            <w:tcMar>
              <w:top w:type="dxa" w:w="80"/>
              <w:left w:type="dxa" w:w="100"/>
              <w:bottom w:type="dxa" w:w="80"/>
              <w:right w:type="dxa" w:w="100"/>
            </w:tcMar>
            <w:vAlign w:val="center"/>
          </w:tcPr>
          <w:p>
            <w:r>
              <w:rPr>
                <w:b w:val="false"/>
                <w:bCs w:val="false"/>
                <w:sz w:val="19"/>
                <w:szCs w:val="19"/>
              </w:rPr>
              <w:t xml:space="preserve">Eleva el estándar de disponibilidad (Tier 4) y de control de acceso exigible</w:t>
            </w:r>
          </w:p>
        </w:tc>
      </w:tr>
      <w:tr>
        <w:tc>
          <w:tcPr>
            <w:tcW w:type="dxa" w:w="3120"/>
            <w:tcMar>
              <w:top w:type="dxa" w:w="80"/>
              <w:left w:type="dxa" w:w="100"/>
              <w:bottom w:type="dxa" w:w="80"/>
              <w:right w:type="dxa" w:w="100"/>
            </w:tcMar>
            <w:vAlign w:val="center"/>
          </w:tcPr>
          <w:p>
            <w:r>
              <w:rPr>
                <w:b w:val="false"/>
                <w:bCs w:val="false"/>
                <w:sz w:val="19"/>
                <w:szCs w:val="19"/>
              </w:rPr>
              <w:t xml:space="preserve">Conectividad actual</w:t>
            </w:r>
          </w:p>
        </w:tc>
        <w:tc>
          <w:tcPr>
            <w:tcW w:type="dxa" w:w="3120"/>
            <w:tcMar>
              <w:top w:type="dxa" w:w="80"/>
              <w:left w:type="dxa" w:w="100"/>
              <w:bottom w:type="dxa" w:w="80"/>
              <w:right w:type="dxa" w:w="100"/>
            </w:tcMar>
            <w:vAlign w:val="center"/>
          </w:tcPr>
          <w:p>
            <w:r>
              <w:rPr>
                <w:b w:val="false"/>
                <w:bCs w:val="false"/>
                <w:sz w:val="19"/>
                <w:szCs w:val="19"/>
              </w:rPr>
              <w:t xml:space="preserve">2 enlaces de banda ancha, 10 Mbps c/u, sin infraestructura de red corporativa formal descrita</w:t>
            </w:r>
          </w:p>
        </w:tc>
        <w:tc>
          <w:tcPr>
            <w:tcW w:type="dxa" w:w="3120"/>
            <w:tcMar>
              <w:top w:type="dxa" w:w="80"/>
              <w:left w:type="dxa" w:w="100"/>
              <w:bottom w:type="dxa" w:w="80"/>
              <w:right w:type="dxa" w:w="100"/>
            </w:tcMar>
            <w:vAlign w:val="center"/>
          </w:tcPr>
          <w:p>
            <w:r>
              <w:rPr>
                <w:b w:val="false"/>
                <w:bCs w:val="false"/>
                <w:sz w:val="19"/>
                <w:szCs w:val="19"/>
              </w:rPr>
              <w:t xml:space="preserve">Punto de partida greenfield — no hay legado que migrar, lo que simplifica el diseño pero exige cubrir todo desde cero</w:t>
            </w:r>
          </w:p>
        </w:tc>
      </w:tr>
    </w:tbl>
    <w:p>
      <w:pPr>
        <w:spacing w:after="200"/>
      </w:pPr>
    </w:p>
    <w:p>
      <w:pPr>
        <w:pStyle w:val="Heading2"/>
        <w:spacing w:after="180" w:before="320"/>
      </w:pPr>
      <w:r>
        <w:t xml:space="preserve">1.3 Levantamiento de necesidades por stakeholder</w:t>
      </w:r>
    </w:p>
    <w:p>
      <w:pPr>
        <w:spacing w:after="160"/>
        <w:jc w:val="both"/>
      </w:pPr>
      <w:r>
        <w:rPr>
          <w:sz w:val="21"/>
          <w:szCs w:val="21"/>
        </w:rPr>
        <w:t xml:space="preserve">Un error común en el diseño de redes es tratar "la empresa" como un solo interesado homogéneo. Cada área tiene necesidades distintas que el diseño debe reconciliar: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Stakeholder</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Necesidad declarada o inferida</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Implicación técnica</w:t>
            </w:r>
          </w:p>
        </w:tc>
      </w:tr>
      <w:tr>
        <w:tc>
          <w:tcPr>
            <w:tcW w:type="dxa" w:w="3120"/>
            <w:tcMar>
              <w:top w:type="dxa" w:w="80"/>
              <w:left w:type="dxa" w:w="100"/>
              <w:bottom w:type="dxa" w:w="80"/>
              <w:right w:type="dxa" w:w="100"/>
            </w:tcMar>
            <w:vAlign w:val="center"/>
          </w:tcPr>
          <w:p>
            <w:r>
              <w:rPr>
                <w:b w:val="false"/>
                <w:bCs w:val="false"/>
                <w:sz w:val="19"/>
                <w:szCs w:val="19"/>
              </w:rPr>
              <w:t xml:space="preserve">Dirección / Gerencia</w:t>
            </w:r>
          </w:p>
        </w:tc>
        <w:tc>
          <w:tcPr>
            <w:tcW w:type="dxa" w:w="3120"/>
            <w:tcMar>
              <w:top w:type="dxa" w:w="80"/>
              <w:left w:type="dxa" w:w="100"/>
              <w:bottom w:type="dxa" w:w="80"/>
              <w:right w:type="dxa" w:w="100"/>
            </w:tcMar>
            <w:vAlign w:val="center"/>
          </w:tcPr>
          <w:p>
            <w:r>
              <w:rPr>
                <w:b w:val="false"/>
                <w:bCs w:val="false"/>
                <w:sz w:val="19"/>
                <w:szCs w:val="19"/>
              </w:rPr>
              <w:t xml:space="preserve">Continuidad del negocio, control de costos, cumplimiento ante manejo de fondos</w:t>
            </w:r>
          </w:p>
        </w:tc>
        <w:tc>
          <w:tcPr>
            <w:tcW w:type="dxa" w:w="3120"/>
            <w:tcMar>
              <w:top w:type="dxa" w:w="80"/>
              <w:left w:type="dxa" w:w="100"/>
              <w:bottom w:type="dxa" w:w="80"/>
              <w:right w:type="dxa" w:w="100"/>
            </w:tcMar>
            <w:vAlign w:val="center"/>
          </w:tcPr>
          <w:p>
            <w:r>
              <w:rPr>
                <w:b w:val="false"/>
                <w:bCs w:val="false"/>
                <w:sz w:val="19"/>
                <w:szCs w:val="19"/>
              </w:rPr>
              <w:t xml:space="preserve">Alta disponibilidad (Tier 4), presupuesto justificado con memoria de cálculo (no cifras arbitrarias), políticas de seguridad auditables</w:t>
            </w:r>
          </w:p>
        </w:tc>
      </w:tr>
      <w:tr>
        <w:tc>
          <w:tcPr>
            <w:tcW w:type="dxa" w:w="3120"/>
            <w:tcMar>
              <w:top w:type="dxa" w:w="80"/>
              <w:left w:type="dxa" w:w="100"/>
              <w:bottom w:type="dxa" w:w="80"/>
              <w:right w:type="dxa" w:w="100"/>
            </w:tcMar>
            <w:vAlign w:val="center"/>
          </w:tcPr>
          <w:p>
            <w:r>
              <w:rPr>
                <w:b w:val="false"/>
                <w:bCs w:val="false"/>
                <w:sz w:val="19"/>
                <w:szCs w:val="19"/>
              </w:rPr>
              <w:t xml:space="preserve">Administración/Finanzas</w:t>
            </w:r>
          </w:p>
        </w:tc>
        <w:tc>
          <w:tcPr>
            <w:tcW w:type="dxa" w:w="3120"/>
            <w:tcMar>
              <w:top w:type="dxa" w:w="80"/>
              <w:left w:type="dxa" w:w="100"/>
              <w:bottom w:type="dxa" w:w="80"/>
              <w:right w:type="dxa" w:w="100"/>
            </w:tcMar>
            <w:vAlign w:val="center"/>
          </w:tcPr>
          <w:p>
            <w:r>
              <w:rPr>
                <w:b w:val="false"/>
                <w:bCs w:val="false"/>
                <w:sz w:val="19"/>
                <w:szCs w:val="19"/>
              </w:rPr>
              <w:t xml:space="preserve">Confidencialidad de datos financieros, acceso controlado</w:t>
            </w:r>
          </w:p>
        </w:tc>
        <w:tc>
          <w:tcPr>
            <w:tcW w:type="dxa" w:w="3120"/>
            <w:tcMar>
              <w:top w:type="dxa" w:w="80"/>
              <w:left w:type="dxa" w:w="100"/>
              <w:bottom w:type="dxa" w:w="80"/>
              <w:right w:type="dxa" w:w="100"/>
            </w:tcMar>
            <w:vAlign w:val="center"/>
          </w:tcPr>
          <w:p>
            <w:r>
              <w:rPr>
                <w:b w:val="false"/>
                <w:bCs w:val="false"/>
                <w:sz w:val="19"/>
                <w:szCs w:val="19"/>
              </w:rPr>
              <w:t xml:space="preserve">VLAN separada, política de clasificación de información, MFA</w:t>
            </w:r>
          </w:p>
        </w:tc>
      </w:tr>
      <w:tr>
        <w:tc>
          <w:tcPr>
            <w:tcW w:type="dxa" w:w="3120"/>
            <w:tcMar>
              <w:top w:type="dxa" w:w="80"/>
              <w:left w:type="dxa" w:w="100"/>
              <w:bottom w:type="dxa" w:w="80"/>
              <w:right w:type="dxa" w:w="100"/>
            </w:tcMar>
            <w:vAlign w:val="center"/>
          </w:tcPr>
          <w:p>
            <w:r>
              <w:rPr>
                <w:b w:val="false"/>
                <w:bCs w:val="false"/>
                <w:sz w:val="19"/>
                <w:szCs w:val="19"/>
              </w:rPr>
              <w:t xml:space="preserve">Ventas</w:t>
            </w:r>
          </w:p>
        </w:tc>
        <w:tc>
          <w:tcPr>
            <w:tcW w:type="dxa" w:w="3120"/>
            <w:tcMar>
              <w:top w:type="dxa" w:w="80"/>
              <w:left w:type="dxa" w:w="100"/>
              <w:bottom w:type="dxa" w:w="80"/>
              <w:right w:type="dxa" w:w="100"/>
            </w:tcMar>
            <w:vAlign w:val="center"/>
          </w:tcPr>
          <w:p>
            <w:r>
              <w:rPr>
                <w:b w:val="false"/>
                <w:bCs w:val="false"/>
                <w:sz w:val="19"/>
                <w:szCs w:val="19"/>
              </w:rPr>
              <w:t xml:space="preserve">Conectividad estable con clientes externos, herramientas de videoconferencia</w:t>
            </w:r>
          </w:p>
        </w:tc>
        <w:tc>
          <w:tcPr>
            <w:tcW w:type="dxa" w:w="3120"/>
            <w:tcMar>
              <w:top w:type="dxa" w:w="80"/>
              <w:left w:type="dxa" w:w="100"/>
              <w:bottom w:type="dxa" w:w="80"/>
              <w:right w:type="dxa" w:w="100"/>
            </w:tcMar>
            <w:vAlign w:val="center"/>
          </w:tcPr>
          <w:p>
            <w:r>
              <w:rPr>
                <w:b w:val="false"/>
                <w:bCs w:val="false"/>
                <w:sz w:val="19"/>
                <w:szCs w:val="19"/>
              </w:rPr>
              <w:t xml:space="preserve">VLAN propia, ancho de banda priorizado para videollamadas, salida a Internet confiable</w:t>
            </w:r>
          </w:p>
        </w:tc>
      </w:tr>
      <w:tr>
        <w:tc>
          <w:tcPr>
            <w:tcW w:type="dxa" w:w="3120"/>
            <w:tcMar>
              <w:top w:type="dxa" w:w="80"/>
              <w:left w:type="dxa" w:w="100"/>
              <w:bottom w:type="dxa" w:w="80"/>
              <w:right w:type="dxa" w:w="100"/>
            </w:tcMar>
            <w:vAlign w:val="center"/>
          </w:tcPr>
          <w:p>
            <w:r>
              <w:rPr>
                <w:b w:val="false"/>
                <w:bCs w:val="false"/>
                <w:sz w:val="19"/>
                <w:szCs w:val="19"/>
              </w:rPr>
              <w:t xml:space="preserve">Desarrollo I/T</w:t>
            </w:r>
          </w:p>
        </w:tc>
        <w:tc>
          <w:tcPr>
            <w:tcW w:type="dxa" w:w="3120"/>
            <w:tcMar>
              <w:top w:type="dxa" w:w="80"/>
              <w:left w:type="dxa" w:w="100"/>
              <w:bottom w:type="dxa" w:w="80"/>
              <w:right w:type="dxa" w:w="100"/>
            </w:tcMar>
            <w:vAlign w:val="center"/>
          </w:tcPr>
          <w:p>
            <w:r>
              <w:rPr>
                <w:b w:val="false"/>
                <w:bCs w:val="false"/>
                <w:sz w:val="19"/>
                <w:szCs w:val="19"/>
              </w:rPr>
              <w:t xml:space="preserve">Acceso ágil a herramientas de desarrollo (Git, CI/CD, entornos de prueba), sin fricción operativa excesiva</w:t>
            </w:r>
          </w:p>
        </w:tc>
        <w:tc>
          <w:tcPr>
            <w:tcW w:type="dxa" w:w="3120"/>
            <w:tcMar>
              <w:top w:type="dxa" w:w="80"/>
              <w:left w:type="dxa" w:w="100"/>
              <w:bottom w:type="dxa" w:w="80"/>
              <w:right w:type="dxa" w:w="100"/>
            </w:tcMar>
            <w:vAlign w:val="center"/>
          </w:tcPr>
          <w:p>
            <w:r>
              <w:rPr>
                <w:b w:val="false"/>
                <w:bCs w:val="false"/>
                <w:sz w:val="19"/>
                <w:szCs w:val="19"/>
              </w:rPr>
              <w:t xml:space="preserve">VLAN de mayor capacidad, tráfico este-oeste sin cuellos de botella, posibilidad de trabajar remoto</w:t>
            </w:r>
          </w:p>
        </w:tc>
      </w:tr>
      <w:tr>
        <w:tc>
          <w:tcPr>
            <w:tcW w:type="dxa" w:w="3120"/>
            <w:tcMar>
              <w:top w:type="dxa" w:w="80"/>
              <w:left w:type="dxa" w:w="100"/>
              <w:bottom w:type="dxa" w:w="80"/>
              <w:right w:type="dxa" w:w="100"/>
            </w:tcMar>
            <w:vAlign w:val="center"/>
          </w:tcPr>
          <w:p>
            <w:r>
              <w:rPr>
                <w:b w:val="false"/>
                <w:bCs w:val="false"/>
                <w:sz w:val="19"/>
                <w:szCs w:val="19"/>
              </w:rPr>
              <w:t xml:space="preserve">Soporte I/T</w:t>
            </w:r>
          </w:p>
        </w:tc>
        <w:tc>
          <w:tcPr>
            <w:tcW w:type="dxa" w:w="3120"/>
            <w:tcMar>
              <w:top w:type="dxa" w:w="80"/>
              <w:left w:type="dxa" w:w="100"/>
              <w:bottom w:type="dxa" w:w="80"/>
              <w:right w:type="dxa" w:w="100"/>
            </w:tcMar>
            <w:vAlign w:val="center"/>
          </w:tcPr>
          <w:p>
            <w:r>
              <w:rPr>
                <w:b w:val="false"/>
                <w:bCs w:val="false"/>
                <w:sz w:val="19"/>
                <w:szCs w:val="19"/>
              </w:rPr>
              <w:t xml:space="preserve">Visibilidad total de la red para diagnóstico, acceso administrativo a todos los equipos</w:t>
            </w:r>
          </w:p>
        </w:tc>
        <w:tc>
          <w:tcPr>
            <w:tcW w:type="dxa" w:w="3120"/>
            <w:tcMar>
              <w:top w:type="dxa" w:w="80"/>
              <w:left w:type="dxa" w:w="100"/>
              <w:bottom w:type="dxa" w:w="80"/>
              <w:right w:type="dxa" w:w="100"/>
            </w:tcMar>
            <w:vAlign w:val="center"/>
          </w:tcPr>
          <w:p>
            <w:r>
              <w:rPr>
                <w:b w:val="false"/>
                <w:bCs w:val="false"/>
                <w:sz w:val="19"/>
                <w:szCs w:val="19"/>
              </w:rPr>
              <w:t xml:space="preserve">VLAN de gestión dedicada, acceso privilegiado auditado, herramientas de monitoreo (Zabbix)</w:t>
            </w:r>
          </w:p>
        </w:tc>
      </w:tr>
      <w:tr>
        <w:tc>
          <w:tcPr>
            <w:tcW w:type="dxa" w:w="3120"/>
            <w:tcMar>
              <w:top w:type="dxa" w:w="80"/>
              <w:left w:type="dxa" w:w="100"/>
              <w:bottom w:type="dxa" w:w="80"/>
              <w:right w:type="dxa" w:w="100"/>
            </w:tcMar>
            <w:vAlign w:val="center"/>
          </w:tcPr>
          <w:p>
            <w:r>
              <w:rPr>
                <w:b w:val="false"/>
                <w:bCs w:val="false"/>
                <w:sz w:val="19"/>
                <w:szCs w:val="19"/>
              </w:rPr>
              <w:t xml:space="preserve">Empleados en general</w:t>
            </w:r>
          </w:p>
        </w:tc>
        <w:tc>
          <w:tcPr>
            <w:tcW w:type="dxa" w:w="3120"/>
            <w:tcMar>
              <w:top w:type="dxa" w:w="80"/>
              <w:left w:type="dxa" w:w="100"/>
              <w:bottom w:type="dxa" w:w="80"/>
              <w:right w:type="dxa" w:w="100"/>
            </w:tcMar>
            <w:vAlign w:val="center"/>
          </w:tcPr>
          <w:p>
            <w:r>
              <w:rPr>
                <w:b w:val="false"/>
                <w:bCs w:val="false"/>
                <w:sz w:val="19"/>
                <w:szCs w:val="19"/>
              </w:rPr>
              <w:t xml:space="preserve">Trabajar desde fuera de la oficina sin perder acceso a herramientas internas</w:t>
            </w:r>
          </w:p>
        </w:tc>
        <w:tc>
          <w:tcPr>
            <w:tcW w:type="dxa" w:w="3120"/>
            <w:tcMar>
              <w:top w:type="dxa" w:w="80"/>
              <w:left w:type="dxa" w:w="100"/>
              <w:bottom w:type="dxa" w:w="80"/>
              <w:right w:type="dxa" w:w="100"/>
            </w:tcMar>
            <w:vAlign w:val="center"/>
          </w:tcPr>
          <w:p>
            <w:r>
              <w:rPr>
                <w:b w:val="false"/>
                <w:bCs w:val="false"/>
                <w:sz w:val="19"/>
                <w:szCs w:val="19"/>
              </w:rPr>
              <w:t xml:space="preserve">VPN de acceso remoto, intranet accesible, telefonía IP con movilidad</w:t>
            </w:r>
          </w:p>
        </w:tc>
      </w:tr>
      <w:tr>
        <w:tc>
          <w:tcPr>
            <w:tcW w:type="dxa" w:w="3120"/>
            <w:tcMar>
              <w:top w:type="dxa" w:w="80"/>
              <w:left w:type="dxa" w:w="100"/>
              <w:bottom w:type="dxa" w:w="80"/>
              <w:right w:type="dxa" w:w="100"/>
            </w:tcMar>
            <w:vAlign w:val="center"/>
          </w:tcPr>
          <w:p>
            <w:r>
              <w:rPr>
                <w:b w:val="false"/>
                <w:bCs w:val="false"/>
                <w:sz w:val="19"/>
                <w:szCs w:val="19"/>
              </w:rPr>
              <w:t xml:space="preserve">Clientes externos (indirecto)</w:t>
            </w:r>
          </w:p>
        </w:tc>
        <w:tc>
          <w:tcPr>
            <w:tcW w:type="dxa" w:w="3120"/>
            <w:tcMar>
              <w:top w:type="dxa" w:w="80"/>
              <w:left w:type="dxa" w:w="100"/>
              <w:bottom w:type="dxa" w:w="80"/>
              <w:right w:type="dxa" w:w="100"/>
            </w:tcMar>
            <w:vAlign w:val="center"/>
          </w:tcPr>
          <w:p>
            <w:r>
              <w:rPr>
                <w:b w:val="false"/>
                <w:bCs w:val="false"/>
                <w:sz w:val="19"/>
                <w:szCs w:val="19"/>
              </w:rPr>
              <w:t xml:space="preserve">Que el sitio/servicios expuestos de la empresa estén siempre disponibles y no comprometan sus propios datos</w:t>
            </w:r>
          </w:p>
        </w:tc>
        <w:tc>
          <w:tcPr>
            <w:tcW w:type="dxa" w:w="3120"/>
            <w:tcMar>
              <w:top w:type="dxa" w:w="80"/>
              <w:left w:type="dxa" w:w="100"/>
              <w:bottom w:type="dxa" w:w="80"/>
              <w:right w:type="dxa" w:w="100"/>
            </w:tcMar>
            <w:vAlign w:val="center"/>
          </w:tcPr>
          <w:p>
            <w:r>
              <w:rPr>
                <w:b w:val="false"/>
                <w:bCs w:val="false"/>
                <w:sz w:val="19"/>
                <w:szCs w:val="19"/>
              </w:rPr>
              <w:t xml:space="preserve">DMZ, Web Server segmentado, políticas de terceros</w:t>
            </w:r>
          </w:p>
        </w:tc>
      </w:tr>
    </w:tbl>
    <w:p>
      <w:pPr>
        <w:spacing w:after="200"/>
      </w:pPr>
    </w:p>
    <w:p>
      <w:pPr>
        <w:pStyle w:val="Heading2"/>
        <w:spacing w:after="180" w:before="320"/>
      </w:pPr>
      <w:r>
        <w:t xml:space="preserve">1.4 Necesidades tecnológicas identificadas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Necesidad del negocio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Traducción técnica</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Prioridad (MoSCoW)</w:t>
            </w:r>
          </w:p>
        </w:tc>
      </w:tr>
      <w:tr>
        <w:tc>
          <w:tcPr>
            <w:tcW w:type="dxa" w:w="2340"/>
            <w:tcMar>
              <w:top w:type="dxa" w:w="80"/>
              <w:left w:type="dxa" w:w="100"/>
              <w:bottom w:type="dxa" w:w="80"/>
              <w:right w:type="dxa" w:w="100"/>
            </w:tcMar>
            <w:vAlign w:val="center"/>
          </w:tcPr>
          <w:p>
            <w:r>
              <w:rPr>
                <w:b w:val="false"/>
                <w:bCs w:val="false"/>
                <w:sz w:val="19"/>
                <w:szCs w:val="19"/>
              </w:rPr>
              <w:t xml:space="preserve">1</w:t>
            </w:r>
          </w:p>
        </w:tc>
        <w:tc>
          <w:tcPr>
            <w:tcW w:type="dxa" w:w="2340"/>
            <w:tcMar>
              <w:top w:type="dxa" w:w="80"/>
              <w:left w:type="dxa" w:w="100"/>
              <w:bottom w:type="dxa" w:w="80"/>
              <w:right w:type="dxa" w:w="100"/>
            </w:tcMar>
            <w:vAlign w:val="center"/>
          </w:tcPr>
          <w:p>
            <w:r>
              <w:rPr>
                <w:b w:val="false"/>
                <w:bCs w:val="false"/>
                <w:sz w:val="19"/>
                <w:szCs w:val="19"/>
              </w:rPr>
              <w:t xml:space="preserve">Reducir costo de telefonía</w:t>
            </w:r>
          </w:p>
        </w:tc>
        <w:tc>
          <w:tcPr>
            <w:tcW w:type="dxa" w:w="2340"/>
            <w:tcMar>
              <w:top w:type="dxa" w:w="80"/>
              <w:left w:type="dxa" w:w="100"/>
              <w:bottom w:type="dxa" w:w="80"/>
              <w:right w:type="dxa" w:w="100"/>
            </w:tcMar>
            <w:vAlign w:val="center"/>
          </w:tcPr>
          <w:p>
            <w:r>
              <w:rPr>
                <w:b w:val="false"/>
                <w:bCs w:val="false"/>
                <w:sz w:val="19"/>
                <w:szCs w:val="19"/>
              </w:rPr>
              <w:t xml:space="preserve">VoIP interno con </w:t>
            </w:r>
            <w:r>
              <w:rPr>
                <w:b w:val="false"/>
                <w:bCs w:val="false"/>
                <w:sz w:val="19"/>
                <w:szCs w:val="19"/>
              </w:rPr>
              <w:t xml:space="preserve">Asterisk + FreePBX</w:t>
            </w:r>
            <w:r>
              <w:rPr>
                <w:b w:val="false"/>
                <w:bCs w:val="false"/>
                <w:sz w:val="19"/>
                <w:szCs w:val="19"/>
              </w:rPr>
              <w:t xml:space="preserve"> (VM </w:t>
            </w:r>
            <w:r>
              <w:rPr>
                <w:rFonts w:ascii="Consolas" w:cs="Consolas" w:eastAsia="Consolas" w:hAnsi="Consolas"/>
                <w:b w:val="false"/>
                <w:bCs w:val="false"/>
                <w:sz w:val="19"/>
                <w:szCs w:val="19"/>
              </w:rPr>
              <w:t xml:space="preserve">vm-voip</w:t>
            </w:r>
            <w:r>
              <w:rPr>
                <w:b w:val="false"/>
                <w:bCs w:val="false"/>
                <w:sz w:val="19"/>
                <w:szCs w:val="19"/>
              </w:rPr>
              <w:t xml:space="preserve">), VLAN 60 dedicada con QoS</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2</w:t>
            </w:r>
          </w:p>
        </w:tc>
        <w:tc>
          <w:tcPr>
            <w:tcW w:type="dxa" w:w="2340"/>
            <w:tcMar>
              <w:top w:type="dxa" w:w="80"/>
              <w:left w:type="dxa" w:w="100"/>
              <w:bottom w:type="dxa" w:w="80"/>
              <w:right w:type="dxa" w:w="100"/>
            </w:tcMar>
            <w:vAlign w:val="center"/>
          </w:tcPr>
          <w:p>
            <w:r>
              <w:rPr>
                <w:b w:val="false"/>
                <w:bCs w:val="false"/>
                <w:sz w:val="19"/>
                <w:szCs w:val="19"/>
              </w:rPr>
              <w:t xml:space="preserve">Continuidad de Internet ante falla de proveedor</w:t>
            </w:r>
          </w:p>
        </w:tc>
        <w:tc>
          <w:tcPr>
            <w:tcW w:type="dxa" w:w="2340"/>
            <w:tcMar>
              <w:top w:type="dxa" w:w="80"/>
              <w:left w:type="dxa" w:w="100"/>
              <w:bottom w:type="dxa" w:w="80"/>
              <w:right w:type="dxa" w:w="100"/>
            </w:tcMar>
            <w:vAlign w:val="center"/>
          </w:tcPr>
          <w:p>
            <w:r>
              <w:rPr>
                <w:b w:val="false"/>
                <w:bCs w:val="false"/>
                <w:sz w:val="19"/>
                <w:szCs w:val="19"/>
              </w:rPr>
              <w:t xml:space="preserve">2 enlaces WAN de </w:t>
            </w:r>
            <w:r>
              <w:rPr>
                <w:b w:val="false"/>
                <w:bCs w:val="false"/>
                <w:sz w:val="19"/>
                <w:szCs w:val="19"/>
              </w:rPr>
              <w:t xml:space="preserve">Claro</w:t>
            </w:r>
            <w:r>
              <w:rPr>
                <w:b w:val="false"/>
                <w:bCs w:val="false"/>
                <w:sz w:val="19"/>
                <w:szCs w:val="19"/>
              </w:rPr>
              <w:t xml:space="preserve"> y </w:t>
            </w:r>
            <w:r>
              <w:rPr>
                <w:b w:val="false"/>
                <w:bCs w:val="false"/>
                <w:sz w:val="19"/>
                <w:szCs w:val="19"/>
              </w:rPr>
              <w:t xml:space="preserve">Tigo</w:t>
            </w:r>
            <w:r>
              <w:rPr>
                <w:b w:val="false"/>
                <w:bCs w:val="false"/>
                <w:sz w:val="19"/>
                <w:szCs w:val="19"/>
              </w:rPr>
              <w:t xml:space="preserve"> (proveedores con infraestructura independiente entre sí — evita compartir el mismo punto de falla), </w:t>
            </w:r>
            <w:r>
              <w:rPr>
                <w:b w:val="false"/>
                <w:bCs w:val="false"/>
                <w:sz w:val="19"/>
                <w:szCs w:val="19"/>
              </w:rPr>
              <w:t xml:space="preserve">failover automático</w:t>
            </w:r>
            <w:r>
              <w:rPr>
                <w:b w:val="false"/>
                <w:bCs w:val="false"/>
                <w:sz w:val="19"/>
                <w:szCs w:val="19"/>
              </w:rPr>
              <w:t xml:space="preserve"> en R1 (no balanceo: el enunciado pide explícitamente "redundancia", no más ancho de banda agregado)</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3</w:t>
            </w:r>
          </w:p>
        </w:tc>
        <w:tc>
          <w:tcPr>
            <w:tcW w:type="dxa" w:w="2340"/>
            <w:tcMar>
              <w:top w:type="dxa" w:w="80"/>
              <w:left w:type="dxa" w:w="100"/>
              <w:bottom w:type="dxa" w:w="80"/>
              <w:right w:type="dxa" w:w="100"/>
            </w:tcMar>
            <w:vAlign w:val="center"/>
          </w:tcPr>
          <w:p>
            <w:r>
              <w:rPr>
                <w:b w:val="false"/>
                <w:bCs w:val="false"/>
                <w:sz w:val="19"/>
                <w:szCs w:val="19"/>
              </w:rPr>
              <w:t xml:space="preserve">Alta disponibilidad de los sistemas financieros/core</w:t>
            </w:r>
          </w:p>
        </w:tc>
        <w:tc>
          <w:tcPr>
            <w:tcW w:type="dxa" w:w="2340"/>
            <w:tcMar>
              <w:top w:type="dxa" w:w="80"/>
              <w:left w:type="dxa" w:w="100"/>
              <w:bottom w:type="dxa" w:w="80"/>
              <w:right w:type="dxa" w:w="100"/>
            </w:tcMar>
            <w:vAlign w:val="center"/>
          </w:tcPr>
          <w:p>
            <w:r>
              <w:rPr>
                <w:b w:val="false"/>
                <w:bCs w:val="false"/>
                <w:sz w:val="19"/>
                <w:szCs w:val="19"/>
              </w:rPr>
              <w:t xml:space="preserve">Data Center Tier 4</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4</w:t>
            </w:r>
          </w:p>
        </w:tc>
        <w:tc>
          <w:tcPr>
            <w:tcW w:type="dxa" w:w="2340"/>
            <w:tcMar>
              <w:top w:type="dxa" w:w="80"/>
              <w:left w:type="dxa" w:w="100"/>
              <w:bottom w:type="dxa" w:w="80"/>
              <w:right w:type="dxa" w:w="100"/>
            </w:tcMar>
            <w:vAlign w:val="center"/>
          </w:tcPr>
          <w:p>
            <w:r>
              <w:rPr>
                <w:b w:val="false"/>
                <w:bCs w:val="false"/>
                <w:sz w:val="19"/>
                <w:szCs w:val="19"/>
              </w:rPr>
              <w:t xml:space="preserve">Confidencialidad y segmentación de datos por área</w:t>
            </w:r>
          </w:p>
        </w:tc>
        <w:tc>
          <w:tcPr>
            <w:tcW w:type="dxa" w:w="2340"/>
            <w:tcMar>
              <w:top w:type="dxa" w:w="80"/>
              <w:left w:type="dxa" w:w="100"/>
              <w:bottom w:type="dxa" w:w="80"/>
              <w:right w:type="dxa" w:w="100"/>
            </w:tcMar>
            <w:vAlign w:val="center"/>
          </w:tcPr>
          <w:p>
            <w:r>
              <w:rPr>
                <w:b w:val="false"/>
                <w:bCs w:val="false"/>
                <w:sz w:val="19"/>
                <w:szCs w:val="19"/>
              </w:rPr>
              <w:t xml:space="preserve">VLANs + matriz de control de acceso inter-VLAN</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5</w:t>
            </w:r>
          </w:p>
        </w:tc>
        <w:tc>
          <w:tcPr>
            <w:tcW w:type="dxa" w:w="2340"/>
            <w:tcMar>
              <w:top w:type="dxa" w:w="80"/>
              <w:left w:type="dxa" w:w="100"/>
              <w:bottom w:type="dxa" w:w="80"/>
              <w:right w:type="dxa" w:w="100"/>
            </w:tcMar>
            <w:vAlign w:val="center"/>
          </w:tcPr>
          <w:p>
            <w:r>
              <w:rPr>
                <w:b w:val="false"/>
                <w:bCs w:val="false"/>
                <w:sz w:val="19"/>
                <w:szCs w:val="19"/>
              </w:rPr>
              <w:t xml:space="preserve">Habilitar trabajo remoto sin perder control de seguridad</w:t>
            </w:r>
          </w:p>
        </w:tc>
        <w:tc>
          <w:tcPr>
            <w:tcW w:type="dxa" w:w="2340"/>
            <w:tcMar>
              <w:top w:type="dxa" w:w="80"/>
              <w:left w:type="dxa" w:w="100"/>
              <w:bottom w:type="dxa" w:w="80"/>
              <w:right w:type="dxa" w:w="100"/>
            </w:tcMar>
            <w:vAlign w:val="center"/>
          </w:tcPr>
          <w:p>
            <w:r>
              <w:rPr>
                <w:b w:val="false"/>
                <w:bCs w:val="false"/>
                <w:sz w:val="19"/>
                <w:szCs w:val="19"/>
              </w:rPr>
              <w:t xml:space="preserve">VPN (WireGuard) + intranet colaborativa</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6</w:t>
            </w:r>
          </w:p>
        </w:tc>
        <w:tc>
          <w:tcPr>
            <w:tcW w:type="dxa" w:w="2340"/>
            <w:tcMar>
              <w:top w:type="dxa" w:w="80"/>
              <w:left w:type="dxa" w:w="100"/>
              <w:bottom w:type="dxa" w:w="80"/>
              <w:right w:type="dxa" w:w="100"/>
            </w:tcMar>
            <w:vAlign w:val="center"/>
          </w:tcPr>
          <w:p>
            <w:r>
              <w:rPr>
                <w:b w:val="false"/>
                <w:bCs w:val="false"/>
                <w:sz w:val="19"/>
                <w:szCs w:val="19"/>
              </w:rPr>
              <w:t xml:space="preserve">Correo corporativo propio, sin depender de terceros</w:t>
            </w:r>
          </w:p>
        </w:tc>
        <w:tc>
          <w:tcPr>
            <w:tcW w:type="dxa" w:w="2340"/>
            <w:tcMar>
              <w:top w:type="dxa" w:w="80"/>
              <w:left w:type="dxa" w:w="100"/>
              <w:bottom w:type="dxa" w:w="80"/>
              <w:right w:type="dxa" w:w="100"/>
            </w:tcMar>
            <w:vAlign w:val="center"/>
          </w:tcPr>
          <w:p>
            <w:r>
              <w:rPr>
                <w:b w:val="false"/>
                <w:bCs w:val="false"/>
                <w:sz w:val="19"/>
                <w:szCs w:val="19"/>
              </w:rPr>
              <w:t xml:space="preserve">Servidor de correo on-premise, anti-spam</w:t>
            </w:r>
          </w:p>
        </w:tc>
        <w:tc>
          <w:tcPr>
            <w:tcW w:type="dxa" w:w="2340"/>
            <w:tcMar>
              <w:top w:type="dxa" w:w="80"/>
              <w:left w:type="dxa" w:w="100"/>
              <w:bottom w:type="dxa" w:w="80"/>
              <w:right w:type="dxa" w:w="100"/>
            </w:tcMar>
            <w:vAlign w:val="center"/>
          </w:tcPr>
          <w:p>
            <w:r>
              <w:rPr>
                <w:b w:val="false"/>
                <w:bCs w:val="false"/>
                <w:sz w:val="19"/>
                <w:szCs w:val="19"/>
              </w:rPr>
              <w:t xml:space="preserve">Must have</w:t>
            </w:r>
          </w:p>
        </w:tc>
      </w:tr>
      <w:tr>
        <w:tc>
          <w:tcPr>
            <w:tcW w:type="dxa" w:w="2340"/>
            <w:tcMar>
              <w:top w:type="dxa" w:w="80"/>
              <w:left w:type="dxa" w:w="100"/>
              <w:bottom w:type="dxa" w:w="80"/>
              <w:right w:type="dxa" w:w="100"/>
            </w:tcMar>
            <w:vAlign w:val="center"/>
          </w:tcPr>
          <w:p>
            <w:r>
              <w:rPr>
                <w:b w:val="false"/>
                <w:bCs w:val="false"/>
                <w:sz w:val="19"/>
                <w:szCs w:val="19"/>
              </w:rPr>
              <w:t xml:space="preserve">7</w:t>
            </w:r>
          </w:p>
        </w:tc>
        <w:tc>
          <w:tcPr>
            <w:tcW w:type="dxa" w:w="2340"/>
            <w:tcMar>
              <w:top w:type="dxa" w:w="80"/>
              <w:left w:type="dxa" w:w="100"/>
              <w:bottom w:type="dxa" w:w="80"/>
              <w:right w:type="dxa" w:w="100"/>
            </w:tcMar>
            <w:vAlign w:val="center"/>
          </w:tcPr>
          <w:p>
            <w:r>
              <w:rPr>
                <w:b w:val="false"/>
                <w:bCs w:val="false"/>
                <w:sz w:val="19"/>
                <w:szCs w:val="19"/>
              </w:rPr>
              <w:t xml:space="preserve">Reducir intervención manual / operación propensa a error humano</w:t>
            </w:r>
          </w:p>
        </w:tc>
        <w:tc>
          <w:tcPr>
            <w:tcW w:type="dxa" w:w="2340"/>
            <w:tcMar>
              <w:top w:type="dxa" w:w="80"/>
              <w:left w:type="dxa" w:w="100"/>
              <w:bottom w:type="dxa" w:w="80"/>
              <w:right w:type="dxa" w:w="100"/>
            </w:tcMar>
            <w:vAlign w:val="center"/>
          </w:tcPr>
          <w:p>
            <w:r>
              <w:rPr>
                <w:b w:val="false"/>
                <w:bCs w:val="false"/>
                <w:sz w:val="19"/>
                <w:szCs w:val="19"/>
              </w:rPr>
              <w:t xml:space="preserve">Automatización (Terraform + Ansible + IA)</w:t>
            </w:r>
          </w:p>
        </w:tc>
        <w:tc>
          <w:tcPr>
            <w:tcW w:type="dxa" w:w="2340"/>
            <w:tcMar>
              <w:top w:type="dxa" w:w="80"/>
              <w:left w:type="dxa" w:w="100"/>
              <w:bottom w:type="dxa" w:w="80"/>
              <w:right w:type="dxa" w:w="100"/>
            </w:tcMar>
            <w:vAlign w:val="center"/>
          </w:tcPr>
          <w:p>
            <w:r>
              <w:rPr>
                <w:b w:val="false"/>
                <w:bCs w:val="false"/>
                <w:sz w:val="19"/>
                <w:szCs w:val="19"/>
              </w:rPr>
              <w:t xml:space="preserve">Should have</w:t>
            </w:r>
          </w:p>
        </w:tc>
      </w:tr>
      <w:tr>
        <w:tc>
          <w:tcPr>
            <w:tcW w:type="dxa" w:w="2340"/>
            <w:tcMar>
              <w:top w:type="dxa" w:w="80"/>
              <w:left w:type="dxa" w:w="100"/>
              <w:bottom w:type="dxa" w:w="80"/>
              <w:right w:type="dxa" w:w="100"/>
            </w:tcMar>
            <w:vAlign w:val="center"/>
          </w:tcPr>
          <w:p>
            <w:r>
              <w:rPr>
                <w:b w:val="false"/>
                <w:bCs w:val="false"/>
                <w:sz w:val="19"/>
                <w:szCs w:val="19"/>
              </w:rPr>
              <w:t xml:space="preserve">8</w:t>
            </w:r>
          </w:p>
        </w:tc>
        <w:tc>
          <w:tcPr>
            <w:tcW w:type="dxa" w:w="2340"/>
            <w:tcMar>
              <w:top w:type="dxa" w:w="80"/>
              <w:left w:type="dxa" w:w="100"/>
              <w:bottom w:type="dxa" w:w="80"/>
              <w:right w:type="dxa" w:w="100"/>
            </w:tcMar>
            <w:vAlign w:val="center"/>
          </w:tcPr>
          <w:p>
            <w:r>
              <w:rPr>
                <w:b w:val="false"/>
                <w:bCs w:val="false"/>
                <w:sz w:val="19"/>
                <w:szCs w:val="19"/>
              </w:rPr>
              <w:t xml:space="preserve">Visibilidad proactiva de la salud de la red</w:t>
            </w:r>
          </w:p>
        </w:tc>
        <w:tc>
          <w:tcPr>
            <w:tcW w:type="dxa" w:w="2340"/>
            <w:tcMar>
              <w:top w:type="dxa" w:w="80"/>
              <w:left w:type="dxa" w:w="100"/>
              <w:bottom w:type="dxa" w:w="80"/>
              <w:right w:type="dxa" w:w="100"/>
            </w:tcMar>
            <w:vAlign w:val="center"/>
          </w:tcPr>
          <w:p>
            <w:r>
              <w:rPr>
                <w:b w:val="false"/>
                <w:bCs w:val="false"/>
                <w:sz w:val="19"/>
                <w:szCs w:val="19"/>
              </w:rPr>
              <w:t xml:space="preserve">Monitoreo centralizado (Zabbix)</w:t>
            </w:r>
          </w:p>
        </w:tc>
        <w:tc>
          <w:tcPr>
            <w:tcW w:type="dxa" w:w="2340"/>
            <w:tcMar>
              <w:top w:type="dxa" w:w="80"/>
              <w:left w:type="dxa" w:w="100"/>
              <w:bottom w:type="dxa" w:w="80"/>
              <w:right w:type="dxa" w:w="100"/>
            </w:tcMar>
            <w:vAlign w:val="center"/>
          </w:tcPr>
          <w:p>
            <w:r>
              <w:rPr>
                <w:b w:val="false"/>
                <w:bCs w:val="false"/>
                <w:sz w:val="19"/>
                <w:szCs w:val="19"/>
              </w:rPr>
              <w:t xml:space="preserve">Should have</w:t>
            </w:r>
          </w:p>
        </w:tc>
      </w:tr>
      <w:tr>
        <w:tc>
          <w:tcPr>
            <w:tcW w:type="dxa" w:w="2340"/>
            <w:tcMar>
              <w:top w:type="dxa" w:w="80"/>
              <w:left w:type="dxa" w:w="100"/>
              <w:bottom w:type="dxa" w:w="80"/>
              <w:right w:type="dxa" w:w="100"/>
            </w:tcMar>
            <w:vAlign w:val="center"/>
          </w:tcPr>
          <w:p>
            <w:r>
              <w:rPr>
                <w:b w:val="false"/>
                <w:bCs w:val="false"/>
                <w:sz w:val="19"/>
                <w:szCs w:val="19"/>
              </w:rPr>
              <w:t xml:space="preserve">9</w:t>
            </w:r>
          </w:p>
        </w:tc>
        <w:tc>
          <w:tcPr>
            <w:tcW w:type="dxa" w:w="2340"/>
            <w:tcMar>
              <w:top w:type="dxa" w:w="80"/>
              <w:left w:type="dxa" w:w="100"/>
              <w:bottom w:type="dxa" w:w="80"/>
              <w:right w:type="dxa" w:w="100"/>
            </w:tcMar>
            <w:vAlign w:val="center"/>
          </w:tcPr>
          <w:p>
            <w:r>
              <w:rPr>
                <w:b w:val="false"/>
                <w:bCs w:val="false"/>
                <w:sz w:val="19"/>
                <w:szCs w:val="19"/>
              </w:rPr>
              <w:t xml:space="preserve">Gestión de identidad centralizada y auditable</w:t>
            </w:r>
          </w:p>
        </w:tc>
        <w:tc>
          <w:tcPr>
            <w:tcW w:type="dxa" w:w="2340"/>
            <w:tcMar>
              <w:top w:type="dxa" w:w="80"/>
              <w:left w:type="dxa" w:w="100"/>
              <w:bottom w:type="dxa" w:w="80"/>
              <w:right w:type="dxa" w:w="100"/>
            </w:tcMar>
            <w:vAlign w:val="center"/>
          </w:tcPr>
          <w:p>
            <w:r>
              <w:rPr>
                <w:b w:val="false"/>
                <w:bCs w:val="false"/>
                <w:sz w:val="19"/>
                <w:szCs w:val="19"/>
              </w:rPr>
              <w:t xml:space="preserve">Política de cuentas nominales + revisión periódica de accesos</w:t>
            </w:r>
          </w:p>
        </w:tc>
        <w:tc>
          <w:tcPr>
            <w:tcW w:type="dxa" w:w="2340"/>
            <w:tcMar>
              <w:top w:type="dxa" w:w="80"/>
              <w:left w:type="dxa" w:w="100"/>
              <w:bottom w:type="dxa" w:w="80"/>
              <w:right w:type="dxa" w:w="100"/>
            </w:tcMar>
            <w:vAlign w:val="center"/>
          </w:tcPr>
          <w:p>
            <w:r>
              <w:rPr>
                <w:b w:val="false"/>
                <w:bCs w:val="false"/>
                <w:sz w:val="19"/>
                <w:szCs w:val="19"/>
              </w:rPr>
              <w:t xml:space="preserve">Should have</w:t>
            </w:r>
          </w:p>
        </w:tc>
      </w:tr>
      <w:tr>
        <w:tc>
          <w:tcPr>
            <w:tcW w:type="dxa" w:w="2340"/>
            <w:tcMar>
              <w:top w:type="dxa" w:w="80"/>
              <w:left w:type="dxa" w:w="100"/>
              <w:bottom w:type="dxa" w:w="80"/>
              <w:right w:type="dxa" w:w="100"/>
            </w:tcMar>
            <w:vAlign w:val="center"/>
          </w:tcPr>
          <w:p>
            <w:r>
              <w:rPr>
                <w:b w:val="false"/>
                <w:bCs w:val="false"/>
                <w:sz w:val="19"/>
                <w:szCs w:val="19"/>
              </w:rPr>
              <w:t xml:space="preserve">10</w:t>
            </w:r>
          </w:p>
        </w:tc>
        <w:tc>
          <w:tcPr>
            <w:tcW w:type="dxa" w:w="2340"/>
            <w:tcMar>
              <w:top w:type="dxa" w:w="80"/>
              <w:left w:type="dxa" w:w="100"/>
              <w:bottom w:type="dxa" w:w="80"/>
              <w:right w:type="dxa" w:w="100"/>
            </w:tcMar>
            <w:vAlign w:val="center"/>
          </w:tcPr>
          <w:p>
            <w:r>
              <w:rPr>
                <w:b w:val="false"/>
                <w:bCs w:val="false"/>
                <w:sz w:val="19"/>
                <w:szCs w:val="19"/>
              </w:rPr>
              <w:t xml:space="preserve">Escalabilidad ante crecimiento de personal</w:t>
            </w:r>
          </w:p>
        </w:tc>
        <w:tc>
          <w:tcPr>
            <w:tcW w:type="dxa" w:w="2340"/>
            <w:tcMar>
              <w:top w:type="dxa" w:w="80"/>
              <w:left w:type="dxa" w:w="100"/>
              <w:bottom w:type="dxa" w:w="80"/>
              <w:right w:type="dxa" w:w="100"/>
            </w:tcMar>
            <w:vAlign w:val="center"/>
          </w:tcPr>
          <w:p>
            <w:r>
              <w:rPr>
                <w:b w:val="false"/>
                <w:bCs w:val="false"/>
                <w:sz w:val="19"/>
                <w:szCs w:val="19"/>
              </w:rPr>
              <w:t xml:space="preserve">Direccionamiento con margen (VLANs </w:t>
            </w:r>
            <w:r>
              <w:rPr>
                <w:rFonts w:ascii="Consolas" w:cs="Consolas" w:eastAsia="Consolas" w:hAnsi="Consolas"/>
                <w:b w:val="false"/>
                <w:bCs w:val="false"/>
                <w:sz w:val="19"/>
                <w:szCs w:val="19"/>
              </w:rPr>
              <w:t xml:space="preserve">/24</w:t>
            </w:r>
            <w:r>
              <w:rPr>
                <w:b w:val="false"/>
                <w:bCs w:val="false"/>
                <w:sz w:val="19"/>
                <w:szCs w:val="19"/>
              </w:rPr>
              <w:t xml:space="preserve">), cableado con puertos de repuesto</w:t>
            </w:r>
          </w:p>
        </w:tc>
        <w:tc>
          <w:tcPr>
            <w:tcW w:type="dxa" w:w="2340"/>
            <w:tcMar>
              <w:top w:type="dxa" w:w="80"/>
              <w:left w:type="dxa" w:w="100"/>
              <w:bottom w:type="dxa" w:w="80"/>
              <w:right w:type="dxa" w:w="100"/>
            </w:tcMar>
            <w:vAlign w:val="center"/>
          </w:tcPr>
          <w:p>
            <w:r>
              <w:rPr>
                <w:b w:val="false"/>
                <w:bCs w:val="false"/>
                <w:sz w:val="19"/>
                <w:szCs w:val="19"/>
              </w:rPr>
              <w:t xml:space="preserve">Should have</w:t>
            </w:r>
          </w:p>
        </w:tc>
      </w:tr>
      <w:tr>
        <w:tc>
          <w:tcPr>
            <w:tcW w:type="dxa" w:w="2340"/>
            <w:tcMar>
              <w:top w:type="dxa" w:w="80"/>
              <w:left w:type="dxa" w:w="100"/>
              <w:bottom w:type="dxa" w:w="80"/>
              <w:right w:type="dxa" w:w="100"/>
            </w:tcMar>
            <w:vAlign w:val="center"/>
          </w:tcPr>
          <w:p>
            <w:r>
              <w:rPr>
                <w:b w:val="false"/>
                <w:bCs w:val="false"/>
                <w:sz w:val="19"/>
                <w:szCs w:val="19"/>
              </w:rPr>
              <w:t xml:space="preserve">11</w:t>
            </w:r>
          </w:p>
        </w:tc>
        <w:tc>
          <w:tcPr>
            <w:tcW w:type="dxa" w:w="2340"/>
            <w:tcMar>
              <w:top w:type="dxa" w:w="80"/>
              <w:left w:type="dxa" w:w="100"/>
              <w:bottom w:type="dxa" w:w="80"/>
              <w:right w:type="dxa" w:w="100"/>
            </w:tcMar>
            <w:vAlign w:val="center"/>
          </w:tcPr>
          <w:p>
            <w:r>
              <w:rPr>
                <w:b w:val="false"/>
                <w:bCs w:val="false"/>
                <w:sz w:val="19"/>
                <w:szCs w:val="19"/>
              </w:rPr>
              <w:t xml:space="preserve">Herramientas de colaboración/e-learning para equipos distribuidos</w:t>
            </w:r>
          </w:p>
        </w:tc>
        <w:tc>
          <w:tcPr>
            <w:tcW w:type="dxa" w:w="2340"/>
            <w:tcMar>
              <w:top w:type="dxa" w:w="80"/>
              <w:left w:type="dxa" w:w="100"/>
              <w:bottom w:type="dxa" w:w="80"/>
              <w:right w:type="dxa" w:w="100"/>
            </w:tcMar>
            <w:vAlign w:val="center"/>
          </w:tcPr>
          <w:p>
            <w:r>
              <w:rPr>
                <w:b w:val="false"/>
                <w:bCs w:val="false"/>
                <w:sz w:val="19"/>
                <w:szCs w:val="19"/>
              </w:rPr>
              <w:t xml:space="preserve">Nextcloud, videoconferencia self-hosted</w:t>
            </w:r>
          </w:p>
        </w:tc>
        <w:tc>
          <w:tcPr>
            <w:tcW w:type="dxa" w:w="2340"/>
            <w:tcMar>
              <w:top w:type="dxa" w:w="80"/>
              <w:left w:type="dxa" w:w="100"/>
              <w:bottom w:type="dxa" w:w="80"/>
              <w:right w:type="dxa" w:w="100"/>
            </w:tcMar>
            <w:vAlign w:val="center"/>
          </w:tcPr>
          <w:p>
            <w:r>
              <w:rPr>
                <w:b w:val="false"/>
                <w:bCs w:val="false"/>
                <w:sz w:val="19"/>
                <w:szCs w:val="19"/>
              </w:rPr>
              <w:t xml:space="preserve">Could have</w:t>
            </w:r>
          </w:p>
        </w:tc>
      </w:tr>
      <w:tr>
        <w:tc>
          <w:tcPr>
            <w:tcW w:type="dxa" w:w="2340"/>
            <w:tcMar>
              <w:top w:type="dxa" w:w="80"/>
              <w:left w:type="dxa" w:w="100"/>
              <w:bottom w:type="dxa" w:w="80"/>
              <w:right w:type="dxa" w:w="100"/>
            </w:tcMar>
            <w:vAlign w:val="center"/>
          </w:tcPr>
          <w:p>
            <w:r>
              <w:rPr>
                <w:b w:val="false"/>
                <w:bCs w:val="false"/>
                <w:sz w:val="19"/>
                <w:szCs w:val="19"/>
              </w:rPr>
              <w:t xml:space="preserve">12</w:t>
            </w:r>
          </w:p>
        </w:tc>
        <w:tc>
          <w:tcPr>
            <w:tcW w:type="dxa" w:w="2340"/>
            <w:tcMar>
              <w:top w:type="dxa" w:w="80"/>
              <w:left w:type="dxa" w:w="100"/>
              <w:bottom w:type="dxa" w:w="80"/>
              <w:right w:type="dxa" w:w="100"/>
            </w:tcMar>
            <w:vAlign w:val="center"/>
          </w:tcPr>
          <w:p>
            <w:r>
              <w:rPr>
                <w:b w:val="false"/>
                <w:bCs w:val="false"/>
                <w:sz w:val="19"/>
                <w:szCs w:val="19"/>
              </w:rPr>
              <w:t xml:space="preserve">Autenticación multifactor generalizada a todos los usuarios (no solo administrativos)</w:t>
            </w:r>
          </w:p>
        </w:tc>
        <w:tc>
          <w:tcPr>
            <w:tcW w:type="dxa" w:w="2340"/>
            <w:tcMar>
              <w:top w:type="dxa" w:w="80"/>
              <w:left w:type="dxa" w:w="100"/>
              <w:bottom w:type="dxa" w:w="80"/>
              <w:right w:type="dxa" w:w="100"/>
            </w:tcMar>
            <w:vAlign w:val="center"/>
          </w:tcPr>
          <w:p>
            <w:r>
              <w:rPr>
                <w:b w:val="false"/>
                <w:bCs w:val="false"/>
                <w:sz w:val="19"/>
                <w:szCs w:val="19"/>
              </w:rPr>
              <w:t xml:space="preserve">MFA universal</w:t>
            </w:r>
          </w:p>
        </w:tc>
        <w:tc>
          <w:tcPr>
            <w:tcW w:type="dxa" w:w="2340"/>
            <w:tcMar>
              <w:top w:type="dxa" w:w="80"/>
              <w:left w:type="dxa" w:w="100"/>
              <w:bottom w:type="dxa" w:w="80"/>
              <w:right w:type="dxa" w:w="100"/>
            </w:tcMar>
            <w:vAlign w:val="center"/>
          </w:tcPr>
          <w:p>
            <w:r>
              <w:rPr>
                <w:b w:val="false"/>
                <w:bCs w:val="false"/>
                <w:sz w:val="19"/>
                <w:szCs w:val="19"/>
              </w:rPr>
              <w:t xml:space="preserve">Could have — roadmap, no bloqueante para esta entrega</w:t>
            </w:r>
          </w:p>
        </w:tc>
      </w:tr>
      <w:tr>
        <w:tc>
          <w:tcPr>
            <w:tcW w:type="dxa" w:w="2340"/>
            <w:tcMar>
              <w:top w:type="dxa" w:w="80"/>
              <w:left w:type="dxa" w:w="100"/>
              <w:bottom w:type="dxa" w:w="80"/>
              <w:right w:type="dxa" w:w="100"/>
            </w:tcMar>
            <w:vAlign w:val="center"/>
          </w:tcPr>
          <w:p>
            <w:r>
              <w:rPr>
                <w:b w:val="false"/>
                <w:bCs w:val="false"/>
                <w:sz w:val="19"/>
                <w:szCs w:val="19"/>
              </w:rPr>
              <w:t xml:space="preserve">13</w:t>
            </w:r>
          </w:p>
        </w:tc>
        <w:tc>
          <w:tcPr>
            <w:tcW w:type="dxa" w:w="2340"/>
            <w:tcMar>
              <w:top w:type="dxa" w:w="80"/>
              <w:left w:type="dxa" w:w="100"/>
              <w:bottom w:type="dxa" w:w="80"/>
              <w:right w:type="dxa" w:w="100"/>
            </w:tcMar>
            <w:vAlign w:val="center"/>
          </w:tcPr>
          <w:p>
            <w:r>
              <w:rPr>
                <w:b w:val="false"/>
                <w:bCs w:val="false"/>
                <w:sz w:val="19"/>
                <w:szCs w:val="19"/>
              </w:rPr>
              <w:t xml:space="preserve">Redundancia de hipervisor (clúster multi-nodo)</w:t>
            </w:r>
          </w:p>
        </w:tc>
        <w:tc>
          <w:tcPr>
            <w:tcW w:type="dxa" w:w="2340"/>
            <w:tcMar>
              <w:top w:type="dxa" w:w="80"/>
              <w:left w:type="dxa" w:w="100"/>
              <w:bottom w:type="dxa" w:w="80"/>
              <w:right w:type="dxa" w:w="100"/>
            </w:tcMar>
            <w:vAlign w:val="center"/>
          </w:tcPr>
          <w:p>
            <w:r>
              <w:rPr>
                <w:b w:val="false"/>
                <w:bCs w:val="false"/>
                <w:sz w:val="19"/>
                <w:szCs w:val="19"/>
              </w:rPr>
              <w:t xml:space="preserve">Proxmox en clúster de 3 nodos con Ceph</w:t>
            </w:r>
          </w:p>
        </w:tc>
        <w:tc>
          <w:tcPr>
            <w:tcW w:type="dxa" w:w="2340"/>
            <w:tcMar>
              <w:top w:type="dxa" w:w="80"/>
              <w:left w:type="dxa" w:w="100"/>
              <w:bottom w:type="dxa" w:w="80"/>
              <w:right w:type="dxa" w:w="100"/>
            </w:tcMar>
            <w:vAlign w:val="center"/>
          </w:tcPr>
          <w:p>
            <w:r>
              <w:rPr>
                <w:b w:val="false"/>
                <w:bCs w:val="false"/>
                <w:sz w:val="19"/>
                <w:szCs w:val="19"/>
              </w:rPr>
              <w:t xml:space="preserve">Won't have (en este proyecto) — documentado como evolución futura, fuera del alcance del laboratorio</w:t>
            </w:r>
          </w:p>
        </w:tc>
      </w:tr>
    </w:tbl>
    <w:p>
      <w:pPr>
        <w:spacing w:after="200"/>
      </w:pPr>
    </w:p>
    <w:p>
      <w:pPr>
        <w:spacing w:after="160"/>
        <w:jc w:val="both"/>
      </w:pPr>
      <w:r>
        <w:rPr>
          <w:sz w:val="21"/>
          <w:szCs w:val="21"/>
        </w:rPr>
        <w:t xml:space="preserve">La clasificación MoSCoW evita el error de tratar todas las necesidades como igualmente urgentes — permite justificar, por ejemplo, por qué el proyecto sí implementa VPN y correo propio (Must have) pero deja el clúster de Proxmox como roadmap (Won't have por ahora), sin que eso se lea como una omisión no analizada.</w:t>
      </w:r>
    </w:p>
    <w:p>
      <w:pPr>
        <w:pStyle w:val="Heading2"/>
        <w:spacing w:after="180" w:before="320"/>
      </w:pPr>
      <w:r>
        <w:t xml:space="preserve">1.5 Análisis de brecha (estado actual → estado deseado)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Dimensión</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Estado actual (según el enunciado)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Estado deseado (este proyecto)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Brecha que cierra el diseño</w:t>
            </w:r>
          </w:p>
        </w:tc>
      </w:tr>
      <w:tr>
        <w:tc>
          <w:tcPr>
            <w:tcW w:type="dxa" w:w="2340"/>
            <w:tcMar>
              <w:top w:type="dxa" w:w="80"/>
              <w:left w:type="dxa" w:w="100"/>
              <w:bottom w:type="dxa" w:w="80"/>
              <w:right w:type="dxa" w:w="100"/>
            </w:tcMar>
            <w:vAlign w:val="center"/>
          </w:tcPr>
          <w:p>
            <w:r>
              <w:rPr>
                <w:b w:val="false"/>
                <w:bCs w:val="false"/>
                <w:sz w:val="19"/>
                <w:szCs w:val="19"/>
              </w:rPr>
              <w:t xml:space="preserve">Red de datos</w:t>
            </w:r>
          </w:p>
        </w:tc>
        <w:tc>
          <w:tcPr>
            <w:tcW w:type="dxa" w:w="2340"/>
            <w:tcMar>
              <w:top w:type="dxa" w:w="80"/>
              <w:left w:type="dxa" w:w="100"/>
              <w:bottom w:type="dxa" w:w="80"/>
              <w:right w:type="dxa" w:w="100"/>
            </w:tcMar>
            <w:vAlign w:val="center"/>
          </w:tcPr>
          <w:p>
            <w:r>
              <w:rPr>
                <w:b w:val="false"/>
                <w:bCs w:val="false"/>
                <w:sz w:val="19"/>
                <w:szCs w:val="19"/>
              </w:rPr>
              <w:t xml:space="preserve">No descrita — se asume inexistente o informal</w:t>
            </w:r>
          </w:p>
        </w:tc>
        <w:tc>
          <w:tcPr>
            <w:tcW w:type="dxa" w:w="2340"/>
            <w:tcMar>
              <w:top w:type="dxa" w:w="80"/>
              <w:left w:type="dxa" w:w="100"/>
              <w:bottom w:type="dxa" w:w="80"/>
              <w:right w:type="dxa" w:w="100"/>
            </w:tcMar>
            <w:vAlign w:val="center"/>
          </w:tcPr>
          <w:p>
            <w:r>
              <w:rPr>
                <w:b w:val="false"/>
                <w:bCs w:val="false"/>
                <w:sz w:val="19"/>
                <w:szCs w:val="19"/>
              </w:rPr>
              <w:t xml:space="preserve">Red jerárquica segmentada por VLAN, 184 usuarios</w:t>
            </w:r>
          </w:p>
        </w:tc>
        <w:tc>
          <w:tcPr>
            <w:tcW w:type="dxa" w:w="2340"/>
            <w:tcMar>
              <w:top w:type="dxa" w:w="80"/>
              <w:left w:type="dxa" w:w="100"/>
              <w:bottom w:type="dxa" w:w="80"/>
              <w:right w:type="dxa" w:w="100"/>
            </w:tcMar>
            <w:vAlign w:val="center"/>
          </w:tcPr>
          <w:p>
            <w:r>
              <w:rPr>
                <w:b w:val="false"/>
                <w:bCs w:val="false"/>
                <w:sz w:val="19"/>
                <w:szCs w:val="19"/>
              </w:rPr>
              <w:t xml:space="preserve">Diseño lógico y físico completos (Puntos 3-4)</w:t>
            </w:r>
          </w:p>
        </w:tc>
      </w:tr>
      <w:tr>
        <w:tc>
          <w:tcPr>
            <w:tcW w:type="dxa" w:w="2340"/>
            <w:tcMar>
              <w:top w:type="dxa" w:w="80"/>
              <w:left w:type="dxa" w:w="100"/>
              <w:bottom w:type="dxa" w:w="80"/>
              <w:right w:type="dxa" w:w="100"/>
            </w:tcMar>
            <w:vAlign w:val="center"/>
          </w:tcPr>
          <w:p>
            <w:r>
              <w:rPr>
                <w:b w:val="false"/>
                <w:bCs w:val="false"/>
                <w:sz w:val="19"/>
                <w:szCs w:val="19"/>
              </w:rPr>
              <w:t xml:space="preserve">Telefonía</w:t>
            </w:r>
          </w:p>
        </w:tc>
        <w:tc>
          <w:tcPr>
            <w:tcW w:type="dxa" w:w="2340"/>
            <w:tcMar>
              <w:top w:type="dxa" w:w="80"/>
              <w:left w:type="dxa" w:w="100"/>
              <w:bottom w:type="dxa" w:w="80"/>
              <w:right w:type="dxa" w:w="100"/>
            </w:tcMar>
            <w:vAlign w:val="center"/>
          </w:tcPr>
          <w:p>
            <w:r>
              <w:rPr>
                <w:b w:val="false"/>
                <w:bCs w:val="false"/>
                <w:sz w:val="19"/>
                <w:szCs w:val="19"/>
              </w:rPr>
              <w:t xml:space="preserve">Líneas telefónicas tradicionales (costo alto, mencionado explícitamente)</w:t>
            </w:r>
          </w:p>
        </w:tc>
        <w:tc>
          <w:tcPr>
            <w:tcW w:type="dxa" w:w="2340"/>
            <w:tcMar>
              <w:top w:type="dxa" w:w="80"/>
              <w:left w:type="dxa" w:w="100"/>
              <w:bottom w:type="dxa" w:w="80"/>
              <w:right w:type="dxa" w:w="100"/>
            </w:tcMar>
            <w:vAlign w:val="center"/>
          </w:tcPr>
          <w:p>
            <w:r>
              <w:rPr>
                <w:b w:val="false"/>
                <w:bCs w:val="false"/>
                <w:sz w:val="19"/>
                <w:szCs w:val="19"/>
              </w:rPr>
              <w:t xml:space="preserve">VoIP interno sobre la misma red de datos</w:t>
            </w:r>
          </w:p>
        </w:tc>
        <w:tc>
          <w:tcPr>
            <w:tcW w:type="dxa" w:w="2340"/>
            <w:tcMar>
              <w:top w:type="dxa" w:w="80"/>
              <w:left w:type="dxa" w:w="100"/>
              <w:bottom w:type="dxa" w:w="80"/>
              <w:right w:type="dxa" w:w="100"/>
            </w:tcMar>
            <w:vAlign w:val="center"/>
          </w:tcPr>
          <w:p>
            <w:r>
              <w:rPr>
                <w:b w:val="false"/>
                <w:bCs w:val="false"/>
                <w:sz w:val="19"/>
                <w:szCs w:val="19"/>
              </w:rPr>
              <w:t xml:space="preserve">VLAN 60 dedicada, ver 03-Diseno-Logico.md</w:t>
            </w:r>
          </w:p>
        </w:tc>
      </w:tr>
      <w:tr>
        <w:tc>
          <w:tcPr>
            <w:tcW w:type="dxa" w:w="2340"/>
            <w:tcMar>
              <w:top w:type="dxa" w:w="80"/>
              <w:left w:type="dxa" w:w="100"/>
              <w:bottom w:type="dxa" w:w="80"/>
              <w:right w:type="dxa" w:w="100"/>
            </w:tcMar>
            <w:vAlign w:val="center"/>
          </w:tcPr>
          <w:p>
            <w:r>
              <w:rPr>
                <w:b w:val="false"/>
                <w:bCs w:val="false"/>
                <w:sz w:val="19"/>
                <w:szCs w:val="19"/>
              </w:rPr>
              <w:t xml:space="preserve">Correo</w:t>
            </w:r>
          </w:p>
        </w:tc>
        <w:tc>
          <w:tcPr>
            <w:tcW w:type="dxa" w:w="2340"/>
            <w:tcMar>
              <w:top w:type="dxa" w:w="80"/>
              <w:left w:type="dxa" w:w="100"/>
              <w:bottom w:type="dxa" w:w="80"/>
              <w:right w:type="dxa" w:w="100"/>
            </w:tcMar>
            <w:vAlign w:val="center"/>
          </w:tcPr>
          <w:p>
            <w:r>
              <w:rPr>
                <w:b w:val="false"/>
                <w:bCs w:val="false"/>
                <w:sz w:val="19"/>
                <w:szCs w:val="19"/>
              </w:rPr>
              <w:t xml:space="preserve">No descrito</w:t>
            </w:r>
          </w:p>
        </w:tc>
        <w:tc>
          <w:tcPr>
            <w:tcW w:type="dxa" w:w="2340"/>
            <w:tcMar>
              <w:top w:type="dxa" w:w="80"/>
              <w:left w:type="dxa" w:w="100"/>
              <w:bottom w:type="dxa" w:w="80"/>
              <w:right w:type="dxa" w:w="100"/>
            </w:tcMar>
            <w:vAlign w:val="center"/>
          </w:tcPr>
          <w:p>
            <w:r>
              <w:rPr>
                <w:b w:val="false"/>
                <w:bCs w:val="false"/>
                <w:sz w:val="19"/>
                <w:szCs w:val="19"/>
              </w:rPr>
              <w:t xml:space="preserve">Servidor propio, on-premise, anti-spam</w:t>
            </w:r>
          </w:p>
        </w:tc>
        <w:tc>
          <w:tcPr>
            <w:tcW w:type="dxa" w:w="2340"/>
            <w:tcMar>
              <w:top w:type="dxa" w:w="80"/>
              <w:left w:type="dxa" w:w="100"/>
              <w:bottom w:type="dxa" w:w="80"/>
              <w:right w:type="dxa" w:w="100"/>
            </w:tcMar>
            <w:vAlign w:val="center"/>
          </w:tcPr>
          <w:p>
            <w:r>
              <w:rPr>
                <w:b w:val="false"/>
                <w:bCs w:val="false"/>
                <w:sz w:val="19"/>
                <w:szCs w:val="19"/>
              </w:rPr>
              <w:t xml:space="preserve">Fase 2 completa</w:t>
            </w:r>
          </w:p>
        </w:tc>
      </w:tr>
      <w:tr>
        <w:tc>
          <w:tcPr>
            <w:tcW w:type="dxa" w:w="2340"/>
            <w:tcMar>
              <w:top w:type="dxa" w:w="80"/>
              <w:left w:type="dxa" w:w="100"/>
              <w:bottom w:type="dxa" w:w="80"/>
              <w:right w:type="dxa" w:w="100"/>
            </w:tcMar>
            <w:vAlign w:val="center"/>
          </w:tcPr>
          <w:p>
            <w:r>
              <w:rPr>
                <w:b w:val="false"/>
                <w:bCs w:val="false"/>
                <w:sz w:val="19"/>
                <w:szCs w:val="19"/>
              </w:rPr>
              <w:t xml:space="preserve">Continuidad de Internet</w:t>
            </w:r>
          </w:p>
        </w:tc>
        <w:tc>
          <w:tcPr>
            <w:tcW w:type="dxa" w:w="2340"/>
            <w:tcMar>
              <w:top w:type="dxa" w:w="80"/>
              <w:left w:type="dxa" w:w="100"/>
              <w:bottom w:type="dxa" w:w="80"/>
              <w:right w:type="dxa" w:w="100"/>
            </w:tcMar>
            <w:vAlign w:val="center"/>
          </w:tcPr>
          <w:p>
            <w:r>
              <w:rPr>
                <w:b w:val="false"/>
                <w:bCs w:val="false"/>
                <w:sz w:val="19"/>
                <w:szCs w:val="19"/>
              </w:rPr>
              <w:t xml:space="preserve">2 enlaces sin indicación de failover</w:t>
            </w:r>
          </w:p>
        </w:tc>
        <w:tc>
          <w:tcPr>
            <w:tcW w:type="dxa" w:w="2340"/>
            <w:tcMar>
              <w:top w:type="dxa" w:w="80"/>
              <w:left w:type="dxa" w:w="100"/>
              <w:bottom w:type="dxa" w:w="80"/>
              <w:right w:type="dxa" w:w="100"/>
            </w:tcMar>
            <w:vAlign w:val="center"/>
          </w:tcPr>
          <w:p>
            <w:r>
              <w:rPr>
                <w:b w:val="false"/>
                <w:bCs w:val="false"/>
                <w:sz w:val="19"/>
                <w:szCs w:val="19"/>
              </w:rPr>
              <w:t xml:space="preserve">Failover automático entre ISP</w:t>
            </w:r>
          </w:p>
        </w:tc>
        <w:tc>
          <w:tcPr>
            <w:tcW w:type="dxa" w:w="2340"/>
            <w:tcMar>
              <w:top w:type="dxa" w:w="80"/>
              <w:left w:type="dxa" w:w="100"/>
              <w:bottom w:type="dxa" w:w="80"/>
              <w:right w:type="dxa" w:w="100"/>
            </w:tcMar>
            <w:vAlign w:val="center"/>
          </w:tcPr>
          <w:p>
            <w:r>
              <w:rPr>
                <w:b w:val="false"/>
                <w:bCs w:val="false"/>
                <w:sz w:val="19"/>
                <w:szCs w:val="19"/>
              </w:rPr>
              <w:t xml:space="preserve">R1 con recursive routing/PCC, ver Fase 3</w:t>
            </w:r>
          </w:p>
        </w:tc>
      </w:tr>
      <w:tr>
        <w:tc>
          <w:tcPr>
            <w:tcW w:type="dxa" w:w="2340"/>
            <w:tcMar>
              <w:top w:type="dxa" w:w="80"/>
              <w:left w:type="dxa" w:w="100"/>
              <w:bottom w:type="dxa" w:w="80"/>
              <w:right w:type="dxa" w:w="100"/>
            </w:tcMar>
            <w:vAlign w:val="center"/>
          </w:tcPr>
          <w:p>
            <w:r>
              <w:rPr>
                <w:b w:val="false"/>
                <w:bCs w:val="false"/>
                <w:sz w:val="19"/>
                <w:szCs w:val="19"/>
              </w:rPr>
              <w:t xml:space="preserve">Disponibilidad de sistemas críticos</w:t>
            </w:r>
          </w:p>
        </w:tc>
        <w:tc>
          <w:tcPr>
            <w:tcW w:type="dxa" w:w="2340"/>
            <w:tcMar>
              <w:top w:type="dxa" w:w="80"/>
              <w:left w:type="dxa" w:w="100"/>
              <w:bottom w:type="dxa" w:w="80"/>
              <w:right w:type="dxa" w:w="100"/>
            </w:tcMar>
            <w:vAlign w:val="center"/>
          </w:tcPr>
          <w:p>
            <w:r>
              <w:rPr>
                <w:b w:val="false"/>
                <w:bCs w:val="false"/>
                <w:sz w:val="19"/>
                <w:szCs w:val="19"/>
              </w:rPr>
              <w:t xml:space="preserve">No descrita</w:t>
            </w:r>
          </w:p>
        </w:tc>
        <w:tc>
          <w:tcPr>
            <w:tcW w:type="dxa" w:w="2340"/>
            <w:tcMar>
              <w:top w:type="dxa" w:w="80"/>
              <w:left w:type="dxa" w:w="100"/>
              <w:bottom w:type="dxa" w:w="80"/>
              <w:right w:type="dxa" w:w="100"/>
            </w:tcMar>
            <w:vAlign w:val="center"/>
          </w:tcPr>
          <w:p>
            <w:r>
              <w:rPr>
                <w:b w:val="false"/>
                <w:bCs w:val="false"/>
                <w:sz w:val="19"/>
                <w:szCs w:val="19"/>
              </w:rPr>
              <w:t xml:space="preserve">Data Center Tier 4</w:t>
            </w:r>
          </w:p>
        </w:tc>
        <w:tc>
          <w:tcPr>
            <w:tcW w:type="dxa" w:w="2340"/>
            <w:tcMar>
              <w:top w:type="dxa" w:w="80"/>
              <w:left w:type="dxa" w:w="100"/>
              <w:bottom w:type="dxa" w:w="80"/>
              <w:right w:type="dxa" w:w="100"/>
            </w:tcMar>
            <w:vAlign w:val="center"/>
          </w:tcPr>
          <w:p>
            <w:r>
              <w:rPr>
                <w:b w:val="false"/>
                <w:bCs w:val="false"/>
                <w:sz w:val="19"/>
                <w:szCs w:val="19"/>
              </w:rPr>
              <w:t xml:space="preserve">Punto 6 de esta fase</w:t>
            </w:r>
          </w:p>
        </w:tc>
      </w:tr>
      <w:tr>
        <w:tc>
          <w:tcPr>
            <w:tcW w:type="dxa" w:w="2340"/>
            <w:tcMar>
              <w:top w:type="dxa" w:w="80"/>
              <w:left w:type="dxa" w:w="100"/>
              <w:bottom w:type="dxa" w:w="80"/>
              <w:right w:type="dxa" w:w="100"/>
            </w:tcMar>
            <w:vAlign w:val="center"/>
          </w:tcPr>
          <w:p>
            <w:r>
              <w:rPr>
                <w:b w:val="false"/>
                <w:bCs w:val="false"/>
                <w:sz w:val="19"/>
                <w:szCs w:val="19"/>
              </w:rPr>
              <w:t xml:space="preserve">Trabajo remoto</w:t>
            </w:r>
          </w:p>
        </w:tc>
        <w:tc>
          <w:tcPr>
            <w:tcW w:type="dxa" w:w="2340"/>
            <w:tcMar>
              <w:top w:type="dxa" w:w="80"/>
              <w:left w:type="dxa" w:w="100"/>
              <w:bottom w:type="dxa" w:w="80"/>
              <w:right w:type="dxa" w:w="100"/>
            </w:tcMar>
            <w:vAlign w:val="center"/>
          </w:tcPr>
          <w:p>
            <w:r>
              <w:rPr>
                <w:b w:val="false"/>
                <w:bCs w:val="false"/>
                <w:sz w:val="19"/>
                <w:szCs w:val="19"/>
              </w:rPr>
              <w:t xml:space="preserve">No descrito</w:t>
            </w:r>
          </w:p>
        </w:tc>
        <w:tc>
          <w:tcPr>
            <w:tcW w:type="dxa" w:w="2340"/>
            <w:tcMar>
              <w:top w:type="dxa" w:w="80"/>
              <w:left w:type="dxa" w:w="100"/>
              <w:bottom w:type="dxa" w:w="80"/>
              <w:right w:type="dxa" w:w="100"/>
            </w:tcMar>
            <w:vAlign w:val="center"/>
          </w:tcPr>
          <w:p>
            <w:r>
              <w:rPr>
                <w:b w:val="false"/>
                <w:bCs w:val="false"/>
                <w:sz w:val="19"/>
                <w:szCs w:val="19"/>
              </w:rPr>
              <w:t xml:space="preserve">VPN + intranet</w:t>
            </w:r>
          </w:p>
        </w:tc>
        <w:tc>
          <w:tcPr>
            <w:tcW w:type="dxa" w:w="2340"/>
            <w:tcMar>
              <w:top w:type="dxa" w:w="80"/>
              <w:left w:type="dxa" w:w="100"/>
              <w:bottom w:type="dxa" w:w="80"/>
              <w:right w:type="dxa" w:w="100"/>
            </w:tcMar>
            <w:vAlign w:val="center"/>
          </w:tcPr>
          <w:p>
            <w:r>
              <w:rPr>
                <w:b w:val="false"/>
                <w:bCs w:val="false"/>
                <w:sz w:val="19"/>
                <w:szCs w:val="19"/>
              </w:rPr>
              <w:t xml:space="preserve">Fase 3</w:t>
            </w:r>
          </w:p>
        </w:tc>
      </w:tr>
      <w:tr>
        <w:tc>
          <w:tcPr>
            <w:tcW w:type="dxa" w:w="2340"/>
            <w:tcMar>
              <w:top w:type="dxa" w:w="80"/>
              <w:left w:type="dxa" w:w="100"/>
              <w:bottom w:type="dxa" w:w="80"/>
              <w:right w:type="dxa" w:w="100"/>
            </w:tcMar>
            <w:vAlign w:val="center"/>
          </w:tcPr>
          <w:p>
            <w:r>
              <w:rPr>
                <w:b w:val="false"/>
                <w:bCs w:val="false"/>
                <w:sz w:val="19"/>
                <w:szCs w:val="19"/>
              </w:rPr>
              <w:t xml:space="preserve">Seguridad</w:t>
            </w:r>
          </w:p>
        </w:tc>
        <w:tc>
          <w:tcPr>
            <w:tcW w:type="dxa" w:w="2340"/>
            <w:tcMar>
              <w:top w:type="dxa" w:w="80"/>
              <w:left w:type="dxa" w:w="100"/>
              <w:bottom w:type="dxa" w:w="80"/>
              <w:right w:type="dxa" w:w="100"/>
            </w:tcMar>
            <w:vAlign w:val="center"/>
          </w:tcPr>
          <w:p>
            <w:r>
              <w:rPr>
                <w:b w:val="false"/>
                <w:bCs w:val="false"/>
                <w:sz w:val="19"/>
                <w:szCs w:val="19"/>
              </w:rPr>
              <w:t xml:space="preserve">No descrita</w:t>
            </w:r>
          </w:p>
        </w:tc>
        <w:tc>
          <w:tcPr>
            <w:tcW w:type="dxa" w:w="2340"/>
            <w:tcMar>
              <w:top w:type="dxa" w:w="80"/>
              <w:left w:type="dxa" w:w="100"/>
              <w:bottom w:type="dxa" w:w="80"/>
              <w:right w:type="dxa" w:w="100"/>
            </w:tcMar>
            <w:vAlign w:val="center"/>
          </w:tcPr>
          <w:p>
            <w:r>
              <w:rPr>
                <w:b w:val="false"/>
                <w:bCs w:val="false"/>
                <w:sz w:val="19"/>
                <w:szCs w:val="19"/>
              </w:rPr>
              <w:t xml:space="preserve">Política formal de 15 controles lógicos + 7 físicos</w:t>
            </w:r>
          </w:p>
        </w:tc>
        <w:tc>
          <w:tcPr>
            <w:tcW w:type="dxa" w:w="2340"/>
            <w:tcMar>
              <w:top w:type="dxa" w:w="80"/>
              <w:left w:type="dxa" w:w="100"/>
              <w:bottom w:type="dxa" w:w="80"/>
              <w:right w:type="dxa" w:w="100"/>
            </w:tcMar>
            <w:vAlign w:val="center"/>
          </w:tcPr>
          <w:p>
            <w:r>
              <w:rPr>
                <w:b w:val="false"/>
                <w:bCs w:val="false"/>
                <w:sz w:val="19"/>
                <w:szCs w:val="19"/>
              </w:rPr>
              <w:t xml:space="preserve">Punto 5 de esta fase</w:t>
            </w:r>
          </w:p>
        </w:tc>
      </w:tr>
    </w:tbl>
    <w:p>
      <w:pPr>
        <w:spacing w:after="200"/>
      </w:pPr>
    </w:p>
    <w:p>
      <w:pPr>
        <w:pStyle w:val="Heading2"/>
        <w:spacing w:after="180" w:before="320"/>
      </w:pPr>
      <w:r>
        <w:t xml:space="preserve">1.6 Riesgos de no atender estas necesidades</w:t>
      </w:r>
    </w:p>
    <w:p>
      <w:pPr>
        <w:spacing w:after="160"/>
        <w:jc w:val="both"/>
      </w:pPr>
      <w:r>
        <w:rPr>
          <w:sz w:val="21"/>
          <w:szCs w:val="21"/>
        </w:rPr>
        <w:t xml:space="preserve">Justificación de por qué estas necesidades son "Must have" y no opcionales — qué pasa si no se atienden:</w:t>
      </w:r>
    </w:p>
    <w:p>
      <w:pPr>
        <w:pStyle w:val="ListParagraph"/>
        <w:numPr>
          <w:ilvl w:val="0"/>
          <w:numId w:val="2"/>
        </w:numPr>
        <w:spacing w:after="80"/>
      </w:pPr>
      <w:r>
        <w:rPr>
          <w:b/>
          <w:bCs/>
          <w:sz w:val="21"/>
          <w:szCs w:val="21"/>
        </w:rPr>
        <w:t xml:space="preserve">Sin segmentación VLAN</w:t>
      </w:r>
      <w:r>
        <w:rPr>
          <w:sz w:val="21"/>
          <w:szCs w:val="21"/>
        </w:rPr>
        <w:t xml:space="preserve">: un incidente de seguridad en cualquier equipo (ej. Desarrollo) tiene acceso potencial irrestricto a Administración/Finanzas — riesgo directo sobre el "manejo de recursos monetarios" que el cliente señaló como crítico.</w:t>
      </w:r>
    </w:p>
    <w:p>
      <w:pPr>
        <w:pStyle w:val="ListParagraph"/>
        <w:numPr>
          <w:ilvl w:val="0"/>
          <w:numId w:val="2"/>
        </w:numPr>
        <w:spacing w:after="80"/>
      </w:pPr>
      <w:r>
        <w:rPr>
          <w:b/>
          <w:bCs/>
          <w:sz w:val="21"/>
          <w:szCs w:val="21"/>
        </w:rPr>
        <w:t xml:space="preserve">Sin redundancia de Internet</w:t>
      </w:r>
      <w:r>
        <w:rPr>
          <w:sz w:val="21"/>
          <w:szCs w:val="21"/>
        </w:rPr>
        <w:t xml:space="preserve">: la caída de un solo proveedor detiene VoIP, correo saliente, VPN y acceso de clientes — para una empresa que depende de conectividad con clientes externos (Ventas), esto es interrupción de negocio, no solo un inconveniente técnico.</w:t>
      </w:r>
    </w:p>
    <w:p>
      <w:pPr>
        <w:pStyle w:val="ListParagraph"/>
        <w:numPr>
          <w:ilvl w:val="0"/>
          <w:numId w:val="2"/>
        </w:numPr>
        <w:spacing w:after="80"/>
      </w:pPr>
      <w:r>
        <w:rPr>
          <w:b/>
          <w:bCs/>
          <w:sz w:val="21"/>
          <w:szCs w:val="21"/>
        </w:rPr>
        <w:t xml:space="preserve">Sin Data Center Tier 4</w:t>
      </w:r>
      <w:r>
        <w:rPr>
          <w:sz w:val="21"/>
          <w:szCs w:val="21"/>
        </w:rPr>
        <w:t xml:space="preserve">: cualquier falla de energía o enfriamiento no planificada puede tumbar los sistemas financieros — inaceptable dado el perfil de negocio declarado.</w:t>
      </w:r>
    </w:p>
    <w:p>
      <w:pPr>
        <w:pStyle w:val="ListParagraph"/>
        <w:numPr>
          <w:ilvl w:val="0"/>
          <w:numId w:val="2"/>
        </w:numPr>
        <w:spacing w:after="80"/>
      </w:pPr>
      <w:r>
        <w:rPr>
          <w:b/>
          <w:bCs/>
          <w:sz w:val="21"/>
          <w:szCs w:val="21"/>
        </w:rPr>
        <w:t xml:space="preserve">Sin VPN formal</w:t>
      </w:r>
      <w:r>
        <w:rPr>
          <w:sz w:val="21"/>
          <w:szCs w:val="21"/>
        </w:rPr>
        <w:t xml:space="preserve">: los empleados remotos improvisarían accesos inseguros (RDP expuesto a Internet, uso de herramientas de terceros no controladas) — mayor riesgo que el que se busca mitigar.</w:t>
      </w:r>
    </w:p>
    <w:p>
      <w:pPr>
        <w:pStyle w:val="ListParagraph"/>
        <w:numPr>
          <w:ilvl w:val="0"/>
          <w:numId w:val="2"/>
        </w:numPr>
        <w:spacing w:after="80"/>
      </w:pPr>
      <w:r>
        <w:rPr>
          <w:b/>
          <w:bCs/>
          <w:sz w:val="21"/>
          <w:szCs w:val="21"/>
        </w:rPr>
        <w:t xml:space="preserve">Sin automatización</w:t>
      </w:r>
      <w:r>
        <w:rPr>
          <w:sz w:val="21"/>
          <w:szCs w:val="21"/>
        </w:rPr>
        <w:t xml:space="preserve">: la configuración manual repetida a mano en 4+ dispositivos de red es la fuente más común de errores de configuración en redes empresariales reales (inconsistencia entre reglas de firewall, VLANs mal aplicadas) — de ahí que, aunque es "Should have" y no "Must have", se implementó desde el día uno del proyecto (ver 06-Automatizacion-con-IA.md).</w:t>
      </w:r>
    </w:p>
    <w:p>
      <w:pPr>
        <w:pStyle w:val="Heading1"/>
        <w:spacing w:after="180" w:before="480"/>
      </w:pPr>
      <w:r>
        <w:t xml:space="preserve">Punto 2 — Análisis de Requerimientos, Costos, Tráfico de Red y Cultura Organizacional</w:t>
      </w:r>
    </w:p>
    <w:p>
      <w:pPr>
        <w:pStyle w:val="Heading2"/>
        <w:spacing w:after="180" w:before="320"/>
      </w:pPr>
      <w:r>
        <w:t xml:space="preserve">1. Requerimientos funcionales y no funcionales</w:t>
      </w:r>
    </w:p>
    <w:p>
      <w:pPr>
        <w:spacing w:after="160"/>
        <w:jc w:val="both"/>
      </w:pPr>
      <w:r>
        <w:rPr>
          <w:sz w:val="21"/>
          <w:szCs w:val="21"/>
        </w:rPr>
        <w:t xml:space="preserve">Separar estas dos categorías es una práctica estándar de ingeniería de requerimientos que evita mezclar "qué debe hacer el sistema" con "qué tan bien debe hacerlo" — ambas son necesarias para poder validar el diseño al final.</w:t>
      </w:r>
    </w:p>
    <w:p>
      <w:pPr>
        <w:pStyle w:val="Heading3"/>
        <w:spacing w:after="180" w:before="320"/>
      </w:pPr>
      <w:r>
        <w:t xml:space="preserve">1.1 Requerimientos funcionales (qué debe hacer la red)</w:t>
      </w:r>
    </w:p>
    <w:p>
      <w:pPr>
        <w:pStyle w:val="ListParagraph"/>
        <w:numPr>
          <w:ilvl w:val="0"/>
          <w:numId w:val="2"/>
        </w:numPr>
        <w:spacing w:after="80"/>
      </w:pPr>
      <w:r>
        <w:rPr>
          <w:sz w:val="21"/>
          <w:szCs w:val="21"/>
        </w:rPr>
        <w:t xml:space="preserve">Debe enrutar tráfico entre todas las VLANs de la organización.</w:t>
      </w:r>
    </w:p>
    <w:p>
      <w:pPr>
        <w:pStyle w:val="ListParagraph"/>
        <w:numPr>
          <w:ilvl w:val="0"/>
          <w:numId w:val="2"/>
        </w:numPr>
        <w:spacing w:after="80"/>
      </w:pPr>
      <w:r>
        <w:rPr>
          <w:sz w:val="21"/>
          <w:szCs w:val="21"/>
        </w:rPr>
        <w:t xml:space="preserve">Debe proveer salida redundante a Internet.</w:t>
      </w:r>
    </w:p>
    <w:p>
      <w:pPr>
        <w:pStyle w:val="ListParagraph"/>
        <w:numPr>
          <w:ilvl w:val="0"/>
          <w:numId w:val="2"/>
        </w:numPr>
        <w:spacing w:after="80"/>
      </w:pPr>
      <w:r>
        <w:rPr>
          <w:sz w:val="21"/>
          <w:szCs w:val="21"/>
        </w:rPr>
        <w:t xml:space="preserve">Debe proveer VoIP interno.</w:t>
      </w:r>
    </w:p>
    <w:p>
      <w:pPr>
        <w:pStyle w:val="ListParagraph"/>
        <w:numPr>
          <w:ilvl w:val="0"/>
          <w:numId w:val="2"/>
        </w:numPr>
        <w:spacing w:after="80"/>
      </w:pPr>
      <w:r>
        <w:rPr>
          <w:sz w:val="21"/>
          <w:szCs w:val="21"/>
        </w:rPr>
        <w:t xml:space="preserve">Debe permitir acceso remoto seguro (VPN).</w:t>
      </w:r>
    </w:p>
    <w:p>
      <w:pPr>
        <w:pStyle w:val="ListParagraph"/>
        <w:numPr>
          <w:ilvl w:val="0"/>
          <w:numId w:val="2"/>
        </w:numPr>
        <w:spacing w:after="80"/>
      </w:pPr>
      <w:r>
        <w:rPr>
          <w:sz w:val="21"/>
          <w:szCs w:val="21"/>
        </w:rPr>
        <w:t xml:space="preserve">Debe alojar correo electrónico propio con anti-spam.</w:t>
      </w:r>
    </w:p>
    <w:p>
      <w:pPr>
        <w:pStyle w:val="ListParagraph"/>
        <w:numPr>
          <w:ilvl w:val="0"/>
          <w:numId w:val="2"/>
        </w:numPr>
        <w:spacing w:after="80"/>
      </w:pPr>
      <w:r>
        <w:rPr>
          <w:sz w:val="21"/>
          <w:szCs w:val="21"/>
        </w:rPr>
        <w:t xml:space="preserve">Debe exponer un sitio/aplicación web públicamente sin comprometer la red interna (DMZ).</w:t>
      </w:r>
    </w:p>
    <w:p>
      <w:pPr>
        <w:pStyle w:val="ListParagraph"/>
        <w:numPr>
          <w:ilvl w:val="0"/>
          <w:numId w:val="2"/>
        </w:numPr>
        <w:spacing w:after="80"/>
      </w:pPr>
      <w:r>
        <w:rPr>
          <w:sz w:val="21"/>
          <w:szCs w:val="21"/>
        </w:rPr>
        <w:t xml:space="preserve">Debe asignar direccionamiento IP automáticamente (DHCP) a todos los segmentos.</w:t>
      </w:r>
    </w:p>
    <w:p>
      <w:pPr>
        <w:pStyle w:val="ListParagraph"/>
        <w:numPr>
          <w:ilvl w:val="0"/>
          <w:numId w:val="2"/>
        </w:numPr>
        <w:spacing w:after="80"/>
      </w:pPr>
      <w:r>
        <w:rPr>
          <w:sz w:val="21"/>
          <w:szCs w:val="21"/>
        </w:rPr>
        <w:t xml:space="preserve">Debe registrar y monitorear el estado de los servicios críticos.</w:t>
      </w:r>
    </w:p>
    <w:p>
      <w:pPr>
        <w:pStyle w:val="Heading3"/>
        <w:spacing w:after="180" w:before="320"/>
      </w:pPr>
      <w:r>
        <w:t xml:space="preserve">1.2 Requerimientos no funcionales (qué tan bien debe hacerlo — SLA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Atributo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Objetivo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Cómo se mide/verifica</w:t>
            </w:r>
          </w:p>
        </w:tc>
      </w:tr>
      <w:tr>
        <w:tc>
          <w:tcPr>
            <w:tcW w:type="dxa" w:w="3120"/>
            <w:tcMar>
              <w:top w:type="dxa" w:w="80"/>
              <w:left w:type="dxa" w:w="100"/>
              <w:bottom w:type="dxa" w:w="80"/>
              <w:right w:type="dxa" w:w="100"/>
            </w:tcMar>
            <w:vAlign w:val="center"/>
          </w:tcPr>
          <w:p>
            <w:r>
              <w:rPr>
                <w:b w:val="false"/>
                <w:bCs w:val="false"/>
                <w:sz w:val="19"/>
                <w:szCs w:val="19"/>
              </w:rPr>
              <w:t xml:space="preserve">Disponibilidad del Core de red</w:t>
            </w:r>
          </w:p>
        </w:tc>
        <w:tc>
          <w:tcPr>
            <w:tcW w:type="dxa" w:w="3120"/>
            <w:tcMar>
              <w:top w:type="dxa" w:w="80"/>
              <w:left w:type="dxa" w:w="100"/>
              <w:bottom w:type="dxa" w:w="80"/>
              <w:right w:type="dxa" w:w="100"/>
            </w:tcMar>
            <w:vAlign w:val="center"/>
          </w:tcPr>
          <w:p>
            <w:r>
              <w:rPr>
                <w:b w:val="false"/>
                <w:bCs w:val="false"/>
                <w:sz w:val="19"/>
                <w:szCs w:val="19"/>
              </w:rPr>
              <w:t xml:space="preserve">99.9% (≈ 8.76 h/año de inactividad tolerable)</w:t>
            </w:r>
          </w:p>
        </w:tc>
        <w:tc>
          <w:tcPr>
            <w:tcW w:type="dxa" w:w="3120"/>
            <w:tcMar>
              <w:top w:type="dxa" w:w="80"/>
              <w:left w:type="dxa" w:w="100"/>
              <w:bottom w:type="dxa" w:w="80"/>
              <w:right w:type="dxa" w:w="100"/>
            </w:tcMar>
            <w:vAlign w:val="center"/>
          </w:tcPr>
          <w:p>
            <w:r>
              <w:rPr>
                <w:b w:val="false"/>
                <w:bCs w:val="false"/>
                <w:sz w:val="19"/>
                <w:szCs w:val="19"/>
              </w:rPr>
              <w:t xml:space="preserve">Monitoreo Zabbix, uptime de R1</w:t>
            </w:r>
          </w:p>
        </w:tc>
      </w:tr>
      <w:tr>
        <w:tc>
          <w:tcPr>
            <w:tcW w:type="dxa" w:w="3120"/>
            <w:tcMar>
              <w:top w:type="dxa" w:w="80"/>
              <w:left w:type="dxa" w:w="100"/>
              <w:bottom w:type="dxa" w:w="80"/>
              <w:right w:type="dxa" w:w="100"/>
            </w:tcMar>
            <w:vAlign w:val="center"/>
          </w:tcPr>
          <w:p>
            <w:r>
              <w:rPr>
                <w:b w:val="false"/>
                <w:bCs w:val="false"/>
                <w:sz w:val="19"/>
                <w:szCs w:val="19"/>
              </w:rPr>
              <w:t xml:space="preserve">Disponibilidad del Data Center (infraestructura)</w:t>
            </w:r>
          </w:p>
        </w:tc>
        <w:tc>
          <w:tcPr>
            <w:tcW w:type="dxa" w:w="3120"/>
            <w:tcMar>
              <w:top w:type="dxa" w:w="80"/>
              <w:left w:type="dxa" w:w="100"/>
              <w:bottom w:type="dxa" w:w="80"/>
              <w:right w:type="dxa" w:w="100"/>
            </w:tcMar>
            <w:vAlign w:val="center"/>
          </w:tcPr>
          <w:p>
            <w:r>
              <w:rPr>
                <w:b w:val="false"/>
                <w:bCs w:val="false"/>
                <w:sz w:val="19"/>
                <w:szCs w:val="19"/>
              </w:rPr>
              <w:t xml:space="preserve">99.995% (Tier 4, ≈ 26.3 min/año)</w:t>
            </w:r>
          </w:p>
        </w:tc>
        <w:tc>
          <w:tcPr>
            <w:tcW w:type="dxa" w:w="3120"/>
            <w:tcMar>
              <w:top w:type="dxa" w:w="80"/>
              <w:left w:type="dxa" w:w="100"/>
              <w:bottom w:type="dxa" w:w="80"/>
              <w:right w:type="dxa" w:w="100"/>
            </w:tcMar>
            <w:vAlign w:val="center"/>
          </w:tcPr>
          <w:p>
            <w:r>
              <w:rPr>
                <w:b w:val="false"/>
                <w:bCs w:val="false"/>
                <w:sz w:val="19"/>
                <w:szCs w:val="19"/>
              </w:rPr>
              <w:t xml:space="preserve">Ver 06-Data-Center-Tier4.md</w:t>
            </w:r>
          </w:p>
        </w:tc>
      </w:tr>
      <w:tr>
        <w:tc>
          <w:tcPr>
            <w:tcW w:type="dxa" w:w="3120"/>
            <w:tcMar>
              <w:top w:type="dxa" w:w="80"/>
              <w:left w:type="dxa" w:w="100"/>
              <w:bottom w:type="dxa" w:w="80"/>
              <w:right w:type="dxa" w:w="100"/>
            </w:tcMar>
            <w:vAlign w:val="center"/>
          </w:tcPr>
          <w:p>
            <w:r>
              <w:rPr>
                <w:b w:val="false"/>
                <w:bCs w:val="false"/>
                <w:sz w:val="19"/>
                <w:szCs w:val="19"/>
              </w:rPr>
              <w:t xml:space="preserve">Latencia interna (LAN)</w:t>
            </w:r>
          </w:p>
        </w:tc>
        <w:tc>
          <w:tcPr>
            <w:tcW w:type="dxa" w:w="3120"/>
            <w:tcMar>
              <w:top w:type="dxa" w:w="80"/>
              <w:left w:type="dxa" w:w="100"/>
              <w:bottom w:type="dxa" w:w="80"/>
              <w:right w:type="dxa" w:w="100"/>
            </w:tcMar>
            <w:vAlign w:val="center"/>
          </w:tcPr>
          <w:p>
            <w:r>
              <w:rPr>
                <w:b w:val="false"/>
                <w:bCs w:val="false"/>
                <w:sz w:val="19"/>
                <w:szCs w:val="19"/>
              </w:rPr>
              <w:t xml:space="preserve">&lt; 5 ms entre cualquier VLAN y el Core</w:t>
            </w:r>
          </w:p>
        </w:tc>
        <w:tc>
          <w:tcPr>
            <w:tcW w:type="dxa" w:w="3120"/>
            <w:tcMar>
              <w:top w:type="dxa" w:w="80"/>
              <w:left w:type="dxa" w:w="100"/>
              <w:bottom w:type="dxa" w:w="80"/>
              <w:right w:type="dxa" w:w="100"/>
            </w:tcMar>
            <w:vAlign w:val="center"/>
          </w:tcPr>
          <w:p>
            <w:r>
              <w:rPr>
                <w:b w:val="false"/>
                <w:bCs w:val="false"/>
                <w:sz w:val="19"/>
                <w:szCs w:val="19"/>
              </w:rPr>
              <w:t xml:space="preserve">Prueba de </w:t>
            </w:r>
            <w:r>
              <w:rPr>
                <w:rFonts w:ascii="Consolas" w:cs="Consolas" w:eastAsia="Consolas" w:hAnsi="Consolas"/>
                <w:b w:val="false"/>
                <w:bCs w:val="false"/>
                <w:sz w:val="19"/>
                <w:szCs w:val="19"/>
              </w:rPr>
              <w:t xml:space="preserve">ping</w:t>
            </w:r>
            <w:r>
              <w:rPr>
                <w:b w:val="false"/>
                <w:bCs w:val="false"/>
                <w:sz w:val="19"/>
                <w:szCs w:val="19"/>
              </w:rPr>
              <w:t xml:space="preserve"> entre segmentos</w:t>
            </w:r>
          </w:p>
        </w:tc>
      </w:tr>
      <w:tr>
        <w:tc>
          <w:tcPr>
            <w:tcW w:type="dxa" w:w="3120"/>
            <w:tcMar>
              <w:top w:type="dxa" w:w="80"/>
              <w:left w:type="dxa" w:w="100"/>
              <w:bottom w:type="dxa" w:w="80"/>
              <w:right w:type="dxa" w:w="100"/>
            </w:tcMar>
            <w:vAlign w:val="center"/>
          </w:tcPr>
          <w:p>
            <w:r>
              <w:rPr>
                <w:b w:val="false"/>
                <w:bCs w:val="false"/>
                <w:sz w:val="19"/>
                <w:szCs w:val="19"/>
              </w:rPr>
              <w:t xml:space="preserve">Latencia WAN (a Internet)</w:t>
            </w:r>
          </w:p>
        </w:tc>
        <w:tc>
          <w:tcPr>
            <w:tcW w:type="dxa" w:w="3120"/>
            <w:tcMar>
              <w:top w:type="dxa" w:w="80"/>
              <w:left w:type="dxa" w:w="100"/>
              <w:bottom w:type="dxa" w:w="80"/>
              <w:right w:type="dxa" w:w="100"/>
            </w:tcMar>
            <w:vAlign w:val="center"/>
          </w:tcPr>
          <w:p>
            <w:r>
              <w:rPr>
                <w:b w:val="false"/>
                <w:bCs w:val="false"/>
                <w:sz w:val="19"/>
                <w:szCs w:val="19"/>
              </w:rPr>
              <w:t xml:space="preserve">&lt; 80 ms promedio hacia destinos regionales</w:t>
            </w:r>
          </w:p>
        </w:tc>
        <w:tc>
          <w:tcPr>
            <w:tcW w:type="dxa" w:w="3120"/>
            <w:tcMar>
              <w:top w:type="dxa" w:w="80"/>
              <w:left w:type="dxa" w:w="100"/>
              <w:bottom w:type="dxa" w:w="80"/>
              <w:right w:type="dxa" w:w="100"/>
            </w:tcMar>
            <w:vAlign w:val="center"/>
          </w:tcPr>
          <w:p>
            <w:r>
              <w:rPr>
                <w:b w:val="false"/>
                <w:bCs w:val="false"/>
                <w:sz w:val="19"/>
                <w:szCs w:val="19"/>
              </w:rPr>
              <w:t xml:space="preserve">Monitoreo continuo</w:t>
            </w:r>
          </w:p>
        </w:tc>
      </w:tr>
      <w:tr>
        <w:tc>
          <w:tcPr>
            <w:tcW w:type="dxa" w:w="3120"/>
            <w:tcMar>
              <w:top w:type="dxa" w:w="80"/>
              <w:left w:type="dxa" w:w="100"/>
              <w:bottom w:type="dxa" w:w="80"/>
              <w:right w:type="dxa" w:w="100"/>
            </w:tcMar>
            <w:vAlign w:val="center"/>
          </w:tcPr>
          <w:p>
            <w:r>
              <w:rPr>
                <w:b w:val="false"/>
                <w:bCs w:val="false"/>
                <w:sz w:val="19"/>
                <w:szCs w:val="19"/>
              </w:rPr>
              <w:t xml:space="preserve">RPO (pérdida de datos máxima tolerable)</w:t>
            </w:r>
          </w:p>
        </w:tc>
        <w:tc>
          <w:tcPr>
            <w:tcW w:type="dxa" w:w="3120"/>
            <w:tcMar>
              <w:top w:type="dxa" w:w="80"/>
              <w:left w:type="dxa" w:w="100"/>
              <w:bottom w:type="dxa" w:w="80"/>
              <w:right w:type="dxa" w:w="100"/>
            </w:tcMar>
            <w:vAlign w:val="center"/>
          </w:tcPr>
          <w:p>
            <w:r>
              <w:rPr>
                <w:b w:val="false"/>
                <w:bCs w:val="false"/>
                <w:sz w:val="19"/>
                <w:szCs w:val="19"/>
              </w:rPr>
              <w:t xml:space="preserve">24 h (servicios generales), 1 h (correo)</w:t>
            </w:r>
          </w:p>
        </w:tc>
        <w:tc>
          <w:tcPr>
            <w:tcW w:type="dxa" w:w="3120"/>
            <w:tcMar>
              <w:top w:type="dxa" w:w="80"/>
              <w:left w:type="dxa" w:w="100"/>
              <w:bottom w:type="dxa" w:w="80"/>
              <w:right w:type="dxa" w:w="100"/>
            </w:tcMar>
            <w:vAlign w:val="center"/>
          </w:tcPr>
          <w:p>
            <w:r>
              <w:rPr>
                <w:b w:val="false"/>
                <w:bCs w:val="false"/>
                <w:sz w:val="19"/>
                <w:szCs w:val="19"/>
              </w:rPr>
              <w:t xml:space="preserve">Ver política de respaldo, 05-Politicas-Seguridad.md §1.9</w:t>
            </w:r>
          </w:p>
        </w:tc>
      </w:tr>
      <w:tr>
        <w:tc>
          <w:tcPr>
            <w:tcW w:type="dxa" w:w="3120"/>
            <w:tcMar>
              <w:top w:type="dxa" w:w="80"/>
              <w:left w:type="dxa" w:w="100"/>
              <w:bottom w:type="dxa" w:w="80"/>
              <w:right w:type="dxa" w:w="100"/>
            </w:tcMar>
            <w:vAlign w:val="center"/>
          </w:tcPr>
          <w:p>
            <w:r>
              <w:rPr>
                <w:b w:val="false"/>
                <w:bCs w:val="false"/>
                <w:sz w:val="19"/>
                <w:szCs w:val="19"/>
              </w:rPr>
              <w:t xml:space="preserve">RTO (tiempo de recuperación máximo)</w:t>
            </w:r>
          </w:p>
        </w:tc>
        <w:tc>
          <w:tcPr>
            <w:tcW w:type="dxa" w:w="3120"/>
            <w:tcMar>
              <w:top w:type="dxa" w:w="80"/>
              <w:left w:type="dxa" w:w="100"/>
              <w:bottom w:type="dxa" w:w="80"/>
              <w:right w:type="dxa" w:w="100"/>
            </w:tcMar>
            <w:vAlign w:val="center"/>
          </w:tcPr>
          <w:p>
            <w:r>
              <w:rPr>
                <w:b w:val="false"/>
                <w:bCs w:val="false"/>
                <w:sz w:val="19"/>
                <w:szCs w:val="19"/>
              </w:rPr>
              <w:t xml:space="preserve">4 h para cualquier servicio crítico</w:t>
            </w:r>
          </w:p>
        </w:tc>
        <w:tc>
          <w:tcPr>
            <w:tcW w:type="dxa" w:w="3120"/>
            <w:tcMar>
              <w:top w:type="dxa" w:w="80"/>
              <w:left w:type="dxa" w:w="100"/>
              <w:bottom w:type="dxa" w:w="80"/>
              <w:right w:type="dxa" w:w="100"/>
            </w:tcMar>
            <w:vAlign w:val="center"/>
          </w:tcPr>
          <w:p>
            <w:r>
              <w:rPr>
                <w:b w:val="false"/>
                <w:bCs w:val="false"/>
                <w:sz w:val="19"/>
                <w:szCs w:val="19"/>
              </w:rPr>
              <w:t xml:space="preserve">Prueba trimestral de restauración</w:t>
            </w:r>
          </w:p>
        </w:tc>
      </w:tr>
      <w:tr>
        <w:tc>
          <w:tcPr>
            <w:tcW w:type="dxa" w:w="3120"/>
            <w:tcMar>
              <w:top w:type="dxa" w:w="80"/>
              <w:left w:type="dxa" w:w="100"/>
              <w:bottom w:type="dxa" w:w="80"/>
              <w:right w:type="dxa" w:w="100"/>
            </w:tcMar>
            <w:vAlign w:val="center"/>
          </w:tcPr>
          <w:p>
            <w:r>
              <w:rPr>
                <w:b w:val="false"/>
                <w:bCs w:val="false"/>
                <w:sz w:val="19"/>
                <w:szCs w:val="19"/>
              </w:rPr>
              <w:t xml:space="preserve">Capacidad de crecimiento sin rediseño</w:t>
            </w:r>
          </w:p>
        </w:tc>
        <w:tc>
          <w:tcPr>
            <w:tcW w:type="dxa" w:w="3120"/>
            <w:tcMar>
              <w:top w:type="dxa" w:w="80"/>
              <w:left w:type="dxa" w:w="100"/>
              <w:bottom w:type="dxa" w:w="80"/>
              <w:right w:type="dxa" w:w="100"/>
            </w:tcMar>
            <w:vAlign w:val="center"/>
          </w:tcPr>
          <w:p>
            <w:r>
              <w:rPr>
                <w:b w:val="false"/>
                <w:bCs w:val="false"/>
                <w:sz w:val="19"/>
                <w:szCs w:val="19"/>
              </w:rPr>
              <w:t xml:space="preserve">Hasta 4x la planta actual por VLAN</w:t>
            </w:r>
          </w:p>
        </w:tc>
        <w:tc>
          <w:tcPr>
            <w:tcW w:type="dxa" w:w="3120"/>
            <w:tcMar>
              <w:top w:type="dxa" w:w="80"/>
              <w:left w:type="dxa" w:w="100"/>
              <w:bottom w:type="dxa" w:w="80"/>
              <w:right w:type="dxa" w:w="100"/>
            </w:tcMar>
            <w:vAlign w:val="center"/>
          </w:tcPr>
          <w:p>
            <w:r>
              <w:rPr>
                <w:b w:val="false"/>
                <w:bCs w:val="false"/>
                <w:sz w:val="19"/>
                <w:szCs w:val="19"/>
              </w:rPr>
              <w:t xml:space="preserve">Direccionamiento </w:t>
            </w:r>
            <w:r>
              <w:rPr>
                <w:rFonts w:ascii="Consolas" w:cs="Consolas" w:eastAsia="Consolas" w:hAnsi="Consolas"/>
                <w:b w:val="false"/>
                <w:bCs w:val="false"/>
                <w:sz w:val="19"/>
                <w:szCs w:val="19"/>
              </w:rPr>
              <w:t xml:space="preserve">/24</w:t>
            </w:r>
            <w:r>
              <w:rPr>
                <w:b w:val="false"/>
                <w:bCs w:val="false"/>
                <w:sz w:val="19"/>
                <w:szCs w:val="19"/>
              </w:rPr>
              <w:t xml:space="preserve">, ver 03-Diseno-Logico.md</w:t>
            </w:r>
          </w:p>
        </w:tc>
      </w:tr>
      <w:tr>
        <w:tc>
          <w:tcPr>
            <w:tcW w:type="dxa" w:w="3120"/>
            <w:tcMar>
              <w:top w:type="dxa" w:w="80"/>
              <w:left w:type="dxa" w:w="100"/>
              <w:bottom w:type="dxa" w:w="80"/>
              <w:right w:type="dxa" w:w="100"/>
            </w:tcMar>
            <w:vAlign w:val="center"/>
          </w:tcPr>
          <w:p>
            <w:r>
              <w:rPr>
                <w:b w:val="false"/>
                <w:bCs w:val="false"/>
                <w:sz w:val="19"/>
                <w:szCs w:val="19"/>
              </w:rPr>
              <w:t xml:space="preserve">Tiempo de detección de incidentes</w:t>
            </w:r>
          </w:p>
        </w:tc>
        <w:tc>
          <w:tcPr>
            <w:tcW w:type="dxa" w:w="3120"/>
            <w:tcMar>
              <w:top w:type="dxa" w:w="80"/>
              <w:left w:type="dxa" w:w="100"/>
              <w:bottom w:type="dxa" w:w="80"/>
              <w:right w:type="dxa" w:w="100"/>
            </w:tcMar>
            <w:vAlign w:val="center"/>
          </w:tcPr>
          <w:p>
            <w:r>
              <w:rPr>
                <w:b w:val="false"/>
                <w:bCs w:val="false"/>
                <w:sz w:val="19"/>
                <w:szCs w:val="19"/>
              </w:rPr>
              <w:t xml:space="preserve">&lt; 5 minutos desde que ocurre la falla</w:t>
            </w:r>
          </w:p>
        </w:tc>
        <w:tc>
          <w:tcPr>
            <w:tcW w:type="dxa" w:w="3120"/>
            <w:tcMar>
              <w:top w:type="dxa" w:w="80"/>
              <w:left w:type="dxa" w:w="100"/>
              <w:bottom w:type="dxa" w:w="80"/>
              <w:right w:type="dxa" w:w="100"/>
            </w:tcMar>
            <w:vAlign w:val="center"/>
          </w:tcPr>
          <w:p>
            <w:r>
              <w:rPr>
                <w:b w:val="false"/>
                <w:bCs w:val="false"/>
                <w:sz w:val="19"/>
                <w:szCs w:val="19"/>
              </w:rPr>
              <w:t xml:space="preserve">Alertas automáticas Zabbix</w:t>
            </w:r>
          </w:p>
        </w:tc>
      </w:tr>
    </w:tbl>
    <w:p>
      <w:pPr>
        <w:spacing w:after="200"/>
      </w:pPr>
    </w:p>
    <w:p>
      <w:pPr>
        <w:pStyle w:val="Heading2"/>
        <w:spacing w:after="180" w:before="320"/>
      </w:pPr>
      <w:r>
        <w:t xml:space="preserve">2. Análisis de tráfico de red</w:t>
      </w:r>
    </w:p>
    <w:p>
      <w:pPr>
        <w:pStyle w:val="Heading3"/>
        <w:spacing w:after="180" w:before="320"/>
      </w:pPr>
      <w:r>
        <w:t xml:space="preserve">2.1 Clasificación del tráfico por tipo (para diseño de QoS)</w:t>
      </w:r>
    </w:p>
    <w:p>
      <w:pPr>
        <w:spacing w:after="160"/>
        <w:jc w:val="both"/>
      </w:pPr>
      <w:r>
        <w:rPr>
          <w:sz w:val="21"/>
          <w:szCs w:val="21"/>
        </w:rPr>
        <w:t xml:space="preserve">No todo el tráfico de red tiene los mismos requisitos de calidad de servicio — clasificarlo primero es lo que permite luego priorizarlo correctamente (ver marcado DSCP en 03-Diseno-Logico.md):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Clase de tráfico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Ejemplos en Virtual Solutions</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Sensibilidad</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Prioridad relativa</w:t>
            </w:r>
          </w:p>
        </w:tc>
      </w:tr>
      <w:tr>
        <w:tc>
          <w:tcPr>
            <w:tcW w:type="dxa" w:w="2340"/>
            <w:tcMar>
              <w:top w:type="dxa" w:w="80"/>
              <w:left w:type="dxa" w:w="100"/>
              <w:bottom w:type="dxa" w:w="80"/>
              <w:right w:type="dxa" w:w="100"/>
            </w:tcMar>
            <w:vAlign w:val="center"/>
          </w:tcPr>
          <w:p>
            <w:r>
              <w:rPr>
                <w:b w:val="false"/>
                <w:bCs w:val="false"/>
                <w:sz w:val="19"/>
                <w:szCs w:val="19"/>
              </w:rPr>
              <w:t xml:space="preserve">Tiempo real</w:t>
            </w:r>
          </w:p>
        </w:tc>
        <w:tc>
          <w:tcPr>
            <w:tcW w:type="dxa" w:w="2340"/>
            <w:tcMar>
              <w:top w:type="dxa" w:w="80"/>
              <w:left w:type="dxa" w:w="100"/>
              <w:bottom w:type="dxa" w:w="80"/>
              <w:right w:type="dxa" w:w="100"/>
            </w:tcMar>
            <w:vAlign w:val="center"/>
          </w:tcPr>
          <w:p>
            <w:r>
              <w:rPr>
                <w:b w:val="false"/>
                <w:bCs w:val="false"/>
                <w:sz w:val="19"/>
                <w:szCs w:val="19"/>
              </w:rPr>
              <w:t xml:space="preserve">VoIP (VLAN 60)</w:t>
            </w:r>
          </w:p>
        </w:tc>
        <w:tc>
          <w:tcPr>
            <w:tcW w:type="dxa" w:w="2340"/>
            <w:tcMar>
              <w:top w:type="dxa" w:w="80"/>
              <w:left w:type="dxa" w:w="100"/>
              <w:bottom w:type="dxa" w:w="80"/>
              <w:right w:type="dxa" w:w="100"/>
            </w:tcMar>
            <w:vAlign w:val="center"/>
          </w:tcPr>
          <w:p>
            <w:r>
              <w:rPr>
                <w:b w:val="false"/>
                <w:bCs w:val="false"/>
                <w:sz w:val="19"/>
                <w:szCs w:val="19"/>
              </w:rPr>
              <w:t xml:space="preserve">Muy sensible a latencia/jitter, tolera algo de pérdida</w:t>
            </w:r>
          </w:p>
        </w:tc>
        <w:tc>
          <w:tcPr>
            <w:tcW w:type="dxa" w:w="2340"/>
            <w:tcMar>
              <w:top w:type="dxa" w:w="80"/>
              <w:left w:type="dxa" w:w="100"/>
              <w:bottom w:type="dxa" w:w="80"/>
              <w:right w:type="dxa" w:w="100"/>
            </w:tcMar>
            <w:vAlign w:val="center"/>
          </w:tcPr>
          <w:p>
            <w:r>
              <w:rPr>
                <w:b w:val="false"/>
                <w:bCs w:val="false"/>
                <w:sz w:val="19"/>
                <w:szCs w:val="19"/>
              </w:rPr>
              <w:t xml:space="preserve">Más alta</w:t>
            </w:r>
          </w:p>
        </w:tc>
      </w:tr>
      <w:tr>
        <w:tc>
          <w:tcPr>
            <w:tcW w:type="dxa" w:w="2340"/>
            <w:tcMar>
              <w:top w:type="dxa" w:w="80"/>
              <w:left w:type="dxa" w:w="100"/>
              <w:bottom w:type="dxa" w:w="80"/>
              <w:right w:type="dxa" w:w="100"/>
            </w:tcMar>
            <w:vAlign w:val="center"/>
          </w:tcPr>
          <w:p>
            <w:r>
              <w:rPr>
                <w:b w:val="false"/>
                <w:bCs w:val="false"/>
                <w:sz w:val="19"/>
                <w:szCs w:val="19"/>
              </w:rPr>
              <w:t xml:space="preserve">Interactivo</w:t>
            </w:r>
          </w:p>
        </w:tc>
        <w:tc>
          <w:tcPr>
            <w:tcW w:type="dxa" w:w="2340"/>
            <w:tcMar>
              <w:top w:type="dxa" w:w="80"/>
              <w:left w:type="dxa" w:w="100"/>
              <w:bottom w:type="dxa" w:w="80"/>
              <w:right w:type="dxa" w:w="100"/>
            </w:tcMar>
            <w:vAlign w:val="center"/>
          </w:tcPr>
          <w:p>
            <w:r>
              <w:rPr>
                <w:b w:val="false"/>
                <w:bCs w:val="false"/>
                <w:sz w:val="19"/>
                <w:szCs w:val="19"/>
              </w:rPr>
              <w:t xml:space="preserve">SSH/RDP de Soporte I/T, acceso a intranet</w:t>
            </w:r>
          </w:p>
        </w:tc>
        <w:tc>
          <w:tcPr>
            <w:tcW w:type="dxa" w:w="2340"/>
            <w:tcMar>
              <w:top w:type="dxa" w:w="80"/>
              <w:left w:type="dxa" w:w="100"/>
              <w:bottom w:type="dxa" w:w="80"/>
              <w:right w:type="dxa" w:w="100"/>
            </w:tcMar>
            <w:vAlign w:val="center"/>
          </w:tcPr>
          <w:p>
            <w:r>
              <w:rPr>
                <w:b w:val="false"/>
                <w:bCs w:val="false"/>
                <w:sz w:val="19"/>
                <w:szCs w:val="19"/>
              </w:rPr>
              <w:t xml:space="preserve">Sensible a latencia, no tolera pérdida</w:t>
            </w:r>
          </w:p>
        </w:tc>
        <w:tc>
          <w:tcPr>
            <w:tcW w:type="dxa" w:w="2340"/>
            <w:tcMar>
              <w:top w:type="dxa" w:w="80"/>
              <w:left w:type="dxa" w:w="100"/>
              <w:bottom w:type="dxa" w:w="80"/>
              <w:right w:type="dxa" w:w="100"/>
            </w:tcMar>
            <w:vAlign w:val="center"/>
          </w:tcPr>
          <w:p>
            <w:r>
              <w:rPr>
                <w:b w:val="false"/>
                <w:bCs w:val="false"/>
                <w:sz w:val="19"/>
                <w:szCs w:val="19"/>
              </w:rPr>
              <w:t xml:space="preserve">Alta</w:t>
            </w:r>
          </w:p>
        </w:tc>
      </w:tr>
      <w:tr>
        <w:tc>
          <w:tcPr>
            <w:tcW w:type="dxa" w:w="2340"/>
            <w:tcMar>
              <w:top w:type="dxa" w:w="80"/>
              <w:left w:type="dxa" w:w="100"/>
              <w:bottom w:type="dxa" w:w="80"/>
              <w:right w:type="dxa" w:w="100"/>
            </w:tcMar>
            <w:vAlign w:val="center"/>
          </w:tcPr>
          <w:p>
            <w:r>
              <w:rPr>
                <w:b w:val="false"/>
                <w:bCs w:val="false"/>
                <w:sz w:val="19"/>
                <w:szCs w:val="19"/>
              </w:rPr>
              <w:t xml:space="preserve">Transaccional</w:t>
            </w:r>
          </w:p>
        </w:tc>
        <w:tc>
          <w:tcPr>
            <w:tcW w:type="dxa" w:w="2340"/>
            <w:tcMar>
              <w:top w:type="dxa" w:w="80"/>
              <w:left w:type="dxa" w:w="100"/>
              <w:bottom w:type="dxa" w:w="80"/>
              <w:right w:type="dxa" w:w="100"/>
            </w:tcMar>
            <w:vAlign w:val="center"/>
          </w:tcPr>
          <w:p>
            <w:r>
              <w:rPr>
                <w:b w:val="false"/>
                <w:bCs w:val="false"/>
                <w:sz w:val="19"/>
                <w:szCs w:val="19"/>
              </w:rPr>
              <w:t xml:space="preserve">Correo, aplicaciones de Administración/Ventas</w:t>
            </w:r>
          </w:p>
        </w:tc>
        <w:tc>
          <w:tcPr>
            <w:tcW w:type="dxa" w:w="2340"/>
            <w:tcMar>
              <w:top w:type="dxa" w:w="80"/>
              <w:left w:type="dxa" w:w="100"/>
              <w:bottom w:type="dxa" w:w="80"/>
              <w:right w:type="dxa" w:w="100"/>
            </w:tcMar>
            <w:vAlign w:val="center"/>
          </w:tcPr>
          <w:p>
            <w:r>
              <w:rPr>
                <w:b w:val="false"/>
                <w:bCs w:val="false"/>
                <w:sz w:val="19"/>
                <w:szCs w:val="19"/>
              </w:rPr>
              <w:t xml:space="preserve">Moderadamente sensible</w:t>
            </w:r>
          </w:p>
        </w:tc>
        <w:tc>
          <w:tcPr>
            <w:tcW w:type="dxa" w:w="2340"/>
            <w:tcMar>
              <w:top w:type="dxa" w:w="80"/>
              <w:left w:type="dxa" w:w="100"/>
              <w:bottom w:type="dxa" w:w="80"/>
              <w:right w:type="dxa" w:w="100"/>
            </w:tcMar>
            <w:vAlign w:val="center"/>
          </w:tcPr>
          <w:p>
            <w:r>
              <w:rPr>
                <w:b w:val="false"/>
                <w:bCs w:val="false"/>
                <w:sz w:val="19"/>
                <w:szCs w:val="19"/>
              </w:rPr>
              <w:t xml:space="preserve">Media</w:t>
            </w:r>
          </w:p>
        </w:tc>
      </w:tr>
      <w:tr>
        <w:tc>
          <w:tcPr>
            <w:tcW w:type="dxa" w:w="2340"/>
            <w:tcMar>
              <w:top w:type="dxa" w:w="80"/>
              <w:left w:type="dxa" w:w="100"/>
              <w:bottom w:type="dxa" w:w="80"/>
              <w:right w:type="dxa" w:w="100"/>
            </w:tcMar>
            <w:vAlign w:val="center"/>
          </w:tcPr>
          <w:p>
            <w:r>
              <w:rPr>
                <w:b w:val="false"/>
                <w:bCs w:val="false"/>
                <w:sz w:val="19"/>
                <w:szCs w:val="19"/>
              </w:rPr>
              <w:t xml:space="preserve">Masivo (bulk)</w:t>
            </w:r>
          </w:p>
        </w:tc>
        <w:tc>
          <w:tcPr>
            <w:tcW w:type="dxa" w:w="2340"/>
            <w:tcMar>
              <w:top w:type="dxa" w:w="80"/>
              <w:left w:type="dxa" w:w="100"/>
              <w:bottom w:type="dxa" w:w="80"/>
              <w:right w:type="dxa" w:w="100"/>
            </w:tcMar>
            <w:vAlign w:val="center"/>
          </w:tcPr>
          <w:p>
            <w:r>
              <w:rPr>
                <w:b w:val="false"/>
                <w:bCs w:val="false"/>
                <w:sz w:val="19"/>
                <w:szCs w:val="19"/>
              </w:rPr>
              <w:t xml:space="preserve">Git, CI/CD, respaldos, transferencias de Desarrollo I/T</w:t>
            </w:r>
          </w:p>
        </w:tc>
        <w:tc>
          <w:tcPr>
            <w:tcW w:type="dxa" w:w="2340"/>
            <w:tcMar>
              <w:top w:type="dxa" w:w="80"/>
              <w:left w:type="dxa" w:w="100"/>
              <w:bottom w:type="dxa" w:w="80"/>
              <w:right w:type="dxa" w:w="100"/>
            </w:tcMar>
            <w:vAlign w:val="center"/>
          </w:tcPr>
          <w:p>
            <w:r>
              <w:rPr>
                <w:b w:val="false"/>
                <w:bCs w:val="false"/>
                <w:sz w:val="19"/>
                <w:szCs w:val="19"/>
              </w:rPr>
              <w:t xml:space="preserve">Tolera latencia, no debe afectar a las demás clases</w:t>
            </w:r>
          </w:p>
        </w:tc>
        <w:tc>
          <w:tcPr>
            <w:tcW w:type="dxa" w:w="2340"/>
            <w:tcMar>
              <w:top w:type="dxa" w:w="80"/>
              <w:left w:type="dxa" w:w="100"/>
              <w:bottom w:type="dxa" w:w="80"/>
              <w:right w:type="dxa" w:w="100"/>
            </w:tcMar>
            <w:vAlign w:val="center"/>
          </w:tcPr>
          <w:p>
            <w:r>
              <w:rPr>
                <w:b w:val="false"/>
                <w:bCs w:val="false"/>
                <w:sz w:val="19"/>
                <w:szCs w:val="19"/>
              </w:rPr>
              <w:t xml:space="preserve">Baja (pero garantizada, no bloqueada)</w:t>
            </w:r>
          </w:p>
        </w:tc>
      </w:tr>
      <w:tr>
        <w:tc>
          <w:tcPr>
            <w:tcW w:type="dxa" w:w="2340"/>
            <w:tcMar>
              <w:top w:type="dxa" w:w="80"/>
              <w:left w:type="dxa" w:w="100"/>
              <w:bottom w:type="dxa" w:w="80"/>
              <w:right w:type="dxa" w:w="100"/>
            </w:tcMar>
            <w:vAlign w:val="center"/>
          </w:tcPr>
          <w:p>
            <w:r>
              <w:rPr>
                <w:b w:val="false"/>
                <w:bCs w:val="false"/>
                <w:sz w:val="19"/>
                <w:szCs w:val="19"/>
              </w:rPr>
              <w:t xml:space="preserve">Mejor esfuerzo</w:t>
            </w:r>
          </w:p>
        </w:tc>
        <w:tc>
          <w:tcPr>
            <w:tcW w:type="dxa" w:w="2340"/>
            <w:tcMar>
              <w:top w:type="dxa" w:w="80"/>
              <w:left w:type="dxa" w:w="100"/>
              <w:bottom w:type="dxa" w:w="80"/>
              <w:right w:type="dxa" w:w="100"/>
            </w:tcMar>
            <w:vAlign w:val="center"/>
          </w:tcPr>
          <w:p>
            <w:r>
              <w:rPr>
                <w:b w:val="false"/>
                <w:bCs w:val="false"/>
                <w:sz w:val="19"/>
                <w:szCs w:val="19"/>
              </w:rPr>
              <w:t xml:space="preserve">Navegación web general</w:t>
            </w:r>
          </w:p>
        </w:tc>
        <w:tc>
          <w:tcPr>
            <w:tcW w:type="dxa" w:w="2340"/>
            <w:tcMar>
              <w:top w:type="dxa" w:w="80"/>
              <w:left w:type="dxa" w:w="100"/>
              <w:bottom w:type="dxa" w:w="80"/>
              <w:right w:type="dxa" w:w="100"/>
            </w:tcMar>
            <w:vAlign w:val="center"/>
          </w:tcPr>
          <w:p>
            <w:r>
              <w:rPr>
                <w:b w:val="false"/>
                <w:bCs w:val="false"/>
                <w:sz w:val="19"/>
                <w:szCs w:val="19"/>
              </w:rPr>
              <w:t xml:space="preserve">Tolerante</w:t>
            </w:r>
          </w:p>
        </w:tc>
        <w:tc>
          <w:tcPr>
            <w:tcW w:type="dxa" w:w="2340"/>
            <w:tcMar>
              <w:top w:type="dxa" w:w="80"/>
              <w:left w:type="dxa" w:w="100"/>
              <w:bottom w:type="dxa" w:w="80"/>
              <w:right w:type="dxa" w:w="100"/>
            </w:tcMar>
            <w:vAlign w:val="center"/>
          </w:tcPr>
          <w:p>
            <w:r>
              <w:rPr>
                <w:b w:val="false"/>
                <w:bCs w:val="false"/>
                <w:sz w:val="19"/>
                <w:szCs w:val="19"/>
              </w:rPr>
              <w:t xml:space="preserve">Más baja</w:t>
            </w:r>
          </w:p>
        </w:tc>
      </w:tr>
    </w:tbl>
    <w:p>
      <w:pPr>
        <w:spacing w:after="200"/>
      </w:pPr>
    </w:p>
    <w:p>
      <w:pPr>
        <w:pStyle w:val="Heading3"/>
        <w:spacing w:after="180" w:before="320"/>
      </w:pPr>
      <w:r>
        <w:t xml:space="preserve">2.2 Estimación de demanda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864" w:color="auto" w:val="clear"/>
            <w:tcMar>
              <w:top w:type="dxa" w:w="80"/>
              <w:left w:type="dxa" w:w="100"/>
              <w:bottom w:type="dxa" w:w="80"/>
              <w:right w:type="dxa" w:w="100"/>
            </w:tcMar>
            <w:vAlign w:val="center"/>
          </w:tcPr>
          <w:p>
            <w:r>
              <w:rPr>
                <w:b/>
                <w:bCs/>
                <w:color w:val="FFFFFF"/>
                <w:sz w:val="19"/>
                <w:szCs w:val="19"/>
              </w:rPr>
              <w:t xml:space="preserve">Área</w:t>
            </w:r>
          </w:p>
        </w:tc>
        <w:tc>
          <w:tcPr>
            <w:tcW w:type="dxa" w:w="1560"/>
            <w:shd w:fill="1F3864" w:color="auto" w:val="clear"/>
            <w:tcMar>
              <w:top w:type="dxa" w:w="80"/>
              <w:left w:type="dxa" w:w="100"/>
              <w:bottom w:type="dxa" w:w="80"/>
              <w:right w:type="dxa" w:w="100"/>
            </w:tcMar>
            <w:vAlign w:val="center"/>
          </w:tcPr>
          <w:p>
            <w:r>
              <w:rPr>
                <w:b/>
                <w:bCs/>
                <w:color w:val="FFFFFF"/>
                <w:sz w:val="19"/>
                <w:szCs w:val="19"/>
              </w:rPr>
              <w:t xml:space="preserve">Usuarios</w:t>
            </w:r>
          </w:p>
        </w:tc>
        <w:tc>
          <w:tcPr>
            <w:tcW w:type="dxa" w:w="1560"/>
            <w:shd w:fill="1F3864" w:color="auto" w:val="clear"/>
            <w:tcMar>
              <w:top w:type="dxa" w:w="80"/>
              <w:left w:type="dxa" w:w="100"/>
              <w:bottom w:type="dxa" w:w="80"/>
              <w:right w:type="dxa" w:w="100"/>
            </w:tcMar>
            <w:vAlign w:val="center"/>
          </w:tcPr>
          <w:p>
            <w:r>
              <w:rPr>
                <w:b/>
                <w:bCs/>
                <w:color w:val="FFFFFF"/>
                <w:sz w:val="19"/>
                <w:szCs w:val="19"/>
              </w:rPr>
              <w:t xml:space="preserve">Perfil de uso</w:t>
            </w:r>
          </w:p>
        </w:tc>
        <w:tc>
          <w:tcPr>
            <w:tcW w:type="dxa" w:w="1560"/>
            <w:shd w:fill="1F3864" w:color="auto" w:val="clear"/>
            <w:tcMar>
              <w:top w:type="dxa" w:w="80"/>
              <w:left w:type="dxa" w:w="100"/>
              <w:bottom w:type="dxa" w:w="80"/>
              <w:right w:type="dxa" w:w="100"/>
            </w:tcMar>
            <w:vAlign w:val="center"/>
          </w:tcPr>
          <w:p>
            <w:r>
              <w:rPr>
                <w:b/>
                <w:bCs/>
                <w:color w:val="FFFFFF"/>
                <w:sz w:val="19"/>
                <w:szCs w:val="19"/>
              </w:rPr>
              <w:t xml:space="preserve">Ancho de banda promedio/usuario</w:t>
            </w:r>
          </w:p>
        </w:tc>
        <w:tc>
          <w:tcPr>
            <w:tcW w:type="dxa" w:w="1560"/>
            <w:shd w:fill="1F3864" w:color="auto" w:val="clear"/>
            <w:tcMar>
              <w:top w:type="dxa" w:w="80"/>
              <w:left w:type="dxa" w:w="100"/>
              <w:bottom w:type="dxa" w:w="80"/>
              <w:right w:type="dxa" w:w="100"/>
            </w:tcMar>
            <w:vAlign w:val="center"/>
          </w:tcPr>
          <w:p>
            <w:r>
              <w:rPr>
                <w:b/>
                <w:bCs/>
                <w:color w:val="FFFFFF"/>
                <w:sz w:val="19"/>
                <w:szCs w:val="19"/>
              </w:rPr>
              <w:t xml:space="preserve">Total promedio</w:t>
            </w:r>
          </w:p>
        </w:tc>
        <w:tc>
          <w:tcPr>
            <w:tcW w:type="dxa" w:w="1560"/>
            <w:shd w:fill="1F3864" w:color="auto" w:val="clear"/>
            <w:tcMar>
              <w:top w:type="dxa" w:w="80"/>
              <w:left w:type="dxa" w:w="100"/>
              <w:bottom w:type="dxa" w:w="80"/>
              <w:right w:type="dxa" w:w="100"/>
            </w:tcMar>
            <w:vAlign w:val="center"/>
          </w:tcPr>
          <w:p>
            <w:r>
              <w:rPr>
                <w:b/>
                <w:bCs/>
                <w:color w:val="FFFFFF"/>
                <w:sz w:val="19"/>
                <w:szCs w:val="19"/>
              </w:rPr>
              <w:t xml:space="preserve">Total en hora pico (factor ×1.5)</w:t>
            </w:r>
          </w:p>
        </w:tc>
      </w:tr>
      <w:tr>
        <w:tc>
          <w:tcPr>
            <w:tcW w:type="dxa" w:w="1560"/>
            <w:tcMar>
              <w:top w:type="dxa" w:w="80"/>
              <w:left w:type="dxa" w:w="100"/>
              <w:bottom w:type="dxa" w:w="80"/>
              <w:right w:type="dxa" w:w="100"/>
            </w:tcMar>
            <w:vAlign w:val="center"/>
          </w:tcPr>
          <w:p>
            <w:r>
              <w:rPr>
                <w:b w:val="false"/>
                <w:bCs w:val="false"/>
                <w:sz w:val="19"/>
                <w:szCs w:val="19"/>
              </w:rPr>
              <w:t xml:space="preserve">Administración</w:t>
            </w:r>
          </w:p>
        </w:tc>
        <w:tc>
          <w:tcPr>
            <w:tcW w:type="dxa" w:w="1560"/>
            <w:tcMar>
              <w:top w:type="dxa" w:w="80"/>
              <w:left w:type="dxa" w:w="100"/>
              <w:bottom w:type="dxa" w:w="80"/>
              <w:right w:type="dxa" w:w="100"/>
            </w:tcMar>
            <w:vAlign w:val="center"/>
          </w:tcPr>
          <w:p>
            <w:r>
              <w:rPr>
                <w:b w:val="false"/>
                <w:bCs w:val="false"/>
                <w:sz w:val="19"/>
                <w:szCs w:val="19"/>
              </w:rPr>
              <w:t xml:space="preserve">14</w:t>
            </w:r>
          </w:p>
        </w:tc>
        <w:tc>
          <w:tcPr>
            <w:tcW w:type="dxa" w:w="1560"/>
            <w:tcMar>
              <w:top w:type="dxa" w:w="80"/>
              <w:left w:type="dxa" w:w="100"/>
              <w:bottom w:type="dxa" w:w="80"/>
              <w:right w:type="dxa" w:w="100"/>
            </w:tcMar>
            <w:vAlign w:val="center"/>
          </w:tcPr>
          <w:p>
            <w:r>
              <w:rPr>
                <w:b w:val="false"/>
                <w:bCs w:val="false"/>
                <w:sz w:val="19"/>
                <w:szCs w:val="19"/>
              </w:rPr>
              <w:t xml:space="preserve">Ofimática, ERP, correo</w:t>
            </w:r>
          </w:p>
        </w:tc>
        <w:tc>
          <w:tcPr>
            <w:tcW w:type="dxa" w:w="1560"/>
            <w:tcMar>
              <w:top w:type="dxa" w:w="80"/>
              <w:left w:type="dxa" w:w="100"/>
              <w:bottom w:type="dxa" w:w="80"/>
              <w:right w:type="dxa" w:w="100"/>
            </w:tcMar>
            <w:vAlign w:val="center"/>
          </w:tcPr>
          <w:p>
            <w:r>
              <w:rPr>
                <w:b w:val="false"/>
                <w:bCs w:val="false"/>
                <w:sz w:val="19"/>
                <w:szCs w:val="19"/>
              </w:rPr>
              <w:t xml:space="preserve">0.5 Mbps</w:t>
            </w:r>
          </w:p>
        </w:tc>
        <w:tc>
          <w:tcPr>
            <w:tcW w:type="dxa" w:w="1560"/>
            <w:tcMar>
              <w:top w:type="dxa" w:w="80"/>
              <w:left w:type="dxa" w:w="100"/>
              <w:bottom w:type="dxa" w:w="80"/>
              <w:right w:type="dxa" w:w="100"/>
            </w:tcMar>
            <w:vAlign w:val="center"/>
          </w:tcPr>
          <w:p>
            <w:r>
              <w:rPr>
                <w:b w:val="false"/>
                <w:bCs w:val="false"/>
                <w:sz w:val="19"/>
                <w:szCs w:val="19"/>
              </w:rPr>
              <w:t xml:space="preserve">7 Mbps</w:t>
            </w:r>
          </w:p>
        </w:tc>
        <w:tc>
          <w:tcPr>
            <w:tcW w:type="dxa" w:w="1560"/>
            <w:tcMar>
              <w:top w:type="dxa" w:w="80"/>
              <w:left w:type="dxa" w:w="100"/>
              <w:bottom w:type="dxa" w:w="80"/>
              <w:right w:type="dxa" w:w="100"/>
            </w:tcMar>
            <w:vAlign w:val="center"/>
          </w:tcPr>
          <w:p>
            <w:r>
              <w:rPr>
                <w:b w:val="false"/>
                <w:bCs w:val="false"/>
                <w:sz w:val="19"/>
                <w:szCs w:val="19"/>
              </w:rPr>
              <w:t xml:space="preserve">10.5 Mbps</w:t>
            </w:r>
          </w:p>
        </w:tc>
      </w:tr>
      <w:tr>
        <w:tc>
          <w:tcPr>
            <w:tcW w:type="dxa" w:w="1560"/>
            <w:tcMar>
              <w:top w:type="dxa" w:w="80"/>
              <w:left w:type="dxa" w:w="100"/>
              <w:bottom w:type="dxa" w:w="80"/>
              <w:right w:type="dxa" w:w="100"/>
            </w:tcMar>
            <w:vAlign w:val="center"/>
          </w:tcPr>
          <w:p>
            <w:r>
              <w:rPr>
                <w:b w:val="false"/>
                <w:bCs w:val="false"/>
                <w:sz w:val="19"/>
                <w:szCs w:val="19"/>
              </w:rPr>
              <w:t xml:space="preserve">Ventas</w:t>
            </w:r>
          </w:p>
        </w:tc>
        <w:tc>
          <w:tcPr>
            <w:tcW w:type="dxa" w:w="1560"/>
            <w:tcMar>
              <w:top w:type="dxa" w:w="80"/>
              <w:left w:type="dxa" w:w="100"/>
              <w:bottom w:type="dxa" w:w="80"/>
              <w:right w:type="dxa" w:w="100"/>
            </w:tcMar>
            <w:vAlign w:val="center"/>
          </w:tcPr>
          <w:p>
            <w:r>
              <w:rPr>
                <w:b w:val="false"/>
                <w:bCs w:val="false"/>
                <w:sz w:val="19"/>
                <w:szCs w:val="19"/>
              </w:rPr>
              <w:t xml:space="preserve">30</w:t>
            </w:r>
          </w:p>
        </w:tc>
        <w:tc>
          <w:tcPr>
            <w:tcW w:type="dxa" w:w="1560"/>
            <w:tcMar>
              <w:top w:type="dxa" w:w="80"/>
              <w:left w:type="dxa" w:w="100"/>
              <w:bottom w:type="dxa" w:w="80"/>
              <w:right w:type="dxa" w:w="100"/>
            </w:tcMar>
            <w:vAlign w:val="center"/>
          </w:tcPr>
          <w:p>
            <w:r>
              <w:rPr>
                <w:b w:val="false"/>
                <w:bCs w:val="false"/>
                <w:sz w:val="19"/>
                <w:szCs w:val="19"/>
              </w:rPr>
              <w:t xml:space="preserve">CRM, videollamadas con clientes</w:t>
            </w:r>
          </w:p>
        </w:tc>
        <w:tc>
          <w:tcPr>
            <w:tcW w:type="dxa" w:w="1560"/>
            <w:tcMar>
              <w:top w:type="dxa" w:w="80"/>
              <w:left w:type="dxa" w:w="100"/>
              <w:bottom w:type="dxa" w:w="80"/>
              <w:right w:type="dxa" w:w="100"/>
            </w:tcMar>
            <w:vAlign w:val="center"/>
          </w:tcPr>
          <w:p>
            <w:r>
              <w:rPr>
                <w:b w:val="false"/>
                <w:bCs w:val="false"/>
                <w:sz w:val="19"/>
                <w:szCs w:val="19"/>
              </w:rPr>
              <w:t xml:space="preserve">1 Mbps</w:t>
            </w:r>
          </w:p>
        </w:tc>
        <w:tc>
          <w:tcPr>
            <w:tcW w:type="dxa" w:w="1560"/>
            <w:tcMar>
              <w:top w:type="dxa" w:w="80"/>
              <w:left w:type="dxa" w:w="100"/>
              <w:bottom w:type="dxa" w:w="80"/>
              <w:right w:type="dxa" w:w="100"/>
            </w:tcMar>
            <w:vAlign w:val="center"/>
          </w:tcPr>
          <w:p>
            <w:r>
              <w:rPr>
                <w:b w:val="false"/>
                <w:bCs w:val="false"/>
                <w:sz w:val="19"/>
                <w:szCs w:val="19"/>
              </w:rPr>
              <w:t xml:space="preserve">30 Mbps</w:t>
            </w:r>
          </w:p>
        </w:tc>
        <w:tc>
          <w:tcPr>
            <w:tcW w:type="dxa" w:w="1560"/>
            <w:tcMar>
              <w:top w:type="dxa" w:w="80"/>
              <w:left w:type="dxa" w:w="100"/>
              <w:bottom w:type="dxa" w:w="80"/>
              <w:right w:type="dxa" w:w="100"/>
            </w:tcMar>
            <w:vAlign w:val="center"/>
          </w:tcPr>
          <w:p>
            <w:r>
              <w:rPr>
                <w:b w:val="false"/>
                <w:bCs w:val="false"/>
                <w:sz w:val="19"/>
                <w:szCs w:val="19"/>
              </w:rPr>
              <w:t xml:space="preserve">45 Mbps</w:t>
            </w:r>
          </w:p>
        </w:tc>
      </w:tr>
      <w:tr>
        <w:tc>
          <w:tcPr>
            <w:tcW w:type="dxa" w:w="1560"/>
            <w:tcMar>
              <w:top w:type="dxa" w:w="80"/>
              <w:left w:type="dxa" w:w="100"/>
              <w:bottom w:type="dxa" w:w="80"/>
              <w:right w:type="dxa" w:w="100"/>
            </w:tcMar>
            <w:vAlign w:val="center"/>
          </w:tcPr>
          <w:p>
            <w:r>
              <w:rPr>
                <w:b w:val="false"/>
                <w:bCs w:val="false"/>
                <w:sz w:val="19"/>
                <w:szCs w:val="19"/>
              </w:rPr>
              <w:t xml:space="preserve">Desarrollo I/T</w:t>
            </w:r>
          </w:p>
        </w:tc>
        <w:tc>
          <w:tcPr>
            <w:tcW w:type="dxa" w:w="1560"/>
            <w:tcMar>
              <w:top w:type="dxa" w:w="80"/>
              <w:left w:type="dxa" w:w="100"/>
              <w:bottom w:type="dxa" w:w="80"/>
              <w:right w:type="dxa" w:w="100"/>
            </w:tcMar>
            <w:vAlign w:val="center"/>
          </w:tcPr>
          <w:p>
            <w:r>
              <w:rPr>
                <w:b w:val="false"/>
                <w:bCs w:val="false"/>
                <w:sz w:val="19"/>
                <w:szCs w:val="19"/>
              </w:rPr>
              <w:t xml:space="preserve">110</w:t>
            </w:r>
          </w:p>
        </w:tc>
        <w:tc>
          <w:tcPr>
            <w:tcW w:type="dxa" w:w="1560"/>
            <w:tcMar>
              <w:top w:type="dxa" w:w="80"/>
              <w:left w:type="dxa" w:w="100"/>
              <w:bottom w:type="dxa" w:w="80"/>
              <w:right w:type="dxa" w:w="100"/>
            </w:tcMar>
            <w:vAlign w:val="center"/>
          </w:tcPr>
          <w:p>
            <w:r>
              <w:rPr>
                <w:b w:val="false"/>
                <w:bCs w:val="false"/>
                <w:sz w:val="19"/>
                <w:szCs w:val="19"/>
              </w:rPr>
              <w:t xml:space="preserve">Git, CI/CD, entornos de prueba, descargas grandes</w:t>
            </w:r>
          </w:p>
        </w:tc>
        <w:tc>
          <w:tcPr>
            <w:tcW w:type="dxa" w:w="1560"/>
            <w:tcMar>
              <w:top w:type="dxa" w:w="80"/>
              <w:left w:type="dxa" w:w="100"/>
              <w:bottom w:type="dxa" w:w="80"/>
              <w:right w:type="dxa" w:w="100"/>
            </w:tcMar>
            <w:vAlign w:val="center"/>
          </w:tcPr>
          <w:p>
            <w:r>
              <w:rPr>
                <w:b w:val="false"/>
                <w:bCs w:val="false"/>
                <w:sz w:val="19"/>
                <w:szCs w:val="19"/>
              </w:rPr>
              <w:t xml:space="preserve">1.5 Mbps</w:t>
            </w:r>
          </w:p>
        </w:tc>
        <w:tc>
          <w:tcPr>
            <w:tcW w:type="dxa" w:w="1560"/>
            <w:tcMar>
              <w:top w:type="dxa" w:w="80"/>
              <w:left w:type="dxa" w:w="100"/>
              <w:bottom w:type="dxa" w:w="80"/>
              <w:right w:type="dxa" w:w="100"/>
            </w:tcMar>
            <w:vAlign w:val="center"/>
          </w:tcPr>
          <w:p>
            <w:r>
              <w:rPr>
                <w:b w:val="false"/>
                <w:bCs w:val="false"/>
                <w:sz w:val="19"/>
                <w:szCs w:val="19"/>
              </w:rPr>
              <w:t xml:space="preserve">165 Mbps</w:t>
            </w:r>
          </w:p>
        </w:tc>
        <w:tc>
          <w:tcPr>
            <w:tcW w:type="dxa" w:w="1560"/>
            <w:tcMar>
              <w:top w:type="dxa" w:w="80"/>
              <w:left w:type="dxa" w:w="100"/>
              <w:bottom w:type="dxa" w:w="80"/>
              <w:right w:type="dxa" w:w="100"/>
            </w:tcMar>
            <w:vAlign w:val="center"/>
          </w:tcPr>
          <w:p>
            <w:r>
              <w:rPr>
                <w:b w:val="false"/>
                <w:bCs w:val="false"/>
                <w:sz w:val="19"/>
                <w:szCs w:val="19"/>
              </w:rPr>
              <w:t xml:space="preserve">247.5 Mbps</w:t>
            </w:r>
          </w:p>
        </w:tc>
      </w:tr>
      <w:tr>
        <w:tc>
          <w:tcPr>
            <w:tcW w:type="dxa" w:w="1560"/>
            <w:tcMar>
              <w:top w:type="dxa" w:w="80"/>
              <w:left w:type="dxa" w:w="100"/>
              <w:bottom w:type="dxa" w:w="80"/>
              <w:right w:type="dxa" w:w="100"/>
            </w:tcMar>
            <w:vAlign w:val="center"/>
          </w:tcPr>
          <w:p>
            <w:r>
              <w:rPr>
                <w:b w:val="false"/>
                <w:bCs w:val="false"/>
                <w:sz w:val="19"/>
                <w:szCs w:val="19"/>
              </w:rPr>
              <w:t xml:space="preserve">Soporte I/T</w:t>
            </w:r>
          </w:p>
        </w:tc>
        <w:tc>
          <w:tcPr>
            <w:tcW w:type="dxa" w:w="1560"/>
            <w:tcMar>
              <w:top w:type="dxa" w:w="80"/>
              <w:left w:type="dxa" w:w="100"/>
              <w:bottom w:type="dxa" w:w="80"/>
              <w:right w:type="dxa" w:w="100"/>
            </w:tcMar>
            <w:vAlign w:val="center"/>
          </w:tcPr>
          <w:p>
            <w:r>
              <w:rPr>
                <w:b w:val="false"/>
                <w:bCs w:val="false"/>
                <w:sz w:val="19"/>
                <w:szCs w:val="19"/>
              </w:rPr>
              <w:t xml:space="preserve">12</w:t>
            </w:r>
          </w:p>
        </w:tc>
        <w:tc>
          <w:tcPr>
            <w:tcW w:type="dxa" w:w="1560"/>
            <w:tcMar>
              <w:top w:type="dxa" w:w="80"/>
              <w:left w:type="dxa" w:w="100"/>
              <w:bottom w:type="dxa" w:w="80"/>
              <w:right w:type="dxa" w:w="100"/>
            </w:tcMar>
            <w:vAlign w:val="center"/>
          </w:tcPr>
          <w:p>
            <w:r>
              <w:rPr>
                <w:b w:val="false"/>
                <w:bCs w:val="false"/>
                <w:sz w:val="19"/>
                <w:szCs w:val="19"/>
              </w:rPr>
              <w:t xml:space="preserve">Acceso remoto a equipos, tickets</w:t>
            </w:r>
          </w:p>
        </w:tc>
        <w:tc>
          <w:tcPr>
            <w:tcW w:type="dxa" w:w="1560"/>
            <w:tcMar>
              <w:top w:type="dxa" w:w="80"/>
              <w:left w:type="dxa" w:w="100"/>
              <w:bottom w:type="dxa" w:w="80"/>
              <w:right w:type="dxa" w:w="100"/>
            </w:tcMar>
            <w:vAlign w:val="center"/>
          </w:tcPr>
          <w:p>
            <w:r>
              <w:rPr>
                <w:b w:val="false"/>
                <w:bCs w:val="false"/>
                <w:sz w:val="19"/>
                <w:szCs w:val="19"/>
              </w:rPr>
              <w:t xml:space="preserve">1 Mbps</w:t>
            </w:r>
          </w:p>
        </w:tc>
        <w:tc>
          <w:tcPr>
            <w:tcW w:type="dxa" w:w="1560"/>
            <w:tcMar>
              <w:top w:type="dxa" w:w="80"/>
              <w:left w:type="dxa" w:w="100"/>
              <w:bottom w:type="dxa" w:w="80"/>
              <w:right w:type="dxa" w:w="100"/>
            </w:tcMar>
            <w:vAlign w:val="center"/>
          </w:tcPr>
          <w:p>
            <w:r>
              <w:rPr>
                <w:b w:val="false"/>
                <w:bCs w:val="false"/>
                <w:sz w:val="19"/>
                <w:szCs w:val="19"/>
              </w:rPr>
              <w:t xml:space="preserve">12 Mbps</w:t>
            </w:r>
          </w:p>
        </w:tc>
        <w:tc>
          <w:tcPr>
            <w:tcW w:type="dxa" w:w="1560"/>
            <w:tcMar>
              <w:top w:type="dxa" w:w="80"/>
              <w:left w:type="dxa" w:w="100"/>
              <w:bottom w:type="dxa" w:w="80"/>
              <w:right w:type="dxa" w:w="100"/>
            </w:tcMar>
            <w:vAlign w:val="center"/>
          </w:tcPr>
          <w:p>
            <w:r>
              <w:rPr>
                <w:b w:val="false"/>
                <w:bCs w:val="false"/>
                <w:sz w:val="19"/>
                <w:szCs w:val="19"/>
              </w:rPr>
              <w:t xml:space="preserve">18 Mbps</w:t>
            </w:r>
          </w:p>
        </w:tc>
      </w:tr>
      <w:tr>
        <w:tc>
          <w:tcPr>
            <w:tcW w:type="dxa" w:w="1560"/>
            <w:tcMar>
              <w:top w:type="dxa" w:w="80"/>
              <w:left w:type="dxa" w:w="100"/>
              <w:bottom w:type="dxa" w:w="80"/>
              <w:right w:type="dxa" w:w="100"/>
            </w:tcMar>
            <w:vAlign w:val="center"/>
          </w:tcPr>
          <w:p>
            <w:r>
              <w:rPr>
                <w:b w:val="false"/>
                <w:bCs w:val="false"/>
                <w:sz w:val="19"/>
                <w:szCs w:val="19"/>
              </w:rPr>
              <w:t xml:space="preserve">Telefonía IP</w:t>
            </w:r>
          </w:p>
        </w:tc>
        <w:tc>
          <w:tcPr>
            <w:tcW w:type="dxa" w:w="1560"/>
            <w:tcMar>
              <w:top w:type="dxa" w:w="80"/>
              <w:left w:type="dxa" w:w="100"/>
              <w:bottom w:type="dxa" w:w="80"/>
              <w:right w:type="dxa" w:w="100"/>
            </w:tcMar>
            <w:vAlign w:val="center"/>
          </w:tcPr>
          <w:p>
            <w:r>
              <w:rPr>
                <w:b w:val="false"/>
                <w:bCs w:val="false"/>
                <w:sz w:val="19"/>
                <w:szCs w:val="19"/>
              </w:rPr>
              <w:t xml:space="preserve">6 líneas concurrentes</w:t>
            </w:r>
          </w:p>
        </w:tc>
        <w:tc>
          <w:tcPr>
            <w:tcW w:type="dxa" w:w="1560"/>
            <w:tcMar>
              <w:top w:type="dxa" w:w="80"/>
              <w:left w:type="dxa" w:w="100"/>
              <w:bottom w:type="dxa" w:w="80"/>
              <w:right w:type="dxa" w:w="100"/>
            </w:tcMar>
            <w:vAlign w:val="center"/>
          </w:tcPr>
          <w:p>
            <w:r>
              <w:rPr>
                <w:b w:val="false"/>
                <w:bCs w:val="false"/>
                <w:sz w:val="19"/>
                <w:szCs w:val="19"/>
              </w:rPr>
              <w:t xml:space="preserve">VoIP (G.711 ≈ 87 Kbps/llamada + overhead RTP)</w:t>
            </w:r>
          </w:p>
        </w:tc>
        <w:tc>
          <w:tcPr>
            <w:tcW w:type="dxa" w:w="1560"/>
            <w:tcMar>
              <w:top w:type="dxa" w:w="80"/>
              <w:left w:type="dxa" w:w="100"/>
              <w:bottom w:type="dxa" w:w="80"/>
              <w:right w:type="dxa" w:w="100"/>
            </w:tcMar>
            <w:vAlign w:val="center"/>
          </w:tcPr>
          <w:p>
            <w:r>
              <w:rPr>
                <w:b w:val="false"/>
                <w:bCs w:val="false"/>
                <w:sz w:val="19"/>
                <w:szCs w:val="19"/>
              </w:rPr>
              <w:t xml:space="preserve">0.1 Mbps</w:t>
            </w:r>
          </w:p>
        </w:tc>
        <w:tc>
          <w:tcPr>
            <w:tcW w:type="dxa" w:w="1560"/>
            <w:tcMar>
              <w:top w:type="dxa" w:w="80"/>
              <w:left w:type="dxa" w:w="100"/>
              <w:bottom w:type="dxa" w:w="80"/>
              <w:right w:type="dxa" w:w="100"/>
            </w:tcMar>
            <w:vAlign w:val="center"/>
          </w:tcPr>
          <w:p>
            <w:r>
              <w:rPr>
                <w:b w:val="false"/>
                <w:bCs w:val="false"/>
                <w:sz w:val="19"/>
                <w:szCs w:val="19"/>
              </w:rPr>
              <w:t xml:space="preserve">0.6 Mbps</w:t>
            </w:r>
          </w:p>
        </w:tc>
        <w:tc>
          <w:tcPr>
            <w:tcW w:type="dxa" w:w="1560"/>
            <w:tcMar>
              <w:top w:type="dxa" w:w="80"/>
              <w:left w:type="dxa" w:w="100"/>
              <w:bottom w:type="dxa" w:w="80"/>
              <w:right w:type="dxa" w:w="100"/>
            </w:tcMar>
            <w:vAlign w:val="center"/>
          </w:tcPr>
          <w:p>
            <w:r>
              <w:rPr>
                <w:b w:val="false"/>
                <w:bCs w:val="false"/>
                <w:sz w:val="19"/>
                <w:szCs w:val="19"/>
              </w:rPr>
              <w:t xml:space="preserve">0.6 Mbps (constante durante la llamada, no tiene "pico")</w:t>
            </w:r>
          </w:p>
        </w:tc>
      </w:tr>
      <w:tr>
        <w:tc>
          <w:tcPr>
            <w:tcW w:type="dxa" w:w="1560"/>
            <w:tcMar>
              <w:top w:type="dxa" w:w="80"/>
              <w:left w:type="dxa" w:w="100"/>
              <w:bottom w:type="dxa" w:w="80"/>
              <w:right w:type="dxa" w:w="100"/>
            </w:tcMar>
            <w:vAlign w:val="center"/>
          </w:tcPr>
          <w:p>
            <w:r>
              <w:rPr>
                <w:b w:val="false"/>
                <w:bCs w:val="false"/>
                <w:sz w:val="19"/>
                <w:szCs w:val="19"/>
              </w:rPr>
              <w:t xml:space="preserve">Total</w:t>
            </w:r>
          </w:p>
        </w:tc>
        <w:tc>
          <w:tcPr>
            <w:tcW w:type="dxa" w:w="1560"/>
            <w:tcMar>
              <w:top w:type="dxa" w:w="80"/>
              <w:left w:type="dxa" w:w="100"/>
              <w:bottom w:type="dxa" w:w="80"/>
              <w:right w:type="dxa" w:w="100"/>
            </w:tcMar>
            <w:vAlign w:val="center"/>
          </w:tcPr>
          <w:p>
            <w:r>
              <w:rPr>
                <w:b w:val="false"/>
                <w:bCs w:val="false"/>
                <w:sz w:val="19"/>
                <w:szCs w:val="19"/>
              </w:rPr>
              <w:t xml:space="preserve"/>
            </w:r>
          </w:p>
        </w:tc>
        <w:tc>
          <w:tcPr>
            <w:tcW w:type="dxa" w:w="1560"/>
            <w:tcMar>
              <w:top w:type="dxa" w:w="80"/>
              <w:left w:type="dxa" w:w="100"/>
              <w:bottom w:type="dxa" w:w="80"/>
              <w:right w:type="dxa" w:w="100"/>
            </w:tcMar>
            <w:vAlign w:val="center"/>
          </w:tcPr>
          <w:p>
            <w:r>
              <w:rPr>
                <w:b w:val="false"/>
                <w:bCs w:val="false"/>
                <w:sz w:val="19"/>
                <w:szCs w:val="19"/>
              </w:rPr>
              <w:t xml:space="preserve"/>
            </w:r>
          </w:p>
        </w:tc>
        <w:tc>
          <w:tcPr>
            <w:tcW w:type="dxa" w:w="1560"/>
            <w:tcMar>
              <w:top w:type="dxa" w:w="80"/>
              <w:left w:type="dxa" w:w="100"/>
              <w:bottom w:type="dxa" w:w="80"/>
              <w:right w:type="dxa" w:w="100"/>
            </w:tcMar>
            <w:vAlign w:val="center"/>
          </w:tcPr>
          <w:p>
            <w:r>
              <w:rPr>
                <w:b w:val="false"/>
                <w:bCs w:val="false"/>
                <w:sz w:val="19"/>
                <w:szCs w:val="19"/>
              </w:rPr>
              <w:t xml:space="preserve"/>
            </w:r>
          </w:p>
        </w:tc>
        <w:tc>
          <w:tcPr>
            <w:tcW w:type="dxa" w:w="1560"/>
            <w:tcMar>
              <w:top w:type="dxa" w:w="80"/>
              <w:left w:type="dxa" w:w="100"/>
              <w:bottom w:type="dxa" w:w="80"/>
              <w:right w:type="dxa" w:w="100"/>
            </w:tcMar>
            <w:vAlign w:val="center"/>
          </w:tcPr>
          <w:p>
            <w:r>
              <w:rPr>
                <w:b w:val="false"/>
                <w:bCs w:val="false"/>
                <w:sz w:val="19"/>
                <w:szCs w:val="19"/>
              </w:rPr>
              <w:t xml:space="preserve">≈ 214.6 Mbps</w:t>
            </w:r>
          </w:p>
        </w:tc>
        <w:tc>
          <w:tcPr>
            <w:tcW w:type="dxa" w:w="1560"/>
            <w:tcMar>
              <w:top w:type="dxa" w:w="80"/>
              <w:left w:type="dxa" w:w="100"/>
              <w:bottom w:type="dxa" w:w="80"/>
              <w:right w:type="dxa" w:w="100"/>
            </w:tcMar>
            <w:vAlign w:val="center"/>
          </w:tcPr>
          <w:p>
            <w:r>
              <w:rPr>
                <w:b w:val="false"/>
                <w:bCs w:val="false"/>
                <w:sz w:val="19"/>
                <w:szCs w:val="19"/>
              </w:rPr>
              <w:t xml:space="preserve">≈ 321.6 Mbps</w:t>
            </w:r>
          </w:p>
        </w:tc>
      </w:tr>
    </w:tbl>
    <w:p>
      <w:pPr>
        <w:spacing w:after="200"/>
      </w:pPr>
    </w:p>
    <w:p>
      <w:pPr>
        <w:pStyle w:val="Heading3"/>
        <w:spacing w:after="180" w:before="320"/>
      </w:pPr>
      <w:r>
        <w:t xml:space="preserve">2.3 Metodología de dimensionamiento — por qué el tráfico interno "supera" el ancho de banda de Internet (y por qué eso es correcto)</w:t>
      </w:r>
    </w:p>
    <w:p>
      <w:pPr>
        <w:spacing w:after="160"/>
        <w:jc w:val="both"/>
      </w:pPr>
      <w:r>
        <w:rPr>
          <w:sz w:val="21"/>
          <w:szCs w:val="21"/>
        </w:rPr>
        <w:t xml:space="preserve">La demanda interna en hora pico (~321 Mbps) supera ampliamente los 2×10 Mbps de Internet contratados. </w:t>
      </w:r>
      <w:r>
        <w:rPr>
          <w:b/>
          <w:bCs/>
          <w:sz w:val="21"/>
          <w:szCs w:val="21"/>
        </w:rPr>
        <w:t xml:space="preserve">Esto no es un error de diseño</w:t>
      </w:r>
      <w:r>
        <w:rPr>
          <w:sz w:val="21"/>
          <w:szCs w:val="21"/>
        </w:rPr>
        <w:t xml:space="preserve"> — es el resultado esperado de aplicar correctamente el concepto de </w:t>
      </w:r>
      <w:r>
        <w:rPr>
          <w:b/>
          <w:bCs/>
          <w:sz w:val="21"/>
          <w:szCs w:val="21"/>
        </w:rPr>
        <w:t xml:space="preserve">sobre-suscripción (oversubscription)</w:t>
      </w:r>
      <w:r>
        <w:rPr>
          <w:sz w:val="21"/>
          <w:szCs w:val="21"/>
        </w:rPr>
        <w:t xml:space="preserve"> que se usa en cualquier diseño jerárquico de red:</w:t>
      </w:r>
    </w:p>
    <w:p>
      <w:pPr>
        <w:pStyle w:val="ListParagraph"/>
        <w:numPr>
          <w:ilvl w:val="0"/>
          <w:numId w:val="2"/>
        </w:numPr>
        <w:spacing w:after="80"/>
      </w:pPr>
      <w:r>
        <w:rPr>
          <w:sz w:val="21"/>
          <w:szCs w:val="21"/>
        </w:rPr>
        <w:t xml:space="preserve">El tráfico de Desarrollo I/T (Git interno, builds, CI/CD, transferencias entre servidores) es en su enorme mayoría </w:t>
      </w:r>
      <w:r>
        <w:rPr>
          <w:b/>
          <w:bCs/>
          <w:sz w:val="21"/>
          <w:szCs w:val="21"/>
        </w:rPr>
        <w:t xml:space="preserve">tráfico este-oeste (LAN interna)</w:t>
      </w:r>
      <w:r>
        <w:rPr>
          <w:sz w:val="21"/>
          <w:szCs w:val="21"/>
        </w:rPr>
        <w:t xml:space="preserve"> — nunca toca el enlace WAN. Un </w:t>
      </w:r>
      <w:r>
        <w:rPr>
          <w:rFonts w:ascii="Consolas" w:cs="Consolas" w:eastAsia="Consolas" w:hAnsi="Consolas"/>
          <w:sz w:val="21"/>
          <w:szCs w:val="21"/>
        </w:rPr>
        <w:t xml:space="preserve">git push</w:t>
      </w:r>
      <w:r>
        <w:rPr>
          <w:sz w:val="21"/>
          <w:szCs w:val="21"/>
        </w:rPr>
        <w:t xml:space="preserve"> a un repositorio interno, un build de CI, o una consulta a la base de datos interna se mueve dentro de la LAN a velocidad de switch (1 Gbps por puerto), no a velocidad de Internet.</w:t>
      </w:r>
    </w:p>
    <w:p>
      <w:pPr>
        <w:pStyle w:val="ListParagraph"/>
        <w:numPr>
          <w:ilvl w:val="0"/>
          <w:numId w:val="2"/>
        </w:numPr>
        <w:spacing w:after="80"/>
      </w:pPr>
      <w:r>
        <w:rPr>
          <w:sz w:val="21"/>
          <w:szCs w:val="21"/>
        </w:rPr>
        <w:t xml:space="preserve">Los enlaces de </w:t>
      </w:r>
      <w:r>
        <w:rPr>
          <w:b/>
          <w:bCs/>
          <w:sz w:val="21"/>
          <w:szCs w:val="21"/>
        </w:rPr>
        <w:t xml:space="preserve">acceso</w:t>
      </w:r>
      <w:r>
        <w:rPr>
          <w:sz w:val="21"/>
          <w:szCs w:val="21"/>
        </w:rPr>
        <w:t xml:space="preserve"> (puerto de usuario, 1 Gbps) siempre están sobre-suscritos frente al </w:t>
      </w:r>
      <w:r>
        <w:rPr>
          <w:b/>
          <w:bCs/>
          <w:sz w:val="21"/>
          <w:szCs w:val="21"/>
        </w:rPr>
        <w:t xml:space="preserve">uplink</w:t>
      </w:r>
      <w:r>
        <w:rPr>
          <w:sz w:val="21"/>
          <w:szCs w:val="21"/>
        </w:rPr>
        <w:t xml:space="preserve"> de su switch, y ese uplink a su vez frente al enlace WAN — es la razón de ser del modelo jerárquico (ver 03-Diseno-Logico.md §1): no se dimensiona cada capa para el 100% simultáneo de todos los usuarios, se dimensiona con una relación de sobre-suscripción razonable (típicamente 4:1 a 20:1 entre acceso y distribución en diseños empresariales), confiando en que no todos los usuarios saturan su enlace al mismo tiempo.</w:t>
      </w:r>
    </w:p>
    <w:p>
      <w:pPr>
        <w:pStyle w:val="ListParagraph"/>
        <w:numPr>
          <w:ilvl w:val="0"/>
          <w:numId w:val="2"/>
        </w:numPr>
        <w:spacing w:after="80"/>
      </w:pPr>
      <w:r>
        <w:rPr>
          <w:sz w:val="21"/>
          <w:szCs w:val="21"/>
        </w:rPr>
        <w:t xml:space="preserve">Los 20 Mbps de WAN contratados son el ancho de banda relevante </w:t>
      </w:r>
      <w:r>
        <w:rPr>
          <w:b/>
          <w:bCs/>
          <w:sz w:val="21"/>
          <w:szCs w:val="21"/>
        </w:rPr>
        <w:t xml:space="preserve">solo</w:t>
      </w:r>
      <w:r>
        <w:rPr>
          <w:sz w:val="21"/>
          <w:szCs w:val="21"/>
        </w:rPr>
        <w:t xml:space="preserve"> para lo que realmente sale a Internet: navegación, correo externo, videollamadas con clientes (Ventas), actualizaciones de paquetes, y el tráfico saliente vía Proxy.</w:t>
      </w:r>
    </w:p>
    <w:p>
      <w:pPr>
        <w:spacing w:after="160"/>
        <w:jc w:val="both"/>
      </w:pPr>
      <w:r>
        <w:rPr>
          <w:b/>
          <w:bCs/>
          <w:sz w:val="21"/>
          <w:szCs w:val="21"/>
        </w:rPr>
        <w:t xml:space="preserve">Conclusión de dimensionamiento</w:t>
      </w:r>
      <w:r>
        <w:rPr>
          <w:sz w:val="21"/>
          <w:szCs w:val="21"/>
        </w:rPr>
        <w:t xml:space="preserve">: 20 Mbps agregados (2×10) son suficientes para navegación + correo + videollamadas moderadas de Ventas en el estado actual. Recomendación formal al cliente: monitorear el consumo real vía Zabbix (ver Fase3-LAN-WAN-VPN-Seguridad.md §3) y evaluar ampliar a 2×20 Mbps en un horizonte de 12–18 meses si el uso de videoconferencia externa crece de forma sostenida.</w:t>
      </w:r>
    </w:p>
    <w:p>
      <w:pPr>
        <w:pStyle w:val="Heading2"/>
        <w:spacing w:after="180" w:before="320"/>
      </w:pPr>
      <w:r>
        <w:t xml:space="preserve">3. Análisis de costos</w:t>
      </w:r>
    </w:p>
    <w:p>
      <w:pPr>
        <w:pStyle w:val="Heading3"/>
        <w:spacing w:after="180" w:before="320"/>
      </w:pPr>
      <w:r>
        <w:t xml:space="preserve">3.1 CAPEX vs. OPEX</w:t>
      </w:r>
    </w:p>
    <w:p>
      <w:pPr>
        <w:pStyle w:val="ListParagraph"/>
        <w:numPr>
          <w:ilvl w:val="0"/>
          <w:numId w:val="2"/>
        </w:numPr>
        <w:spacing w:after="80"/>
      </w:pPr>
      <w:r>
        <w:rPr>
          <w:b/>
          <w:bCs/>
          <w:sz w:val="21"/>
          <w:szCs w:val="21"/>
        </w:rPr>
        <w:t xml:space="preserve">CAPEX (inversión inicial)</w:t>
      </w:r>
      <w:r>
        <w:rPr>
          <w:sz w:val="21"/>
          <w:szCs w:val="21"/>
        </w:rPr>
        <w:t xml:space="preserve">: equipo de red, cableado estructurado, racks, UPS — se deprecia en el tiempo (vida útil típica de 5-7 años para equipo de red, 10-15 años para cableado estructurado bien instalado).</w:t>
      </w:r>
    </w:p>
    <w:p>
      <w:pPr>
        <w:pStyle w:val="ListParagraph"/>
        <w:numPr>
          <w:ilvl w:val="0"/>
          <w:numId w:val="2"/>
        </w:numPr>
        <w:spacing w:after="80"/>
      </w:pPr>
      <w:r>
        <w:rPr>
          <w:b/>
          <w:bCs/>
          <w:sz w:val="21"/>
          <w:szCs w:val="21"/>
        </w:rPr>
        <w:t xml:space="preserve">OPEX (costo operativo recurrente)</w:t>
      </w:r>
      <w:r>
        <w:rPr>
          <w:sz w:val="21"/>
          <w:szCs w:val="21"/>
        </w:rPr>
        <w:t xml:space="preserve">: ninguno de software (100% open source), consumo eléctrico del Data Center, eventual soporte/mantenimiento de terceros si se contrata. La ausencia de licenciamiento de software es una decisión de diseño que convierte gran parte de lo que normalmente sería OPEX (licencias anuales) en costo cero recurrente — ahorro estructural, no puntual.</w:t>
      </w:r>
    </w:p>
    <w:p>
      <w:pPr>
        <w:pStyle w:val="Heading3"/>
        <w:spacing w:after="180" w:before="320"/>
      </w:pPr>
      <w:r>
        <w:t xml:space="preserve">3.2 Costo evitado (cost avoidance) — el caso de VoIP</w:t>
      </w:r>
    </w:p>
    <w:p>
      <w:pPr>
        <w:spacing w:after="160"/>
        <w:jc w:val="both"/>
      </w:pPr>
      <w:r>
        <w:rPr>
          <w:sz w:val="21"/>
          <w:szCs w:val="21"/>
        </w:rPr>
        <w:t xml:space="preserve">Comparación conceptual: líneas telefónicas tradicionales facturan por línea + consumo; un troncal VoIP interno sobre la infraestructura de datos ya construida no añade costo marginal por extensión interna, solo el costo del enlace hacia el proveedor de telefonía externa (si se requiere salida a la PSTN). El ahorro exacto depende de la tarifa actual del cliente con su proveedor telefónico (dato que no se provee en el enunciado) — se documenta la lógica del ahorro, no una cifra sin sustento.</w:t>
      </w:r>
    </w:p>
    <w:p>
      <w:pPr>
        <w:pStyle w:val="Heading3"/>
        <w:spacing w:after="180" w:before="320"/>
      </w:pPr>
      <w:r>
        <w:t xml:space="preserve">3.3 Resumen de costos del proyecto</w:t>
      </w:r>
    </w:p>
    <w:p>
      <w:pPr>
        <w:spacing w:after="160"/>
        <w:jc w:val="both"/>
      </w:pPr>
      <w:r>
        <w:rPr>
          <w:sz w:val="21"/>
          <w:szCs w:val="21"/>
        </w:rPr>
        <w:t xml:space="preserve">Ver desglose línea por línea, con precios reales cotizados en Guatemala, en 08-Equipo-Fisico-Presupuesto.md. Se distinguen dos alcances: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Alcance</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Qué incluye</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Total aproximado</w:t>
            </w:r>
          </w:p>
        </w:tc>
      </w:tr>
      <w:tr>
        <w:tc>
          <w:tcPr>
            <w:tcW w:type="dxa" w:w="3120"/>
            <w:tcMar>
              <w:top w:type="dxa" w:w="80"/>
              <w:left w:type="dxa" w:w="100"/>
              <w:bottom w:type="dxa" w:w="80"/>
              <w:right w:type="dxa" w:w="100"/>
            </w:tcMar>
            <w:vAlign w:val="center"/>
          </w:tcPr>
          <w:p>
            <w:r>
              <w:rPr>
                <w:b w:val="false"/>
                <w:bCs w:val="false"/>
                <w:sz w:val="19"/>
                <w:szCs w:val="19"/>
              </w:rPr>
              <w:t xml:space="preserve">Laboratorio de demostración</w:t>
            </w:r>
          </w:p>
        </w:tc>
        <w:tc>
          <w:tcPr>
            <w:tcW w:type="dxa" w:w="3120"/>
            <w:tcMar>
              <w:top w:type="dxa" w:w="80"/>
              <w:left w:type="dxa" w:w="100"/>
              <w:bottom w:type="dxa" w:w="80"/>
              <w:right w:type="dxa" w:w="100"/>
            </w:tcMar>
            <w:vAlign w:val="center"/>
          </w:tcPr>
          <w:p>
            <w:r>
              <w:rPr>
                <w:b w:val="false"/>
                <w:bCs w:val="false"/>
                <w:sz w:val="19"/>
                <w:szCs w:val="19"/>
              </w:rPr>
              <w:t xml:space="preserve">1 router, 1 switch VLAN, cableado mínimo, SSD portátil como servidor</w:t>
            </w:r>
          </w:p>
        </w:tc>
        <w:tc>
          <w:tcPr>
            <w:tcW w:type="dxa" w:w="3120"/>
            <w:tcMar>
              <w:top w:type="dxa" w:w="80"/>
              <w:left w:type="dxa" w:w="100"/>
              <w:bottom w:type="dxa" w:w="80"/>
              <w:right w:type="dxa" w:w="100"/>
            </w:tcMar>
            <w:vAlign w:val="center"/>
          </w:tcPr>
          <w:p>
            <w:r>
              <w:rPr>
                <w:b w:val="false"/>
                <w:bCs w:val="false"/>
                <w:sz w:val="19"/>
                <w:szCs w:val="19"/>
              </w:rPr>
              <w:t xml:space="preserve">≈ Q1,480–1,890</w:t>
            </w:r>
          </w:p>
        </w:tc>
      </w:tr>
      <w:tr>
        <w:tc>
          <w:tcPr>
            <w:tcW w:type="dxa" w:w="3120"/>
            <w:tcMar>
              <w:top w:type="dxa" w:w="80"/>
              <w:left w:type="dxa" w:w="100"/>
              <w:bottom w:type="dxa" w:w="80"/>
              <w:right w:type="dxa" w:w="100"/>
            </w:tcMar>
            <w:vAlign w:val="center"/>
          </w:tcPr>
          <w:p>
            <w:r>
              <w:rPr>
                <w:b w:val="false"/>
                <w:bCs w:val="false"/>
                <w:sz w:val="19"/>
                <w:szCs w:val="19"/>
              </w:rPr>
              <w:t xml:space="preserve">Rollout de producción real</w:t>
            </w:r>
          </w:p>
        </w:tc>
        <w:tc>
          <w:tcPr>
            <w:tcW w:type="dxa" w:w="3120"/>
            <w:tcMar>
              <w:top w:type="dxa" w:w="80"/>
              <w:left w:type="dxa" w:w="100"/>
              <w:bottom w:type="dxa" w:w="80"/>
              <w:right w:type="dxa" w:w="100"/>
            </w:tcMar>
            <w:vAlign w:val="center"/>
          </w:tcPr>
          <w:p>
            <w:r>
              <w:rPr>
                <w:b w:val="false"/>
                <w:bCs w:val="false"/>
                <w:sz w:val="19"/>
                <w:szCs w:val="19"/>
              </w:rPr>
              <w:t xml:space="preserve">Cableado completo para 184 puestos, 4 switches, racks, UPS, teléfonos IP</w:t>
            </w:r>
          </w:p>
        </w:tc>
        <w:tc>
          <w:tcPr>
            <w:tcW w:type="dxa" w:w="3120"/>
            <w:tcMar>
              <w:top w:type="dxa" w:w="80"/>
              <w:left w:type="dxa" w:w="100"/>
              <w:bottom w:type="dxa" w:w="80"/>
              <w:right w:type="dxa" w:w="100"/>
            </w:tcMar>
            <w:vAlign w:val="center"/>
          </w:tcPr>
          <w:p>
            <w:r>
              <w:rPr>
                <w:b w:val="false"/>
                <w:bCs w:val="false"/>
                <w:sz w:val="19"/>
                <w:szCs w:val="19"/>
              </w:rPr>
              <w:t xml:space="preserve">≈ Q88,765 (sin UPS central/generador del Data Center)</w:t>
            </w:r>
          </w:p>
        </w:tc>
      </w:tr>
    </w:tbl>
    <w:p>
      <w:pPr>
        <w:spacing w:after="200"/>
      </w:pPr>
    </w:p>
    <w:p>
      <w:pPr>
        <w:pStyle w:val="Heading2"/>
        <w:spacing w:after="180" w:before="320"/>
      </w:pPr>
      <w:r>
        <w:t xml:space="preserve">4. Cultura organizacional</w:t>
      </w:r>
    </w:p>
    <w:p>
      <w:pPr>
        <w:spacing w:after="160"/>
        <w:jc w:val="both"/>
      </w:pPr>
      <w:r>
        <w:rPr>
          <w:sz w:val="21"/>
          <w:szCs w:val="21"/>
        </w:rPr>
        <w:t xml:space="preserve">Un análisis de cultura organizacional superficial (reducirlo a 2-3 bullets) es uno de los errores más comunes en propuestas de red que después fallan en adopción — la tecnología correcta implementada sin entender cómo la organización realmente trabaja genera resistencia, bypass de controles (shadow IT) o subutilización. Este análisis se desarrolla en 7 dimensiones.</w:t>
      </w:r>
    </w:p>
    <w:p>
      <w:pPr>
        <w:pStyle w:val="Heading3"/>
        <w:spacing w:after="180" w:before="320"/>
      </w:pPr>
      <w:r>
        <w:t xml:space="preserve">4.1 Perfil demográfico y estructura organizacional</w:t>
      </w:r>
    </w:p>
    <w:p>
      <w:pPr>
        <w:spacing w:after="160"/>
        <w:jc w:val="both"/>
      </w:pPr>
      <w:r>
        <w:rPr>
          <w:sz w:val="21"/>
          <w:szCs w:val="21"/>
        </w:rPr>
        <w:t xml:space="preserve">Virtual Solutions tiene una distribución de personal fuertemente inclinada hacia perfiles técnicos: </w:t>
      </w:r>
      <w:r>
        <w:rPr>
          <w:b/>
          <w:bCs/>
          <w:sz w:val="21"/>
          <w:szCs w:val="21"/>
        </w:rPr>
        <w:t xml:space="preserve">110 de 184 personas (59.8%) son de Desarrollo I/T</w:t>
      </w:r>
      <w:r>
        <w:rPr>
          <w:sz w:val="21"/>
          <w:szCs w:val="21"/>
        </w:rPr>
        <w:t xml:space="preserve">, más 12 de Soporte I/T (6.5%) — es decir, </w:t>
      </w:r>
      <w:r>
        <w:rPr>
          <w:b/>
          <w:bCs/>
          <w:sz w:val="21"/>
          <w:szCs w:val="21"/>
        </w:rPr>
        <w:t xml:space="preserve">el 66.3% de la plantilla tiene perfil técnico/tecnológico</w:t>
      </w:r>
      <w:r>
        <w:rPr>
          <w:sz w:val="21"/>
          <w:szCs w:val="21"/>
        </w:rPr>
        <w:t xml:space="preserve">. Esto es atípico frente a una empresa de manufactura o servicios tradicionales, donde I/T suele representar 5-15% de la plantilla, y tiene consecuencias directas de diseño:</w:t>
      </w:r>
    </w:p>
    <w:p>
      <w:pPr>
        <w:pStyle w:val="ListParagraph"/>
        <w:numPr>
          <w:ilvl w:val="0"/>
          <w:numId w:val="2"/>
        </w:numPr>
        <w:spacing w:after="80"/>
      </w:pPr>
      <w:r>
        <w:rPr>
          <w:sz w:val="21"/>
          <w:szCs w:val="21"/>
        </w:rPr>
        <w:t xml:space="preserve">Una plantilla mayoritariamente técnica tiende a tener </w:t>
      </w:r>
      <w:r>
        <w:rPr>
          <w:b/>
          <w:bCs/>
          <w:sz w:val="21"/>
          <w:szCs w:val="21"/>
        </w:rPr>
        <w:t xml:space="preserve">mayor capacidad de auto-servicio</w:t>
      </w:r>
      <w:r>
        <w:rPr>
          <w:sz w:val="21"/>
          <w:szCs w:val="21"/>
        </w:rPr>
        <w:t xml:space="preserve"> (menor necesidad de soporte guiado paso a paso) pero también </w:t>
      </w:r>
      <w:r>
        <w:rPr>
          <w:b/>
          <w:bCs/>
          <w:sz w:val="21"/>
          <w:szCs w:val="21"/>
        </w:rPr>
        <w:t xml:space="preserve">mayor capacidad de encontrar y explotar debilidades de configuración</w:t>
      </w:r>
      <w:r>
        <w:rPr>
          <w:sz w:val="21"/>
          <w:szCs w:val="21"/>
        </w:rPr>
        <w:t xml:space="preserve"> — el diseño de seguridad no puede asumir que "nadie va a intentar nada", debe ser robusto ante usuarios técnicamente capaces.</w:t>
      </w:r>
    </w:p>
    <w:p>
      <w:pPr>
        <w:pStyle w:val="ListParagraph"/>
        <w:numPr>
          <w:ilvl w:val="0"/>
          <w:numId w:val="2"/>
        </w:numPr>
        <w:spacing w:after="80"/>
      </w:pPr>
      <w:r>
        <w:rPr>
          <w:sz w:val="21"/>
          <w:szCs w:val="21"/>
        </w:rPr>
        <w:t xml:space="preserve">La estructura implícita (Administración 14, Ventas 30, Desarrollo 110, Soporte 12) sugiere una organización </w:t>
      </w:r>
      <w:r>
        <w:rPr>
          <w:b/>
          <w:bCs/>
          <w:sz w:val="21"/>
          <w:szCs w:val="21"/>
        </w:rPr>
        <w:t xml:space="preserve">relativamente plana dentro de I/T</w:t>
      </w:r>
      <w:r>
        <w:rPr>
          <w:sz w:val="21"/>
          <w:szCs w:val="21"/>
        </w:rPr>
        <w:t xml:space="preserve"> pero con áreas de negocio (Admin/Ventas) más tradicionales — el diseño de políticas (ver 05-Politicas-Seguridad.md) refleja esto tratando a Desarrollo como un bloque grande con reglas consistentes internamente, mientras Administración recibe controles diferenciados por su exposición a datos financieros.</w:t>
      </w:r>
    </w:p>
    <w:p>
      <w:pPr>
        <w:pStyle w:val="Heading3"/>
        <w:spacing w:after="180" w:before="320"/>
      </w:pPr>
      <w:r>
        <w:t xml:space="preserve">4.2 Cultura técnica y su impacto en la adopción de tecnología</w:t>
      </w:r>
    </w:p>
    <w:p>
      <w:pPr>
        <w:spacing w:after="160"/>
        <w:jc w:val="both"/>
      </w:pPr>
      <w:r>
        <w:rPr>
          <w:sz w:val="21"/>
          <w:szCs w:val="21"/>
        </w:rPr>
        <w:t xml:space="preserve">Al ser mayoritariamente una organización de desarrollo de software:</w:t>
      </w:r>
    </w:p>
    <w:p>
      <w:pPr>
        <w:pStyle w:val="ListParagraph"/>
        <w:numPr>
          <w:ilvl w:val="0"/>
          <w:numId w:val="2"/>
        </w:numPr>
        <w:spacing w:after="80"/>
      </w:pPr>
      <w:r>
        <w:rPr>
          <w:b/>
          <w:bCs/>
          <w:sz w:val="21"/>
          <w:szCs w:val="21"/>
        </w:rPr>
        <w:t xml:space="preserve">Alta tolerancia y hasta preferencia por herramientas open source self-hosted</w:t>
      </w:r>
      <w:r>
        <w:rPr>
          <w:sz w:val="21"/>
          <w:szCs w:val="21"/>
        </w:rPr>
        <w:t xml:space="preserve"> — validado directamente por el hecho de que el enunciado exige "solo open source" para la Nube Privada, lo cual encaja naturalmente con esta cultura en vez de generar fricción, como podría ocurrir en una organización acostumbrada a suites comerciales (Microsoft 365, Google Workspace).</w:t>
      </w:r>
    </w:p>
    <w:p>
      <w:pPr>
        <w:pStyle w:val="ListParagraph"/>
        <w:numPr>
          <w:ilvl w:val="0"/>
          <w:numId w:val="2"/>
        </w:numPr>
        <w:spacing w:after="80"/>
      </w:pPr>
      <w:r>
        <w:rPr>
          <w:b/>
          <w:bCs/>
          <w:sz w:val="21"/>
          <w:szCs w:val="21"/>
        </w:rPr>
        <w:t xml:space="preserve">Expectativa de automatización e infraestructura como código</w:t>
      </w:r>
      <w:r>
        <w:rPr>
          <w:sz w:val="21"/>
          <w:szCs w:val="21"/>
        </w:rPr>
        <w:t xml:space="preserve"> — un equipo de desarrollo espera (y sabe operar) herramientas como Terraform/Ansible/Git; esto reduce significativamente la resistencia al modelo de gestión de cambios basado en Pull Requests (ver 05-Politicas-Seguridad.md §1.12) que en una organización no técnica requeriría capacitación extensa.</w:t>
      </w:r>
    </w:p>
    <w:p>
      <w:pPr>
        <w:pStyle w:val="ListParagraph"/>
        <w:numPr>
          <w:ilvl w:val="0"/>
          <w:numId w:val="2"/>
        </w:numPr>
        <w:spacing w:after="80"/>
      </w:pPr>
      <w:r>
        <w:rPr>
          <w:b/>
          <w:bCs/>
          <w:sz w:val="21"/>
          <w:szCs w:val="21"/>
        </w:rPr>
        <w:t xml:space="preserve">Riesgo de "shadow IT"</w:t>
      </w:r>
      <w:r>
        <w:rPr>
          <w:sz w:val="21"/>
          <w:szCs w:val="21"/>
        </w:rPr>
        <w:t xml:space="preserve">: personal técnico capaz de levantar sus propias herramientas no autorizadas (un servidor casero, un túnel no oficial) si el proceso oficial es percibido como lento — el diseño mitiga esto ofreciendo herramientas self-service reales (VPN simple con WireGuard, Nextcloud) en vez de procesos burocráticos que inviten a buscar atajos.</w:t>
      </w:r>
    </w:p>
    <w:p>
      <w:pPr>
        <w:pStyle w:val="Heading3"/>
        <w:spacing w:after="180" w:before="320"/>
      </w:pPr>
      <w:r>
        <w:t xml:space="preserve">4.3 Modelo de trabajo remoto/híbrido y sus implicaciones</w:t>
      </w:r>
    </w:p>
    <w:p>
      <w:pPr>
        <w:spacing w:after="160"/>
        <w:jc w:val="both"/>
      </w:pPr>
      <w:r>
        <w:rPr>
          <w:sz w:val="21"/>
          <w:szCs w:val="21"/>
        </w:rPr>
        <w:t xml:space="preserve">El cliente declaró explícitamente el fomento de "trabajo a distancia y formación de equipos de trabajo virtuales". Esto no es un beneficio adicional en el diseño — es un requisito de primera clase:</w:t>
      </w:r>
    </w:p>
    <w:p>
      <w:pPr>
        <w:pStyle w:val="ListParagraph"/>
        <w:numPr>
          <w:ilvl w:val="0"/>
          <w:numId w:val="2"/>
        </w:numPr>
        <w:spacing w:after="80"/>
      </w:pPr>
      <w:r>
        <w:rPr>
          <w:sz w:val="21"/>
          <w:szCs w:val="21"/>
        </w:rPr>
        <w:t xml:space="preserve">La VPN (WireGuard) y la intranet (Nextcloud) se diseñaron con la misma prioridad que la LAN física, no como un anexo de "acceso remoto básico" (ver Fase3-LAN-WAN-VPN-Seguridad.md).</w:t>
      </w:r>
    </w:p>
    <w:p>
      <w:pPr>
        <w:pStyle w:val="ListParagraph"/>
        <w:numPr>
          <w:ilvl w:val="0"/>
          <w:numId w:val="2"/>
        </w:numPr>
        <w:spacing w:after="80"/>
      </w:pPr>
      <w:r>
        <w:rPr>
          <w:sz w:val="21"/>
          <w:szCs w:val="21"/>
        </w:rPr>
        <w:t xml:space="preserve">Un modelo híbrido implica que la capacidad de VPN debe dimensionarse pensando en picos de uso (ej. un evento que obligue a todo Ventas a trabajar remoto simultáneamente), no solo en el uso promedio diario.</w:t>
      </w:r>
    </w:p>
    <w:p>
      <w:pPr>
        <w:pStyle w:val="ListParagraph"/>
        <w:numPr>
          <w:ilvl w:val="0"/>
          <w:numId w:val="2"/>
        </w:numPr>
        <w:spacing w:after="80"/>
      </w:pPr>
      <w:r>
        <w:rPr>
          <w:sz w:val="21"/>
          <w:szCs w:val="21"/>
        </w:rPr>
        <w:t xml:space="preserve">La cultura de trabajo remoto de una empresa de software suele acompañarse de </w:t>
      </w:r>
      <w:r>
        <w:rPr>
          <w:b/>
          <w:bCs/>
          <w:sz w:val="21"/>
          <w:szCs w:val="21"/>
        </w:rPr>
        <w:t xml:space="preserve">comunicación asíncrona</w:t>
      </w:r>
      <w:r>
        <w:rPr>
          <w:sz w:val="21"/>
          <w:szCs w:val="21"/>
        </w:rPr>
        <w:t xml:space="preserve"> (tickets, chat, documentación) más que de reuniones presenciales constantes — refuerza la necesidad de una intranet robusta como fuente única de verdad de la información interna, no solo un repositorio de archivos.</w:t>
      </w:r>
    </w:p>
    <w:p>
      <w:pPr>
        <w:pStyle w:val="Heading3"/>
        <w:spacing w:after="180" w:before="320"/>
      </w:pPr>
      <w:r>
        <w:t xml:space="preserve">4.4 Gestión del cambio y capacitación</w:t>
      </w:r>
    </w:p>
    <w:p>
      <w:pPr>
        <w:pStyle w:val="ListParagraph"/>
        <w:numPr>
          <w:ilvl w:val="0"/>
          <w:numId w:val="2"/>
        </w:numPr>
        <w:spacing w:after="80"/>
      </w:pPr>
      <w:r>
        <w:rPr>
          <w:sz w:val="21"/>
          <w:szCs w:val="21"/>
        </w:rPr>
        <w:t xml:space="preserve">Dado el perfil técnico dominante, la </w:t>
      </w:r>
      <w:r>
        <w:rPr>
          <w:b/>
          <w:bCs/>
          <w:sz w:val="21"/>
          <w:szCs w:val="21"/>
        </w:rPr>
        <w:t xml:space="preserve">curva de adopción de MFA, VPN y políticas de acceso más estrictas será más corta</w:t>
      </w:r>
      <w:r>
        <w:rPr>
          <w:sz w:val="21"/>
          <w:szCs w:val="21"/>
        </w:rPr>
        <w:t xml:space="preserve"> que en una organización no técnica — se puede introducir con documentación técnica directa (un README, no necesariamente una capacitación presencial extensa) para el 66% técnico de la plantilla.</w:t>
      </w:r>
    </w:p>
    <w:p>
      <w:pPr>
        <w:pStyle w:val="ListParagraph"/>
        <w:numPr>
          <w:ilvl w:val="0"/>
          <w:numId w:val="2"/>
        </w:numPr>
        <w:spacing w:after="80"/>
      </w:pPr>
      <w:r>
        <w:rPr>
          <w:sz w:val="21"/>
          <w:szCs w:val="21"/>
        </w:rPr>
        <w:t xml:space="preserve">Para el 34% no técnico (Administración, Ventas, parte de Recepción), sí se requiere una estrategia de capacitación diferenciada: sesiones guiadas, no solo documentación — reconocido explícitamente en la política de concientización de phishing (05-Politicas-Seguridad.md §1.14), que aplica a todos pero se refuerza particularmente en las áreas de menor exposición técnica previa.</w:t>
      </w:r>
    </w:p>
    <w:p>
      <w:pPr>
        <w:pStyle w:val="Heading3"/>
        <w:spacing w:after="180" w:before="320"/>
      </w:pPr>
      <w:r>
        <w:t xml:space="preserve">4.5 Cultura de cumplimiento (dado el manejo de recursos monetarios)</w:t>
      </w:r>
    </w:p>
    <w:p>
      <w:pPr>
        <w:spacing w:after="160"/>
        <w:jc w:val="both"/>
      </w:pPr>
      <w:r>
        <w:rPr>
          <w:sz w:val="21"/>
          <w:szCs w:val="21"/>
        </w:rPr>
        <w:t xml:space="preserve">El manejo explícito de "recursos monetarios" introduce una tensión cultural real: una empresa de desarrollo de software tiende culturalmente hacia la velocidad y la experimentación (moverse rápido, iterar), mientras que el manejo de datos financieros exige el opuesto (controles, aprobaciones, trazabilidad). El diseño resuelve esta tensión </w:t>
      </w:r>
      <w:r>
        <w:rPr>
          <w:b/>
          <w:bCs/>
          <w:sz w:val="21"/>
          <w:szCs w:val="21"/>
        </w:rPr>
        <w:t xml:space="preserve">segmentando el rigor por área</w:t>
      </w:r>
      <w:r>
        <w:rPr>
          <w:sz w:val="21"/>
          <w:szCs w:val="21"/>
        </w:rPr>
        <w:t xml:space="preserve">, no aplicando el mismo nivel de control a toda la empresa:</w:t>
      </w:r>
    </w:p>
    <w:p>
      <w:pPr>
        <w:pStyle w:val="ListParagraph"/>
        <w:numPr>
          <w:ilvl w:val="0"/>
          <w:numId w:val="2"/>
        </w:numPr>
        <w:spacing w:after="80"/>
      </w:pPr>
      <w:r>
        <w:rPr>
          <w:sz w:val="21"/>
          <w:szCs w:val="21"/>
        </w:rPr>
        <w:t xml:space="preserve">Administración/Finanzas y Servidores reciben el tratamiento más estricto (VLAN separada, MFA, revisión de accesos, ver 05-Politicas-Seguridad.md §1.1).</w:t>
      </w:r>
    </w:p>
    <w:p>
      <w:pPr>
        <w:pStyle w:val="ListParagraph"/>
        <w:numPr>
          <w:ilvl w:val="0"/>
          <w:numId w:val="2"/>
        </w:numPr>
        <w:spacing w:after="80"/>
      </w:pPr>
      <w:r>
        <w:rPr>
          <w:sz w:val="21"/>
          <w:szCs w:val="21"/>
        </w:rPr>
        <w:t xml:space="preserve">Desarrollo I/T mantiene mayor agilidad operativa (acceso amplio a herramientas de desarrollo) porque su perfil de riesgo es distinto y una fricción excesiva ahí sí tendría costo real en productividad, sin beneficio proporcional de seguridad.</w:t>
      </w:r>
    </w:p>
    <w:p>
      <w:pPr>
        <w:pStyle w:val="Heading3"/>
        <w:spacing w:after="180" w:before="320"/>
      </w:pPr>
      <w:r>
        <w:t xml:space="preserve">4.6 Comunicación interdepartamental y necesidades de colaboración</w:t>
      </w:r>
    </w:p>
    <w:p>
      <w:pPr>
        <w:spacing w:after="160"/>
        <w:jc w:val="both"/>
      </w:pPr>
      <w:r>
        <w:rPr>
          <w:sz w:val="21"/>
          <w:szCs w:val="21"/>
        </w:rPr>
        <w:t xml:space="preserve">Ventas necesita interactuar fluidamente con clientes </w:t>
      </w:r>
      <w:r>
        <w:rPr>
          <w:b/>
          <w:bCs/>
          <w:sz w:val="21"/>
          <w:szCs w:val="21"/>
        </w:rPr>
        <w:t xml:space="preserve">externos</w:t>
      </w:r>
      <w:r>
        <w:rPr>
          <w:sz w:val="21"/>
          <w:szCs w:val="21"/>
        </w:rPr>
        <w:t xml:space="preserve"> (videollamadas, CRM), mientras Desarrollo colabora mayoritariamente </w:t>
      </w:r>
      <w:r>
        <w:rPr>
          <w:b/>
          <w:bCs/>
          <w:sz w:val="21"/>
          <w:szCs w:val="21"/>
        </w:rPr>
        <w:t xml:space="preserve">interno</w:t>
      </w:r>
      <w:r>
        <w:rPr>
          <w:sz w:val="21"/>
          <w:szCs w:val="21"/>
        </w:rPr>
        <w:t xml:space="preserve"> (Git, code review, CI/CD) — esta diferencia de "frontera de confianza" ya está reflejada en el diseño de VLANs y en la DMZ (03-Diseno-Logico.md): Ventas no requiere una DMZ propia, pero sí buena salida a Internet; Desarrollo requiere alto ancho de banda interno más que salida externa.</w:t>
      </w:r>
    </w:p>
    <w:p>
      <w:pPr>
        <w:pStyle w:val="Heading3"/>
        <w:spacing w:after="180" w:before="320"/>
      </w:pPr>
      <w:r>
        <w:t xml:space="preserve">4.7 Rotación de personal e implicaciones en gestión de identidad</w:t>
      </w:r>
    </w:p>
    <w:p>
      <w:pPr>
        <w:spacing w:after="160"/>
        <w:jc w:val="both"/>
      </w:pPr>
      <w:r>
        <w:rPr>
          <w:sz w:val="21"/>
          <w:szCs w:val="21"/>
        </w:rPr>
        <w:t xml:space="preserve">Las empresas de desarrollo de software tienen, como patrón de industria, una rotación de personal técnico más alta que áreas administrativas tradicionales. Esto se traduce directamente en un requerimiento técnico: la política de alta/baja de usuarios (05-Politicas-Seguridad.md §1.1) exige revocación </w:t>
      </w:r>
      <w:r>
        <w:rPr>
          <w:b/>
          <w:bCs/>
          <w:sz w:val="21"/>
          <w:szCs w:val="21"/>
        </w:rPr>
        <w:t xml:space="preserve">el mismo día</w:t>
      </w:r>
      <w:r>
        <w:rPr>
          <w:sz w:val="21"/>
          <w:szCs w:val="21"/>
        </w:rPr>
        <w:t xml:space="preserve"> de desvinculación, precisamente porque en un contexto de alta rotación, un proceso de baja lento acumula cuentas huérfanas activas — uno de los hallazgos de seguridad más comunes en auditorías reales.</w:t>
      </w:r>
    </w:p>
    <w:p>
      <w:pPr>
        <w:pStyle w:val="Heading3"/>
        <w:spacing w:after="180" w:before="320"/>
      </w:pPr>
      <w:r>
        <w:t xml:space="preserve">4.8 Síntesis: de hallazgo cultural a decisión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b/>
                <w:bCs/>
                <w:color w:val="FFFFFF"/>
                <w:sz w:val="19"/>
                <w:szCs w:val="19"/>
              </w:rPr>
              <w:t xml:space="preserve">Hallazgo cultural</w:t>
            </w:r>
          </w:p>
        </w:tc>
        <w:tc>
          <w:tcPr>
            <w:tcW w:type="dxa" w:w="4680"/>
            <w:shd w:fill="1F3864" w:color="auto" w:val="clear"/>
            <w:tcMar>
              <w:top w:type="dxa" w:w="80"/>
              <w:left w:type="dxa" w:w="100"/>
              <w:bottom w:type="dxa" w:w="80"/>
              <w:right w:type="dxa" w:w="100"/>
            </w:tcMar>
            <w:vAlign w:val="center"/>
          </w:tcPr>
          <w:p>
            <w:r>
              <w:rPr>
                <w:b/>
                <w:bCs/>
                <w:color w:val="FFFFFF"/>
                <w:sz w:val="19"/>
                <w:szCs w:val="19"/>
              </w:rPr>
              <w:t xml:space="preserve">Decisión técnica derivada</w:t>
            </w:r>
          </w:p>
        </w:tc>
      </w:tr>
      <w:tr>
        <w:tc>
          <w:tcPr>
            <w:tcW w:type="dxa" w:w="4680"/>
            <w:tcMar>
              <w:top w:type="dxa" w:w="80"/>
              <w:left w:type="dxa" w:w="100"/>
              <w:bottom w:type="dxa" w:w="80"/>
              <w:right w:type="dxa" w:w="100"/>
            </w:tcMar>
            <w:vAlign w:val="center"/>
          </w:tcPr>
          <w:p>
            <w:r>
              <w:rPr>
                <w:b w:val="false"/>
                <w:bCs w:val="false"/>
                <w:sz w:val="19"/>
                <w:szCs w:val="19"/>
              </w:rPr>
              <w:t xml:space="preserve">66% de plantilla técnica</w:t>
            </w:r>
          </w:p>
        </w:tc>
        <w:tc>
          <w:tcPr>
            <w:tcW w:type="dxa" w:w="4680"/>
            <w:tcMar>
              <w:top w:type="dxa" w:w="80"/>
              <w:left w:type="dxa" w:w="100"/>
              <w:bottom w:type="dxa" w:w="80"/>
              <w:right w:type="dxa" w:w="100"/>
            </w:tcMar>
            <w:vAlign w:val="center"/>
          </w:tcPr>
          <w:p>
            <w:r>
              <w:rPr>
                <w:b w:val="false"/>
                <w:bCs w:val="false"/>
                <w:sz w:val="19"/>
                <w:szCs w:val="19"/>
              </w:rPr>
              <w:t xml:space="preserve">Seguridad robusta que no depende de "nadie sabe cómo saltársela"; automatización con IaC aceptada culturalmente</w:t>
            </w:r>
          </w:p>
        </w:tc>
      </w:tr>
      <w:tr>
        <w:tc>
          <w:tcPr>
            <w:tcW w:type="dxa" w:w="4680"/>
            <w:tcMar>
              <w:top w:type="dxa" w:w="80"/>
              <w:left w:type="dxa" w:w="100"/>
              <w:bottom w:type="dxa" w:w="80"/>
              <w:right w:type="dxa" w:w="100"/>
            </w:tcMar>
            <w:vAlign w:val="center"/>
          </w:tcPr>
          <w:p>
            <w:r>
              <w:rPr>
                <w:b w:val="false"/>
                <w:bCs w:val="false"/>
                <w:sz w:val="19"/>
                <w:szCs w:val="19"/>
              </w:rPr>
              <w:t xml:space="preserve">Preferencia por open source</w:t>
            </w:r>
          </w:p>
        </w:tc>
        <w:tc>
          <w:tcPr>
            <w:tcW w:type="dxa" w:w="4680"/>
            <w:tcMar>
              <w:top w:type="dxa" w:w="80"/>
              <w:left w:type="dxa" w:w="100"/>
              <w:bottom w:type="dxa" w:w="80"/>
              <w:right w:type="dxa" w:w="100"/>
            </w:tcMar>
            <w:vAlign w:val="center"/>
          </w:tcPr>
          <w:p>
            <w:r>
              <w:rPr>
                <w:b w:val="false"/>
                <w:bCs w:val="false"/>
                <w:sz w:val="19"/>
                <w:szCs w:val="19"/>
              </w:rPr>
              <w:t xml:space="preserve">Viable exigir 100% open source sin generar resistencia de adopción</w:t>
            </w:r>
          </w:p>
        </w:tc>
      </w:tr>
      <w:tr>
        <w:tc>
          <w:tcPr>
            <w:tcW w:type="dxa" w:w="4680"/>
            <w:tcMar>
              <w:top w:type="dxa" w:w="80"/>
              <w:left w:type="dxa" w:w="100"/>
              <w:bottom w:type="dxa" w:w="80"/>
              <w:right w:type="dxa" w:w="100"/>
            </w:tcMar>
            <w:vAlign w:val="center"/>
          </w:tcPr>
          <w:p>
            <w:r>
              <w:rPr>
                <w:b w:val="false"/>
                <w:bCs w:val="false"/>
                <w:sz w:val="19"/>
                <w:szCs w:val="19"/>
              </w:rPr>
              <w:t xml:space="preserve">Fomento de trabajo remoto</w:t>
            </w:r>
          </w:p>
        </w:tc>
        <w:tc>
          <w:tcPr>
            <w:tcW w:type="dxa" w:w="4680"/>
            <w:tcMar>
              <w:top w:type="dxa" w:w="80"/>
              <w:left w:type="dxa" w:w="100"/>
              <w:bottom w:type="dxa" w:w="80"/>
              <w:right w:type="dxa" w:w="100"/>
            </w:tcMar>
            <w:vAlign w:val="center"/>
          </w:tcPr>
          <w:p>
            <w:r>
              <w:rPr>
                <w:b w:val="false"/>
                <w:bCs w:val="false"/>
                <w:sz w:val="19"/>
                <w:szCs w:val="19"/>
              </w:rPr>
              <w:t xml:space="preserve">VPN + intranet con prioridad de diseño equivalente a la LAN física</w:t>
            </w:r>
          </w:p>
        </w:tc>
      </w:tr>
      <w:tr>
        <w:tc>
          <w:tcPr>
            <w:tcW w:type="dxa" w:w="4680"/>
            <w:tcMar>
              <w:top w:type="dxa" w:w="80"/>
              <w:left w:type="dxa" w:w="100"/>
              <w:bottom w:type="dxa" w:w="80"/>
              <w:right w:type="dxa" w:w="100"/>
            </w:tcMar>
            <w:vAlign w:val="center"/>
          </w:tcPr>
          <w:p>
            <w:r>
              <w:rPr>
                <w:b w:val="false"/>
                <w:bCs w:val="false"/>
                <w:sz w:val="19"/>
                <w:szCs w:val="19"/>
              </w:rPr>
              <w:t xml:space="preserve">Manejo de fondos + cultura ágil de desarrollo</w:t>
            </w:r>
          </w:p>
        </w:tc>
        <w:tc>
          <w:tcPr>
            <w:tcW w:type="dxa" w:w="4680"/>
            <w:tcMar>
              <w:top w:type="dxa" w:w="80"/>
              <w:left w:type="dxa" w:w="100"/>
              <w:bottom w:type="dxa" w:w="80"/>
              <w:right w:type="dxa" w:w="100"/>
            </w:tcMar>
            <w:vAlign w:val="center"/>
          </w:tcPr>
          <w:p>
            <w:r>
              <w:rPr>
                <w:b w:val="false"/>
                <w:bCs w:val="false"/>
                <w:sz w:val="19"/>
                <w:szCs w:val="19"/>
              </w:rPr>
              <w:t xml:space="preserve">Rigor de seguridad segmentado por área, no uniforme</w:t>
            </w:r>
          </w:p>
        </w:tc>
      </w:tr>
      <w:tr>
        <w:tc>
          <w:tcPr>
            <w:tcW w:type="dxa" w:w="4680"/>
            <w:tcMar>
              <w:top w:type="dxa" w:w="80"/>
              <w:left w:type="dxa" w:w="100"/>
              <w:bottom w:type="dxa" w:w="80"/>
              <w:right w:type="dxa" w:w="100"/>
            </w:tcMar>
            <w:vAlign w:val="center"/>
          </w:tcPr>
          <w:p>
            <w:r>
              <w:rPr>
                <w:b w:val="false"/>
                <w:bCs w:val="false"/>
                <w:sz w:val="19"/>
                <w:szCs w:val="19"/>
              </w:rPr>
              <w:t xml:space="preserve">Necesidad de Ventas de contacto externo</w:t>
            </w:r>
          </w:p>
        </w:tc>
        <w:tc>
          <w:tcPr>
            <w:tcW w:type="dxa" w:w="4680"/>
            <w:tcMar>
              <w:top w:type="dxa" w:w="80"/>
              <w:left w:type="dxa" w:w="100"/>
              <w:bottom w:type="dxa" w:w="80"/>
              <w:right w:type="dxa" w:w="100"/>
            </w:tcMar>
            <w:vAlign w:val="center"/>
          </w:tcPr>
          <w:p>
            <w:r>
              <w:rPr>
                <w:b w:val="false"/>
                <w:bCs w:val="false"/>
                <w:sz w:val="19"/>
                <w:szCs w:val="19"/>
              </w:rPr>
              <w:t xml:space="preserve">DMZ y salida a Internet priorizada para esa VLAN específica</w:t>
            </w:r>
          </w:p>
        </w:tc>
      </w:tr>
      <w:tr>
        <w:tc>
          <w:tcPr>
            <w:tcW w:type="dxa" w:w="4680"/>
            <w:tcMar>
              <w:top w:type="dxa" w:w="80"/>
              <w:left w:type="dxa" w:w="100"/>
              <w:bottom w:type="dxa" w:w="80"/>
              <w:right w:type="dxa" w:w="100"/>
            </w:tcMar>
            <w:vAlign w:val="center"/>
          </w:tcPr>
          <w:p>
            <w:r>
              <w:rPr>
                <w:b w:val="false"/>
                <w:bCs w:val="false"/>
                <w:sz w:val="19"/>
                <w:szCs w:val="19"/>
              </w:rPr>
              <w:t xml:space="preserve">Rotación esperable de personal técnico</w:t>
            </w:r>
          </w:p>
        </w:tc>
        <w:tc>
          <w:tcPr>
            <w:tcW w:type="dxa" w:w="4680"/>
            <w:tcMar>
              <w:top w:type="dxa" w:w="80"/>
              <w:left w:type="dxa" w:w="100"/>
              <w:bottom w:type="dxa" w:w="80"/>
              <w:right w:type="dxa" w:w="100"/>
            </w:tcMar>
            <w:vAlign w:val="center"/>
          </w:tcPr>
          <w:p>
            <w:r>
              <w:rPr>
                <w:b w:val="false"/>
                <w:bCs w:val="false"/>
                <w:sz w:val="19"/>
                <w:szCs w:val="19"/>
              </w:rPr>
              <w:t xml:space="preserve">Política de baja inmediata de accesos, cuentas nominales auditable</w:t>
            </w:r>
          </w:p>
        </w:tc>
      </w:tr>
    </w:tbl>
    <w:p>
      <w:pPr>
        <w:spacing w:after="200"/>
      </w:pPr>
    </w:p>
    <w:p>
      <w:pPr>
        <w:pStyle w:val="Heading1"/>
        <w:spacing w:after="180" w:before="480"/>
      </w:pPr>
      <w:r>
        <w:t xml:space="preserve">Punto 3 — Diseño Lógico de la Red Corporativa</w:t>
      </w:r>
    </w:p>
    <w:p>
      <w:pPr>
        <w:pStyle w:val="Heading2"/>
        <w:spacing w:after="180" w:before="320"/>
      </w:pPr>
      <w:r>
        <w:t xml:space="preserve">1. Modelo de diseño: jerárquico de 3 capas (Core – Distribución – Acceso)</w:t>
      </w:r>
    </w:p>
    <w:p>
      <w:pPr>
        <w:spacing w:after="160"/>
        <w:jc w:val="both"/>
      </w:pPr>
      <w:r>
        <w:rPr>
          <w:sz w:val="21"/>
          <w:szCs w:val="21"/>
        </w:rPr>
        <w:t xml:space="preserve">Se adopta el </w:t>
      </w:r>
      <w:r>
        <w:rPr>
          <w:b/>
          <w:bCs/>
          <w:sz w:val="21"/>
          <w:szCs w:val="21"/>
        </w:rPr>
        <w:t xml:space="preserve">modelo jerárquico de 3 capas</w:t>
      </w:r>
      <w:r>
        <w:rPr>
          <w:sz w:val="21"/>
          <w:szCs w:val="21"/>
        </w:rPr>
        <w:t xml:space="preserve"> (Core / Distribution / Access), el marco de referencia estándar de la industria para redes empresariales de este tamaño (popularizado por Cisco, pero es un principio de diseño agnóstico de fabricante):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Capa</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Función</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Elemento en este diseño</w:t>
            </w:r>
          </w:p>
        </w:tc>
      </w:tr>
      <w:tr>
        <w:tc>
          <w:tcPr>
            <w:tcW w:type="dxa" w:w="3120"/>
            <w:tcMar>
              <w:top w:type="dxa" w:w="80"/>
              <w:left w:type="dxa" w:w="100"/>
              <w:bottom w:type="dxa" w:w="80"/>
              <w:right w:type="dxa" w:w="100"/>
            </w:tcMar>
            <w:vAlign w:val="center"/>
          </w:tcPr>
          <w:p>
            <w:r>
              <w:rPr>
                <w:b w:val="false"/>
                <w:bCs w:val="false"/>
                <w:sz w:val="19"/>
                <w:szCs w:val="19"/>
              </w:rPr>
              <w:t xml:space="preserve">Core</w:t>
            </w:r>
          </w:p>
        </w:tc>
        <w:tc>
          <w:tcPr>
            <w:tcW w:type="dxa" w:w="3120"/>
            <w:tcMar>
              <w:top w:type="dxa" w:w="80"/>
              <w:left w:type="dxa" w:w="100"/>
              <w:bottom w:type="dxa" w:w="80"/>
              <w:right w:type="dxa" w:w="100"/>
            </w:tcMar>
            <w:vAlign w:val="center"/>
          </w:tcPr>
          <w:p>
            <w:r>
              <w:rPr>
                <w:b w:val="false"/>
                <w:bCs w:val="false"/>
                <w:sz w:val="19"/>
                <w:szCs w:val="19"/>
              </w:rPr>
              <w:t xml:space="preserve">Enrutamiento de alta velocidad entre todas las VLANs, punto de salida a WAN</w:t>
            </w:r>
          </w:p>
        </w:tc>
        <w:tc>
          <w:tcPr>
            <w:tcW w:type="dxa" w:w="3120"/>
            <w:tcMar>
              <w:top w:type="dxa" w:w="80"/>
              <w:left w:type="dxa" w:w="100"/>
              <w:bottom w:type="dxa" w:w="80"/>
              <w:right w:type="dxa" w:w="100"/>
            </w:tcMar>
            <w:vAlign w:val="center"/>
          </w:tcPr>
          <w:p>
            <w:r>
              <w:rPr>
                <w:b w:val="false"/>
                <w:bCs w:val="false"/>
                <w:sz w:val="19"/>
                <w:szCs w:val="19"/>
              </w:rPr>
              <w:t xml:space="preserve">R1 (MikroTik RouterOS), Capa 3</w:t>
            </w:r>
          </w:p>
        </w:tc>
      </w:tr>
      <w:tr>
        <w:tc>
          <w:tcPr>
            <w:tcW w:type="dxa" w:w="3120"/>
            <w:tcMar>
              <w:top w:type="dxa" w:w="80"/>
              <w:left w:type="dxa" w:w="100"/>
              <w:bottom w:type="dxa" w:w="80"/>
              <w:right w:type="dxa" w:w="100"/>
            </w:tcMar>
            <w:vAlign w:val="center"/>
          </w:tcPr>
          <w:p>
            <w:r>
              <w:rPr>
                <w:b w:val="false"/>
                <w:bCs w:val="false"/>
                <w:sz w:val="19"/>
                <w:szCs w:val="19"/>
              </w:rPr>
              <w:t xml:space="preserve">Distribución</w:t>
            </w:r>
          </w:p>
        </w:tc>
        <w:tc>
          <w:tcPr>
            <w:tcW w:type="dxa" w:w="3120"/>
            <w:tcMar>
              <w:top w:type="dxa" w:w="80"/>
              <w:left w:type="dxa" w:w="100"/>
              <w:bottom w:type="dxa" w:w="80"/>
              <w:right w:type="dxa" w:w="100"/>
            </w:tcMar>
            <w:vAlign w:val="center"/>
          </w:tcPr>
          <w:p>
            <w:r>
              <w:rPr>
                <w:b w:val="false"/>
                <w:bCs w:val="false"/>
                <w:sz w:val="19"/>
                <w:szCs w:val="19"/>
              </w:rPr>
              <w:t xml:space="preserve">Agregación de los switches de acceso, frontera de políticas (ACLs, QoS)</w:t>
            </w:r>
          </w:p>
        </w:tc>
        <w:tc>
          <w:tcPr>
            <w:tcW w:type="dxa" w:w="3120"/>
            <w:tcMar>
              <w:top w:type="dxa" w:w="80"/>
              <w:left w:type="dxa" w:w="100"/>
              <w:bottom w:type="dxa" w:w="80"/>
              <w:right w:type="dxa" w:w="100"/>
            </w:tcMar>
            <w:vAlign w:val="center"/>
          </w:tcPr>
          <w:p>
            <w:r>
              <w:rPr>
                <w:b w:val="false"/>
                <w:bCs w:val="false"/>
                <w:sz w:val="19"/>
                <w:szCs w:val="19"/>
              </w:rPr>
              <w:t xml:space="preserve">Switch de distribución (Data Center, </w:t>
            </w:r>
            <w:r>
              <w:rPr>
                <w:b w:val="false"/>
                <w:bCs w:val="false"/>
                <w:sz w:val="19"/>
                <w:szCs w:val="19"/>
              </w:rPr>
              <w:t xml:space="preserve">Piso 2</w:t>
            </w:r>
            <w:r>
              <w:rPr>
                <w:b w:val="false"/>
                <w:bCs w:val="false"/>
                <w:sz w:val="19"/>
                <w:szCs w:val="19"/>
              </w:rPr>
              <w:t xml:space="preserve"> — no planta baja, ver 04-Diseno-Fisico.md §1)</w:t>
            </w:r>
          </w:p>
        </w:tc>
      </w:tr>
      <w:tr>
        <w:tc>
          <w:tcPr>
            <w:tcW w:type="dxa" w:w="3120"/>
            <w:tcMar>
              <w:top w:type="dxa" w:w="80"/>
              <w:left w:type="dxa" w:w="100"/>
              <w:bottom w:type="dxa" w:w="80"/>
              <w:right w:type="dxa" w:w="100"/>
            </w:tcMar>
            <w:vAlign w:val="center"/>
          </w:tcPr>
          <w:p>
            <w:r>
              <w:rPr>
                <w:b w:val="false"/>
                <w:bCs w:val="false"/>
                <w:sz w:val="19"/>
                <w:szCs w:val="19"/>
              </w:rPr>
              <w:t xml:space="preserve">Acceso</w:t>
            </w:r>
          </w:p>
        </w:tc>
        <w:tc>
          <w:tcPr>
            <w:tcW w:type="dxa" w:w="3120"/>
            <w:tcMar>
              <w:top w:type="dxa" w:w="80"/>
              <w:left w:type="dxa" w:w="100"/>
              <w:bottom w:type="dxa" w:w="80"/>
              <w:right w:type="dxa" w:w="100"/>
            </w:tcMar>
            <w:vAlign w:val="center"/>
          </w:tcPr>
          <w:p>
            <w:r>
              <w:rPr>
                <w:b w:val="false"/>
                <w:bCs w:val="false"/>
                <w:sz w:val="19"/>
                <w:szCs w:val="19"/>
              </w:rPr>
              <w:t xml:space="preserve">Conexión directa del usuario final a la red</w:t>
            </w:r>
          </w:p>
        </w:tc>
        <w:tc>
          <w:tcPr>
            <w:tcW w:type="dxa" w:w="3120"/>
            <w:tcMar>
              <w:top w:type="dxa" w:w="80"/>
              <w:left w:type="dxa" w:w="100"/>
              <w:bottom w:type="dxa" w:w="80"/>
              <w:right w:type="dxa" w:w="100"/>
            </w:tcMar>
            <w:vAlign w:val="center"/>
          </w:tcPr>
          <w:p>
            <w:r>
              <w:rPr>
                <w:b w:val="false"/>
                <w:bCs w:val="false"/>
                <w:sz w:val="19"/>
                <w:szCs w:val="19"/>
              </w:rPr>
              <w:t xml:space="preserve">3 switches IDF (Piso 1, 3, 4)</w:t>
            </w:r>
          </w:p>
        </w:tc>
      </w:tr>
    </w:tbl>
    <w:p>
      <w:pPr>
        <w:spacing w:after="200"/>
      </w:pPr>
    </w:p>
    <w:p>
      <w:pPr>
        <w:spacing w:after="160"/>
        <w:jc w:val="both"/>
      </w:pPr>
      <w:r>
        <w:rPr>
          <w:b/>
          <w:bCs/>
          <w:sz w:val="21"/>
          <w:szCs w:val="21"/>
        </w:rPr>
        <w:t xml:space="preserve">Por qué 3 capas y no un diseño colapsado (2 capas)</w:t>
      </w:r>
      <w:r>
        <w:rPr>
          <w:sz w:val="21"/>
          <w:szCs w:val="21"/>
        </w:rPr>
        <w:t xml:space="preserve">: un diseño colapsado (core+distribución en un solo dispositivo) es apropiado para redes pequeñas de 1 solo piso o edificio sin necesidad de agregación intermedia. Con 184 usuarios repartidos en 4 niveles y necesidad de política de firewall diferenciada por VLAN, separar la función de distribución permite que cada switch de piso solo transporte las VLANs que le corresponden (reduce dominio de broadcast por segmento) sin sobrecargar al Core con la administración de cada puerto de acceso individual.</w:t>
      </w:r>
    </w:p>
    <w:p>
      <w:pPr>
        <w:pStyle w:val="Heading2"/>
        <w:spacing w:after="180" w:before="320"/>
      </w:pPr>
      <w:r>
        <w:t xml:space="preserve">2. Diagrama de diseño lógico completo</w:t>
      </w:r>
    </w:p>
    <w:p>
      <w:pPr>
        <w:spacing w:after="160"/>
        <w:jc w:val="both"/>
      </w:pPr>
      <w:r>
        <w:rPr>
          <w:sz w:val="21"/>
          <w:szCs w:val="21"/>
        </w:rPr>
        <w:t xml:space="preserve">Este es el diagrama que responde "¿qué switches lleva la red y qué VLAN corre por cada uno?" — el diseño lógico completo de los 184 usuarios en los 4 pisos, no el de la demo de laboratorio (esa es aparte, en Fase 4 — solo prueba conectividad con 2 hosts, no es el diseño de producción).</w:t>
      </w:r>
    </w:p>
    <w:p>
      <w:pPr>
        <w:spacing w:after="80" w:before="200"/>
        <w:jc w:val="center"/>
      </w:pPr>
      <w:r>
        <w:drawing>
          <wp:inline distT="0" distB="0" distL="0" distR="0">
            <wp:extent cx="5905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47800"/>
                    </a:xfrm>
                    <a:prstGeom prst="rect">
                      <a:avLst/>
                    </a:prstGeom>
                  </pic:spPr>
                </pic:pic>
              </a:graphicData>
            </a:graphic>
          </wp:inline>
        </w:drawing>
      </w:r>
    </w:p>
    <w:p>
      <w:pPr>
        <w:spacing w:after="240"/>
        <w:jc w:val="center"/>
      </w:pPr>
      <w:r>
        <w:rPr>
          <w:i/>
          <w:iCs/>
          <w:color w:val="555555"/>
          <w:sz w:val="18"/>
          <w:szCs w:val="18"/>
        </w:rPr>
        <w:t xml:space="preserve">Figura 3.1 — Diseño lógico completo: 4 switches y VLANs por piso</w:t>
      </w:r>
    </w:p>
    <w:p>
      <w:pPr>
        <w:spacing w:after="160"/>
        <w:jc w:val="both"/>
      </w:pPr>
      <w:r>
        <w:rPr>
          <w:b/>
          <w:bCs/>
          <w:sz w:val="21"/>
          <w:szCs w:val="21"/>
        </w:rPr>
        <w:t xml:space="preserve">Cómo leer este diagrama</w:t>
      </w:r>
      <w:r>
        <w:rPr>
          <w:sz w:val="21"/>
          <w:szCs w:val="21"/>
        </w:rPr>
        <w:t xml:space="preserve">: la red completa lleva </w:t>
      </w:r>
      <w:r>
        <w:rPr>
          <w:b/>
          <w:bCs/>
          <w:sz w:val="21"/>
          <w:szCs w:val="21"/>
        </w:rPr>
        <w:t xml:space="preserve">4 switches físicos</w:t>
      </w:r>
      <w:r>
        <w:rPr>
          <w:sz w:val="21"/>
          <w:szCs w:val="21"/>
        </w:rPr>
        <w:t xml:space="preserve"> en producción — 1 de distribución en el Data Center (</w:t>
      </w:r>
      <w:r>
        <w:rPr>
          <w:b/>
          <w:bCs/>
          <w:sz w:val="21"/>
          <w:szCs w:val="21"/>
        </w:rPr>
        <w:t xml:space="preserve">Piso 2</w:t>
      </w:r>
      <w:r>
        <w:rPr>
          <w:sz w:val="21"/>
          <w:szCs w:val="21"/>
        </w:rPr>
        <w:t xml:space="preserve">, no planta baja, por prevención de inundación, conectado directo a R1) y 3 switches de piso/IDF (Piso 1, 3 y 4), cada uno troncalizado por fibra hacia el de distribución. El switch de distribución también sirve directo a Administración y Soporte I/T (VLANs 10 y 40) por estar físicamente en el mismo piso que ellos — no necesitan un IDF propio. Cada switch de piso restante solo transporta las VLANs de las áreas que atiende ese piso. Direccionamiento completo de cada VLAN en 07-Direccionamiento-IP-VLANs.md.</w:t>
      </w:r>
    </w:p>
    <w:p>
      <w:pPr>
        <w:spacing w:after="160"/>
        <w:jc w:val="both"/>
      </w:pPr>
      <w:r>
        <w:rPr>
          <w:sz w:val="21"/>
          <w:szCs w:val="21"/>
        </w:rPr>
        <w:t xml:space="preserve">Nota de alcance: el switch de distribución y los 3 de piso son el </w:t>
      </w:r>
      <w:r>
        <w:rPr>
          <w:b/>
          <w:bCs/>
          <w:sz w:val="21"/>
          <w:szCs w:val="21"/>
        </w:rPr>
        <w:t xml:space="preserve">diseño de producción completo</w:t>
      </w:r>
      <w:r>
        <w:rPr>
          <w:sz w:val="21"/>
          <w:szCs w:val="21"/>
        </w:rPr>
        <w:t xml:space="preserve"> (lo que Virtual Solutions instalaría de verdad); el laboratorio de demo de la Fase 4 usa 1 solo switch físico con 2 puertos de acceso para probar el concepto sin comprar 4 switches — la lógica de VLAN/trunk es idéntica, solo cambia la escala.</w:t>
      </w:r>
    </w:p>
    <w:p>
      <w:pPr>
        <w:pStyle w:val="Heading2"/>
        <w:spacing w:after="180" w:before="320"/>
      </w:pPr>
      <w:r>
        <w:t xml:space="preserve">3. Segmentación VLAN — justificación técnica</w:t>
      </w:r>
    </w:p>
    <w:p>
      <w:pPr>
        <w:spacing w:after="160"/>
        <w:jc w:val="both"/>
      </w:pPr>
      <w:r>
        <w:rPr>
          <w:sz w:val="21"/>
          <w:szCs w:val="21"/>
        </w:rPr>
        <w:t xml:space="preserve">Ver el desarrollo completo de los 5 argumentos (superficie de ataque, perfil de tráfico, cumplimiento, contención de broadcast, QoS de VoIP) en 00-Arquitectura-General.md §3. Resumen aplicado a este documento: cada VLAN de la tabla en §2 corresponde a un dominio de broadcast y una política de firewall independientes — es el mecanismo técnico que materializa la segmentación exigida por el enunciado ("todo el personal de ingeniería está en una LAN, mientras que el personal Administrativo está en otra LAN").</w:t>
      </w:r>
    </w:p>
    <w:p>
      <w:pPr>
        <w:pStyle w:val="Heading2"/>
        <w:spacing w:after="180" w:before="320"/>
      </w:pPr>
      <w:r>
        <w:t xml:space="preserve">4. Calidad de servicio (QoS) — esquema de marcado DSCP</w:t>
      </w:r>
    </w:p>
    <w:p>
      <w:pPr>
        <w:spacing w:after="160"/>
        <w:jc w:val="both"/>
      </w:pPr>
      <w:r>
        <w:rPr>
          <w:sz w:val="21"/>
          <w:szCs w:val="21"/>
        </w:rPr>
        <w:t xml:space="preserve">Con base en la clasificación de tráfico de 02-Requerimientos-Costos-Trafico-Cultura.md §2.1, se define el siguiente esquema de marcado </w:t>
      </w:r>
      <w:r>
        <w:rPr>
          <w:b/>
          <w:bCs/>
          <w:sz w:val="21"/>
          <w:szCs w:val="21"/>
        </w:rPr>
        <w:t xml:space="preserve">DSCP (Differentiated Services Code Point)</w:t>
      </w:r>
      <w:r>
        <w:rPr>
          <w:sz w:val="21"/>
          <w:szCs w:val="21"/>
        </w:rPr>
        <w:t xml:space="preserve"> para que R1 y los switches puedan priorizar tráfico de forma consistente en toda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Clase de tráfico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VLAN típica</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Marcado DSCP</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Nombre estándar</w:t>
            </w:r>
          </w:p>
        </w:tc>
      </w:tr>
      <w:tr>
        <w:tc>
          <w:tcPr>
            <w:tcW w:type="dxa" w:w="2340"/>
            <w:tcMar>
              <w:top w:type="dxa" w:w="80"/>
              <w:left w:type="dxa" w:w="100"/>
              <w:bottom w:type="dxa" w:w="80"/>
              <w:right w:type="dxa" w:w="100"/>
            </w:tcMar>
            <w:vAlign w:val="center"/>
          </w:tcPr>
          <w:p>
            <w:r>
              <w:rPr>
                <w:b w:val="false"/>
                <w:bCs w:val="false"/>
                <w:sz w:val="19"/>
                <w:szCs w:val="19"/>
              </w:rPr>
              <w:t xml:space="preserve">Voz (VoIP)</w:t>
            </w:r>
          </w:p>
        </w:tc>
        <w:tc>
          <w:tcPr>
            <w:tcW w:type="dxa" w:w="2340"/>
            <w:tcMar>
              <w:top w:type="dxa" w:w="80"/>
              <w:left w:type="dxa" w:w="100"/>
              <w:bottom w:type="dxa" w:w="80"/>
              <w:right w:type="dxa" w:w="100"/>
            </w:tcMar>
            <w:vAlign w:val="center"/>
          </w:tcPr>
          <w:p>
            <w:r>
              <w:rPr>
                <w:b w:val="false"/>
                <w:bCs w:val="false"/>
                <w:sz w:val="19"/>
                <w:szCs w:val="19"/>
              </w:rPr>
              <w:t xml:space="preserve">60</w:t>
            </w:r>
          </w:p>
        </w:tc>
        <w:tc>
          <w:tcPr>
            <w:tcW w:type="dxa" w:w="2340"/>
            <w:tcMar>
              <w:top w:type="dxa" w:w="80"/>
              <w:left w:type="dxa" w:w="100"/>
              <w:bottom w:type="dxa" w:w="80"/>
              <w:right w:type="dxa" w:w="100"/>
            </w:tcMar>
            <w:vAlign w:val="center"/>
          </w:tcPr>
          <w:p>
            <w:r>
              <w:rPr>
                <w:b w:val="false"/>
                <w:bCs w:val="false"/>
                <w:sz w:val="19"/>
                <w:szCs w:val="19"/>
              </w:rPr>
              <w:t xml:space="preserve">EF (46)</w:t>
            </w:r>
          </w:p>
        </w:tc>
        <w:tc>
          <w:tcPr>
            <w:tcW w:type="dxa" w:w="2340"/>
            <w:tcMar>
              <w:top w:type="dxa" w:w="80"/>
              <w:left w:type="dxa" w:w="100"/>
              <w:bottom w:type="dxa" w:w="80"/>
              <w:right w:type="dxa" w:w="100"/>
            </w:tcMar>
            <w:vAlign w:val="center"/>
          </w:tcPr>
          <w:p>
            <w:r>
              <w:rPr>
                <w:b w:val="false"/>
                <w:bCs w:val="false"/>
                <w:sz w:val="19"/>
                <w:szCs w:val="19"/>
              </w:rPr>
              <w:t xml:space="preserve">Expedited Forwarding — prioridad máxima, mínima latencia/jitter</w:t>
            </w:r>
          </w:p>
        </w:tc>
      </w:tr>
      <w:tr>
        <w:tc>
          <w:tcPr>
            <w:tcW w:type="dxa" w:w="2340"/>
            <w:tcMar>
              <w:top w:type="dxa" w:w="80"/>
              <w:left w:type="dxa" w:w="100"/>
              <w:bottom w:type="dxa" w:w="80"/>
              <w:right w:type="dxa" w:w="100"/>
            </w:tcMar>
            <w:vAlign w:val="center"/>
          </w:tcPr>
          <w:p>
            <w:r>
              <w:rPr>
                <w:b w:val="false"/>
                <w:bCs w:val="false"/>
                <w:sz w:val="19"/>
                <w:szCs w:val="19"/>
              </w:rPr>
              <w:t xml:space="preserve">Señalización de VoIP</w:t>
            </w:r>
          </w:p>
        </w:tc>
        <w:tc>
          <w:tcPr>
            <w:tcW w:type="dxa" w:w="2340"/>
            <w:tcMar>
              <w:top w:type="dxa" w:w="80"/>
              <w:left w:type="dxa" w:w="100"/>
              <w:bottom w:type="dxa" w:w="80"/>
              <w:right w:type="dxa" w:w="100"/>
            </w:tcMar>
            <w:vAlign w:val="center"/>
          </w:tcPr>
          <w:p>
            <w:r>
              <w:rPr>
                <w:b w:val="false"/>
                <w:bCs w:val="false"/>
                <w:sz w:val="19"/>
                <w:szCs w:val="19"/>
              </w:rPr>
              <w:t xml:space="preserve">60</w:t>
            </w:r>
          </w:p>
        </w:tc>
        <w:tc>
          <w:tcPr>
            <w:tcW w:type="dxa" w:w="2340"/>
            <w:tcMar>
              <w:top w:type="dxa" w:w="80"/>
              <w:left w:type="dxa" w:w="100"/>
              <w:bottom w:type="dxa" w:w="80"/>
              <w:right w:type="dxa" w:w="100"/>
            </w:tcMar>
            <w:vAlign w:val="center"/>
          </w:tcPr>
          <w:p>
            <w:r>
              <w:rPr>
                <w:b w:val="false"/>
                <w:bCs w:val="false"/>
                <w:sz w:val="19"/>
                <w:szCs w:val="19"/>
              </w:rPr>
              <w:t xml:space="preserve">CS3 (24)</w:t>
            </w:r>
          </w:p>
        </w:tc>
        <w:tc>
          <w:tcPr>
            <w:tcW w:type="dxa" w:w="2340"/>
            <w:tcMar>
              <w:top w:type="dxa" w:w="80"/>
              <w:left w:type="dxa" w:w="100"/>
              <w:bottom w:type="dxa" w:w="80"/>
              <w:right w:type="dxa" w:w="100"/>
            </w:tcMar>
            <w:vAlign w:val="center"/>
          </w:tcPr>
          <w:p>
            <w:r>
              <w:rPr>
                <w:b w:val="false"/>
                <w:bCs w:val="false"/>
                <w:sz w:val="19"/>
                <w:szCs w:val="19"/>
              </w:rPr>
              <w:t xml:space="preserve">Class Selector 3</w:t>
            </w:r>
          </w:p>
        </w:tc>
      </w:tr>
      <w:tr>
        <w:tc>
          <w:tcPr>
            <w:tcW w:type="dxa" w:w="2340"/>
            <w:tcMar>
              <w:top w:type="dxa" w:w="80"/>
              <w:left w:type="dxa" w:w="100"/>
              <w:bottom w:type="dxa" w:w="80"/>
              <w:right w:type="dxa" w:w="100"/>
            </w:tcMar>
            <w:vAlign w:val="center"/>
          </w:tcPr>
          <w:p>
            <w:r>
              <w:rPr>
                <w:b w:val="false"/>
                <w:bCs w:val="false"/>
                <w:sz w:val="19"/>
                <w:szCs w:val="19"/>
              </w:rPr>
              <w:t xml:space="preserve">Interactivo (SSH/RDP de gestión)</w:t>
            </w:r>
          </w:p>
        </w:tc>
        <w:tc>
          <w:tcPr>
            <w:tcW w:type="dxa" w:w="2340"/>
            <w:tcMar>
              <w:top w:type="dxa" w:w="80"/>
              <w:left w:type="dxa" w:w="100"/>
              <w:bottom w:type="dxa" w:w="80"/>
              <w:right w:type="dxa" w:w="100"/>
            </w:tcMar>
            <w:vAlign w:val="center"/>
          </w:tcPr>
          <w:p>
            <w:r>
              <w:rPr>
                <w:b w:val="false"/>
                <w:bCs w:val="false"/>
                <w:sz w:val="19"/>
                <w:szCs w:val="19"/>
              </w:rPr>
              <w:t xml:space="preserve">90 (Gestión)</w:t>
            </w:r>
          </w:p>
        </w:tc>
        <w:tc>
          <w:tcPr>
            <w:tcW w:type="dxa" w:w="2340"/>
            <w:tcMar>
              <w:top w:type="dxa" w:w="80"/>
              <w:left w:type="dxa" w:w="100"/>
              <w:bottom w:type="dxa" w:w="80"/>
              <w:right w:type="dxa" w:w="100"/>
            </w:tcMar>
            <w:vAlign w:val="center"/>
          </w:tcPr>
          <w:p>
            <w:r>
              <w:rPr>
                <w:b w:val="false"/>
                <w:bCs w:val="false"/>
                <w:sz w:val="19"/>
                <w:szCs w:val="19"/>
              </w:rPr>
              <w:t xml:space="preserve">AF31 (26)</w:t>
            </w:r>
          </w:p>
        </w:tc>
        <w:tc>
          <w:tcPr>
            <w:tcW w:type="dxa" w:w="2340"/>
            <w:tcMar>
              <w:top w:type="dxa" w:w="80"/>
              <w:left w:type="dxa" w:w="100"/>
              <w:bottom w:type="dxa" w:w="80"/>
              <w:right w:type="dxa" w:w="100"/>
            </w:tcMar>
            <w:vAlign w:val="center"/>
          </w:tcPr>
          <w:p>
            <w:r>
              <w:rPr>
                <w:b w:val="false"/>
                <w:bCs w:val="false"/>
                <w:sz w:val="19"/>
                <w:szCs w:val="19"/>
              </w:rPr>
              <w:t xml:space="preserve">Assured Forwarding, alta prioridad</w:t>
            </w:r>
          </w:p>
        </w:tc>
      </w:tr>
      <w:tr>
        <w:tc>
          <w:tcPr>
            <w:tcW w:type="dxa" w:w="2340"/>
            <w:tcMar>
              <w:top w:type="dxa" w:w="80"/>
              <w:left w:type="dxa" w:w="100"/>
              <w:bottom w:type="dxa" w:w="80"/>
              <w:right w:type="dxa" w:w="100"/>
            </w:tcMar>
            <w:vAlign w:val="center"/>
          </w:tcPr>
          <w:p>
            <w:r>
              <w:rPr>
                <w:b w:val="false"/>
                <w:bCs w:val="false"/>
                <w:sz w:val="19"/>
                <w:szCs w:val="19"/>
              </w:rPr>
              <w:t xml:space="preserve">Transaccional (correo, apps de negocio)</w:t>
            </w:r>
          </w:p>
        </w:tc>
        <w:tc>
          <w:tcPr>
            <w:tcW w:type="dxa" w:w="2340"/>
            <w:tcMar>
              <w:top w:type="dxa" w:w="80"/>
              <w:left w:type="dxa" w:w="100"/>
              <w:bottom w:type="dxa" w:w="80"/>
              <w:right w:type="dxa" w:w="100"/>
            </w:tcMar>
            <w:vAlign w:val="center"/>
          </w:tcPr>
          <w:p>
            <w:r>
              <w:rPr>
                <w:b w:val="false"/>
                <w:bCs w:val="false"/>
                <w:sz w:val="19"/>
                <w:szCs w:val="19"/>
              </w:rPr>
              <w:t xml:space="preserve">10, 20, 50</w:t>
            </w:r>
          </w:p>
        </w:tc>
        <w:tc>
          <w:tcPr>
            <w:tcW w:type="dxa" w:w="2340"/>
            <w:tcMar>
              <w:top w:type="dxa" w:w="80"/>
              <w:left w:type="dxa" w:w="100"/>
              <w:bottom w:type="dxa" w:w="80"/>
              <w:right w:type="dxa" w:w="100"/>
            </w:tcMar>
            <w:vAlign w:val="center"/>
          </w:tcPr>
          <w:p>
            <w:r>
              <w:rPr>
                <w:b w:val="false"/>
                <w:bCs w:val="false"/>
                <w:sz w:val="19"/>
                <w:szCs w:val="19"/>
              </w:rPr>
              <w:t xml:space="preserve">AF21 (18)</w:t>
            </w:r>
          </w:p>
        </w:tc>
        <w:tc>
          <w:tcPr>
            <w:tcW w:type="dxa" w:w="2340"/>
            <w:tcMar>
              <w:top w:type="dxa" w:w="80"/>
              <w:left w:type="dxa" w:w="100"/>
              <w:bottom w:type="dxa" w:w="80"/>
              <w:right w:type="dxa" w:w="100"/>
            </w:tcMar>
            <w:vAlign w:val="center"/>
          </w:tcPr>
          <w:p>
            <w:r>
              <w:rPr>
                <w:b w:val="false"/>
                <w:bCs w:val="false"/>
                <w:sz w:val="19"/>
                <w:szCs w:val="19"/>
              </w:rPr>
              <w:t xml:space="preserve">Assured Forwarding, prioridad media</w:t>
            </w:r>
          </w:p>
        </w:tc>
      </w:tr>
      <w:tr>
        <w:tc>
          <w:tcPr>
            <w:tcW w:type="dxa" w:w="2340"/>
            <w:tcMar>
              <w:top w:type="dxa" w:w="80"/>
              <w:left w:type="dxa" w:w="100"/>
              <w:bottom w:type="dxa" w:w="80"/>
              <w:right w:type="dxa" w:w="100"/>
            </w:tcMar>
            <w:vAlign w:val="center"/>
          </w:tcPr>
          <w:p>
            <w:r>
              <w:rPr>
                <w:b w:val="false"/>
                <w:bCs w:val="false"/>
                <w:sz w:val="19"/>
                <w:szCs w:val="19"/>
              </w:rPr>
              <w:t xml:space="preserve">Masivo (Git, CI/CD, respaldos)</w:t>
            </w:r>
          </w:p>
        </w:tc>
        <w:tc>
          <w:tcPr>
            <w:tcW w:type="dxa" w:w="2340"/>
            <w:tcMar>
              <w:top w:type="dxa" w:w="80"/>
              <w:left w:type="dxa" w:w="100"/>
              <w:bottom w:type="dxa" w:w="80"/>
              <w:right w:type="dxa" w:w="100"/>
            </w:tcMar>
            <w:vAlign w:val="center"/>
          </w:tcPr>
          <w:p>
            <w:r>
              <w:rPr>
                <w:b w:val="false"/>
                <w:bCs w:val="false"/>
                <w:sz w:val="19"/>
                <w:szCs w:val="19"/>
              </w:rPr>
              <w:t xml:space="preserve">30, 31</w:t>
            </w:r>
          </w:p>
        </w:tc>
        <w:tc>
          <w:tcPr>
            <w:tcW w:type="dxa" w:w="2340"/>
            <w:tcMar>
              <w:top w:type="dxa" w:w="80"/>
              <w:left w:type="dxa" w:w="100"/>
              <w:bottom w:type="dxa" w:w="80"/>
              <w:right w:type="dxa" w:w="100"/>
            </w:tcMar>
            <w:vAlign w:val="center"/>
          </w:tcPr>
          <w:p>
            <w:r>
              <w:rPr>
                <w:b w:val="false"/>
                <w:bCs w:val="false"/>
                <w:sz w:val="19"/>
                <w:szCs w:val="19"/>
              </w:rPr>
              <w:t xml:space="preserve">AF11 (10) o CS1 (8)</w:t>
            </w:r>
          </w:p>
        </w:tc>
        <w:tc>
          <w:tcPr>
            <w:tcW w:type="dxa" w:w="2340"/>
            <w:tcMar>
              <w:top w:type="dxa" w:w="80"/>
              <w:left w:type="dxa" w:w="100"/>
              <w:bottom w:type="dxa" w:w="80"/>
              <w:right w:type="dxa" w:w="100"/>
            </w:tcMar>
            <w:vAlign w:val="center"/>
          </w:tcPr>
          <w:p>
            <w:r>
              <w:rPr>
                <w:b w:val="false"/>
                <w:bCs w:val="false"/>
                <w:sz w:val="19"/>
                <w:szCs w:val="19"/>
              </w:rPr>
              <w:t xml:space="preserve">Prioridad baja garantizada — no se descarta, pero cede paso a las clases superiores</w:t>
            </w:r>
          </w:p>
        </w:tc>
      </w:tr>
      <w:tr>
        <w:tc>
          <w:tcPr>
            <w:tcW w:type="dxa" w:w="2340"/>
            <w:tcMar>
              <w:top w:type="dxa" w:w="80"/>
              <w:left w:type="dxa" w:w="100"/>
              <w:bottom w:type="dxa" w:w="80"/>
              <w:right w:type="dxa" w:w="100"/>
            </w:tcMar>
            <w:vAlign w:val="center"/>
          </w:tcPr>
          <w:p>
            <w:r>
              <w:rPr>
                <w:b w:val="false"/>
                <w:bCs w:val="false"/>
                <w:sz w:val="19"/>
                <w:szCs w:val="19"/>
              </w:rPr>
              <w:t xml:space="preserve">Mejor esfuerzo (navegación general)</w:t>
            </w:r>
          </w:p>
        </w:tc>
        <w:tc>
          <w:tcPr>
            <w:tcW w:type="dxa" w:w="2340"/>
            <w:tcMar>
              <w:top w:type="dxa" w:w="80"/>
              <w:left w:type="dxa" w:w="100"/>
              <w:bottom w:type="dxa" w:w="80"/>
              <w:right w:type="dxa" w:w="100"/>
            </w:tcMar>
            <w:vAlign w:val="center"/>
          </w:tcPr>
          <w:p>
            <w:r>
              <w:rPr>
                <w:b w:val="false"/>
                <w:bCs w:val="false"/>
                <w:sz w:val="19"/>
                <w:szCs w:val="19"/>
              </w:rPr>
              <w:t xml:space="preserve">Todas (vía Proxy)</w:t>
            </w:r>
          </w:p>
        </w:tc>
        <w:tc>
          <w:tcPr>
            <w:tcW w:type="dxa" w:w="2340"/>
            <w:tcMar>
              <w:top w:type="dxa" w:w="80"/>
              <w:left w:type="dxa" w:w="100"/>
              <w:bottom w:type="dxa" w:w="80"/>
              <w:right w:type="dxa" w:w="100"/>
            </w:tcMar>
            <w:vAlign w:val="center"/>
          </w:tcPr>
          <w:p>
            <w:r>
              <w:rPr>
                <w:b w:val="false"/>
                <w:bCs w:val="false"/>
                <w:sz w:val="19"/>
                <w:szCs w:val="19"/>
              </w:rPr>
              <w:t xml:space="preserve">Default (0)</w:t>
            </w:r>
          </w:p>
        </w:tc>
        <w:tc>
          <w:tcPr>
            <w:tcW w:type="dxa" w:w="2340"/>
            <w:tcMar>
              <w:top w:type="dxa" w:w="80"/>
              <w:left w:type="dxa" w:w="100"/>
              <w:bottom w:type="dxa" w:w="80"/>
              <w:right w:type="dxa" w:w="100"/>
            </w:tcMar>
            <w:vAlign w:val="center"/>
          </w:tcPr>
          <w:p>
            <w:r>
              <w:rPr>
                <w:b w:val="false"/>
                <w:bCs w:val="false"/>
                <w:sz w:val="19"/>
                <w:szCs w:val="19"/>
              </w:rPr>
              <w:t xml:space="preserve">Sin garantía</w:t>
            </w:r>
          </w:p>
        </w:tc>
      </w:tr>
    </w:tbl>
    <w:p>
      <w:pPr>
        <w:spacing w:after="200"/>
      </w:pPr>
    </w:p>
    <w:p>
      <w:pPr>
        <w:spacing w:after="160"/>
        <w:jc w:val="both"/>
      </w:pPr>
      <w:r>
        <w:rPr>
          <w:sz w:val="21"/>
          <w:szCs w:val="21"/>
        </w:rPr>
        <w:t xml:space="preserve">El marcado se aplica en el punto de entrada más cercano al origen (en R1 para tráfico que cruza VLANs, o en el propio switch de acceso si soporta clasificación por puerto) y se respeta en toda la ruta hasta el destino — es lo que permite que, ante congestión momentánea del enlace WAN, una llamada VoIP no se degrade por una transferencia grande de Desarrollo compitiendo por el mismo ancho de banda saliente.</w:t>
      </w:r>
    </w:p>
    <w:p>
      <w:pPr>
        <w:pStyle w:val="Heading2"/>
        <w:spacing w:after="180" w:before="320"/>
      </w:pPr>
      <w:r>
        <w:t xml:space="preserve">5. Enrutamiento y control de bucles de Capa 2</w:t>
      </w:r>
    </w:p>
    <w:p>
      <w:pPr>
        <w:pStyle w:val="ListParagraph"/>
        <w:numPr>
          <w:ilvl w:val="0"/>
          <w:numId w:val="2"/>
        </w:numPr>
        <w:spacing w:after="80"/>
      </w:pPr>
      <w:r>
        <w:rPr>
          <w:b/>
          <w:bCs/>
          <w:sz w:val="21"/>
          <w:szCs w:val="21"/>
        </w:rPr>
        <w:t xml:space="preserve">Enrutamiento dinámico OSPF</w:t>
      </w:r>
      <w:r>
        <w:rPr>
          <w:sz w:val="21"/>
          <w:szCs w:val="21"/>
        </w:rPr>
        <w:t xml:space="preserve"> (RFC 2328, área única 0.0.0.0) entre R1 y VR1 — sin rutas estáticas (restricción explícita del enunciado, ver Fase4-Nube-Privada-SDN.md). Área única porque la topología (2 routers) no justifica la complejidad de múltiples áreas OSPF — el diseño multi-área solo aporta valor cuando hay decenas de routers y se necesita resumir rutas entre regiones, que no es el caso aquí.</w:t>
      </w:r>
    </w:p>
    <w:p>
      <w:pPr>
        <w:pStyle w:val="ListParagraph"/>
        <w:numPr>
          <w:ilvl w:val="0"/>
          <w:numId w:val="2"/>
        </w:numPr>
        <w:spacing w:after="80"/>
      </w:pPr>
      <w:r>
        <w:rPr>
          <w:b/>
          <w:bCs/>
          <w:sz w:val="21"/>
          <w:szCs w:val="21"/>
        </w:rPr>
        <w:t xml:space="preserve">Topología de Capa 2 libre de bucles por diseño</w:t>
      </w:r>
      <w:r>
        <w:rPr>
          <w:sz w:val="21"/>
          <w:szCs w:val="21"/>
        </w:rPr>
        <w:t xml:space="preserve">: la topología distribución→IDF es un árbol (cada IDF cuelga de un único enlace hacia el switch de distribución), por lo que </w:t>
      </w:r>
      <w:r>
        <w:rPr>
          <w:b/>
          <w:bCs/>
          <w:sz w:val="21"/>
          <w:szCs w:val="21"/>
        </w:rPr>
        <w:t xml:space="preserve">no se requiere Spanning Tree Protocol</w:t>
      </w:r>
      <w:r>
        <w:rPr>
          <w:sz w:val="21"/>
          <w:szCs w:val="21"/>
        </w:rPr>
        <w:t xml:space="preserve"> para prevenir bucles en la configuración base — no hay una segunda ruta física que pueda crear un loop.</w:t>
      </w:r>
    </w:p>
    <w:p>
      <w:pPr>
        <w:pStyle w:val="ListParagraph"/>
        <w:numPr>
          <w:ilvl w:val="0"/>
          <w:numId w:val="2"/>
        </w:numPr>
        <w:spacing w:after="80"/>
      </w:pPr>
      <w:r>
        <w:rPr>
          <w:b/>
          <w:bCs/>
          <w:sz w:val="21"/>
          <w:szCs w:val="21"/>
        </w:rPr>
        <w:t xml:space="preserve">Nota de diseño para evolución futura</w:t>
      </w:r>
      <w:r>
        <w:rPr>
          <w:sz w:val="21"/>
          <w:szCs w:val="21"/>
        </w:rPr>
        <w:t xml:space="preserve">: si en una fase posterior se agregan </w:t>
      </w:r>
      <w:r>
        <w:rPr>
          <w:b/>
          <w:bCs/>
          <w:sz w:val="21"/>
          <w:szCs w:val="21"/>
        </w:rPr>
        <w:t xml:space="preserve">enlaces redundantes</w:t>
      </w:r>
      <w:r>
        <w:rPr>
          <w:sz w:val="21"/>
          <w:szCs w:val="21"/>
        </w:rPr>
        <w:t xml:space="preserve"> entre cada IDF y el switch de distribución (recomendable a mediano plazo para eliminar el punto único de falla que hoy representa cada switch de piso), </w:t>
      </w:r>
      <w:r>
        <w:rPr>
          <w:b/>
          <w:bCs/>
          <w:sz w:val="21"/>
          <w:szCs w:val="21"/>
        </w:rPr>
        <w:t xml:space="preserve">se vuelve obligatorio activar RSTP (Rapid Spanning Tree, IEEE 802.1w) o MSTP</w:t>
      </w:r>
      <w:r>
        <w:rPr>
          <w:sz w:val="21"/>
          <w:szCs w:val="21"/>
        </w:rPr>
        <w:t xml:space="preserve"> en todos los switches para prevenir bucles de broadcast — se deja documentado aquí precisamente para que quien amplíe la red en el futuro no lo pase por alto.</w:t>
      </w:r>
    </w:p>
    <w:p>
      <w:pPr>
        <w:pStyle w:val="Heading2"/>
        <w:spacing w:after="180" w:before="320"/>
      </w:pPr>
      <w:r>
        <w:t xml:space="preserve">6. Direccionamiento IP y cumplimiento normativo</w:t>
      </w:r>
    </w:p>
    <w:p>
      <w:pPr>
        <w:pStyle w:val="ListParagraph"/>
        <w:numPr>
          <w:ilvl w:val="0"/>
          <w:numId w:val="2"/>
        </w:numPr>
        <w:spacing w:after="80"/>
      </w:pPr>
      <w:r>
        <w:rPr>
          <w:sz w:val="21"/>
          <w:szCs w:val="21"/>
        </w:rPr>
        <w:t xml:space="preserve">Todo el direccionamiento usa espacio privado </w:t>
      </w:r>
      <w:r>
        <w:rPr>
          <w:b/>
          <w:bCs/>
          <w:sz w:val="21"/>
          <w:szCs w:val="21"/>
        </w:rPr>
        <w:t xml:space="preserve">RFC 1918</w:t>
      </w:r>
      <w:r>
        <w:rPr>
          <w:sz w:val="21"/>
          <w:szCs w:val="21"/>
        </w:rPr>
        <w:t xml:space="preserve"> (</w:t>
      </w:r>
      <w:r>
        <w:rPr>
          <w:rFonts w:ascii="Consolas" w:cs="Consolas" w:eastAsia="Consolas" w:hAnsi="Consolas"/>
          <w:sz w:val="21"/>
          <w:szCs w:val="21"/>
        </w:rPr>
        <w:t xml:space="preserve">10.10.0.0/16</w:t>
      </w:r>
      <w:r>
        <w:rPr>
          <w:sz w:val="21"/>
          <w:szCs w:val="21"/>
        </w:rPr>
        <w:t xml:space="preserve">), NAT en R1 hacia las 2 salidas de Internet.</w:t>
      </w:r>
    </w:p>
    <w:p>
      <w:pPr>
        <w:pStyle w:val="ListParagraph"/>
        <w:numPr>
          <w:ilvl w:val="0"/>
          <w:numId w:val="2"/>
        </w:numPr>
        <w:spacing w:after="80"/>
      </w:pPr>
      <w:r>
        <w:rPr>
          <w:sz w:val="21"/>
          <w:szCs w:val="21"/>
        </w:rPr>
        <w:t xml:space="preserve">Segmentación por VLAN conforme </w:t>
      </w:r>
      <w:r>
        <w:rPr>
          <w:b/>
          <w:bCs/>
          <w:sz w:val="21"/>
          <w:szCs w:val="21"/>
        </w:rPr>
        <w:t xml:space="preserve">IEEE 802.1Q</w:t>
      </w:r>
      <w:r>
        <w:rPr>
          <w:sz w:val="21"/>
          <w:szCs w:val="21"/>
        </w:rPr>
        <w:t xml:space="preserve"> (trunking estándar, no propietario — portable entre fabricantes, relevante porque el diseño mezcla MikroTik con el switch Easy Smart de otra marca).</w:t>
      </w:r>
    </w:p>
    <w:p>
      <w:pPr>
        <w:pStyle w:val="ListParagraph"/>
        <w:numPr>
          <w:ilvl w:val="0"/>
          <w:numId w:val="2"/>
        </w:numPr>
        <w:spacing w:after="80"/>
      </w:pPr>
      <w:r>
        <w:rPr>
          <w:sz w:val="21"/>
          <w:szCs w:val="21"/>
        </w:rPr>
        <w:t xml:space="preserve">Ver tabla maestra completa de VLANs, subredes, gateways y rangos DHCP en 07-Direccionamiento-IP-VLANs.md, incluyendo la nota de optimización con VLSM para quien quiera profundizar más allá del esquema </w:t>
      </w:r>
      <w:r>
        <w:rPr>
          <w:rFonts w:ascii="Consolas" w:cs="Consolas" w:eastAsia="Consolas" w:hAnsi="Consolas"/>
          <w:sz w:val="21"/>
          <w:szCs w:val="21"/>
        </w:rPr>
        <w:t xml:space="preserve">/24</w:t>
      </w:r>
      <w:r>
        <w:rPr>
          <w:sz w:val="21"/>
          <w:szCs w:val="21"/>
        </w:rPr>
        <w:t xml:space="preserve"> uniforme elegido como base — la elección de </w:t>
      </w:r>
      <w:r>
        <w:rPr>
          <w:rFonts w:ascii="Consolas" w:cs="Consolas" w:eastAsia="Consolas" w:hAnsi="Consolas"/>
          <w:sz w:val="21"/>
          <w:szCs w:val="21"/>
        </w:rPr>
        <w:t xml:space="preserve">/24</w:t>
      </w:r>
      <w:r>
        <w:rPr>
          <w:sz w:val="21"/>
          <w:szCs w:val="21"/>
        </w:rPr>
        <w:t xml:space="preserve"> uniforme (en vez de VLSM ajustado a cada VLAN) es deliberada: prioriza simplicidad operativa y margen de crecimiento (§1.4 de 01-Analisis-Necesidades-Tecnologicas.md) sobre eficiencia de espacio de direcciones, que no es un recurso escaso en un bloque privado </w:t>
      </w:r>
      <w:r>
        <w:rPr>
          <w:rFonts w:ascii="Consolas" w:cs="Consolas" w:eastAsia="Consolas" w:hAnsi="Consolas"/>
          <w:sz w:val="21"/>
          <w:szCs w:val="21"/>
        </w:rPr>
        <w:t xml:space="preserve">/16</w:t>
      </w:r>
      <w:r>
        <w:rPr>
          <w:sz w:val="21"/>
          <w:szCs w:val="21"/>
        </w:rPr>
        <w:t xml:space="preserve">.</w:t>
      </w:r>
    </w:p>
    <w:p>
      <w:pPr>
        <w:pStyle w:val="Heading2"/>
        <w:spacing w:after="180" w:before="320"/>
      </w:pPr>
      <w:r>
        <w:t xml:space="preserve">7. Alta disponibilidad de capa 3</w:t>
      </w:r>
    </w:p>
    <w:p>
      <w:pPr>
        <w:pStyle w:val="ListParagraph"/>
        <w:numPr>
          <w:ilvl w:val="0"/>
          <w:numId w:val="2"/>
        </w:numPr>
        <w:spacing w:after="80"/>
      </w:pPr>
      <w:r>
        <w:rPr>
          <w:sz w:val="21"/>
          <w:szCs w:val="21"/>
        </w:rPr>
        <w:t xml:space="preserve">WAN: 2 ISP con failover automático en R1 (ver Fase3-LAN-WAN-VPN-Seguridad.md §1.2).</w:t>
      </w:r>
    </w:p>
    <w:p>
      <w:pPr>
        <w:pStyle w:val="ListParagraph"/>
        <w:numPr>
          <w:ilvl w:val="0"/>
          <w:numId w:val="2"/>
        </w:numPr>
        <w:spacing w:after="80"/>
      </w:pPr>
      <w:r>
        <w:rPr>
          <w:sz w:val="21"/>
          <w:szCs w:val="21"/>
        </w:rPr>
        <w:t xml:space="preserve">Core↔Nube Privada: OSPF converge dinámicamente ante falla del enlace R1↔VR1 sin intervención manual.</w:t>
      </w:r>
    </w:p>
    <w:p>
      <w:pPr>
        <w:pStyle w:val="ListParagraph"/>
        <w:numPr>
          <w:ilvl w:val="0"/>
          <w:numId w:val="2"/>
        </w:numPr>
        <w:spacing w:after="80"/>
      </w:pPr>
      <w:r>
        <w:rPr>
          <w:b/>
          <w:bCs/>
          <w:sz w:val="21"/>
          <w:szCs w:val="21"/>
        </w:rPr>
        <w:t xml:space="preserve">Punto único de falla reconocido y documentado</w:t>
      </w:r>
      <w:r>
        <w:rPr>
          <w:sz w:val="21"/>
          <w:szCs w:val="21"/>
        </w:rPr>
        <w:t xml:space="preserve">: en el diseño actual, tanto R1 como el switch de distribución son dispositivos únicos (no redundantes) — aceptable para el alcance de este proyecto, pero se deja como recomendación de mejora explícita (R1 redundante en HA vía VRRP/CARP, switch de distribución en pila o par redundante, enlaces dobles IDF↔distribución con RSTP del punto 5) para la evolución del diseño en producción. Reconocer un punto único de falla explícitamente es mejor práctica de ingeniería que omitirlo — un diseño que no reconoce sus propias limitaciones no es un diseño confiable.</w:t>
      </w:r>
    </w:p>
    <w:p>
      <w:pPr>
        <w:pStyle w:val="Heading1"/>
        <w:spacing w:after="180" w:before="480"/>
      </w:pPr>
      <w:r>
        <w:t xml:space="preserve">Punto 4 — Diseño Físico de la Red Corporativa</w:t>
      </w:r>
    </w:p>
    <w:p>
      <w:pPr>
        <w:pStyle w:val="Heading2"/>
        <w:spacing w:after="180" w:before="320"/>
      </w:pPr>
      <w:r>
        <w:t xml:space="preserve">1. Distribución por planta (edificio de 4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tcMar>
              <w:top w:type="dxa" w:w="80"/>
              <w:left w:type="dxa" w:w="100"/>
              <w:bottom w:type="dxa" w:w="80"/>
              <w:right w:type="dxa" w:w="100"/>
            </w:tcMar>
            <w:vAlign w:val="center"/>
          </w:tcPr>
          <w:p>
            <w:r>
              <w:rPr>
                <w:b/>
                <w:bCs/>
                <w:color w:val="FFFFFF"/>
                <w:sz w:val="19"/>
                <w:szCs w:val="19"/>
              </w:rPr>
              <w:t xml:space="preserve">Piso</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Área</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Usuarios</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Puestos de red (2 drops c/u)</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Nota de cableado</w:t>
            </w:r>
          </w:p>
        </w:tc>
      </w:tr>
      <w:tr>
        <w:tc>
          <w:tcPr>
            <w:tcW w:type="dxa" w:w="1872"/>
            <w:tcMar>
              <w:top w:type="dxa" w:w="80"/>
              <w:left w:type="dxa" w:w="100"/>
              <w:bottom w:type="dxa" w:w="80"/>
              <w:right w:type="dxa" w:w="100"/>
            </w:tcMar>
            <w:vAlign w:val="center"/>
          </w:tcPr>
          <w:p>
            <w:r>
              <w:rPr>
                <w:b w:val="false"/>
                <w:bCs w:val="false"/>
                <w:sz w:val="19"/>
                <w:szCs w:val="19"/>
              </w:rPr>
              <w:t xml:space="preserve">1</w:t>
            </w:r>
          </w:p>
        </w:tc>
        <w:tc>
          <w:tcPr>
            <w:tcW w:type="dxa" w:w="1872"/>
            <w:tcMar>
              <w:top w:type="dxa" w:w="80"/>
              <w:left w:type="dxa" w:w="100"/>
              <w:bottom w:type="dxa" w:w="80"/>
              <w:right w:type="dxa" w:w="100"/>
            </w:tcMar>
            <w:vAlign w:val="center"/>
          </w:tcPr>
          <w:p>
            <w:r>
              <w:rPr>
                <w:b w:val="false"/>
                <w:bCs w:val="false"/>
                <w:sz w:val="19"/>
                <w:szCs w:val="19"/>
              </w:rPr>
              <w:t xml:space="preserve">Recepción + Ventas</w:t>
            </w:r>
          </w:p>
        </w:tc>
        <w:tc>
          <w:tcPr>
            <w:tcW w:type="dxa" w:w="1872"/>
            <w:tcMar>
              <w:top w:type="dxa" w:w="80"/>
              <w:left w:type="dxa" w:w="100"/>
              <w:bottom w:type="dxa" w:w="80"/>
              <w:right w:type="dxa" w:w="100"/>
            </w:tcMar>
            <w:vAlign w:val="center"/>
          </w:tcPr>
          <w:p>
            <w:r>
              <w:rPr>
                <w:b w:val="false"/>
                <w:bCs w:val="false"/>
                <w:sz w:val="19"/>
                <w:szCs w:val="19"/>
              </w:rPr>
              <w:t xml:space="preserve">30</w:t>
            </w:r>
          </w:p>
        </w:tc>
        <w:tc>
          <w:tcPr>
            <w:tcW w:type="dxa" w:w="1872"/>
            <w:tcMar>
              <w:top w:type="dxa" w:w="80"/>
              <w:left w:type="dxa" w:w="100"/>
              <w:bottom w:type="dxa" w:w="80"/>
              <w:right w:type="dxa" w:w="100"/>
            </w:tcMar>
            <w:vAlign w:val="center"/>
          </w:tcPr>
          <w:p>
            <w:r>
              <w:rPr>
                <w:b w:val="false"/>
                <w:bCs w:val="false"/>
                <w:sz w:val="19"/>
                <w:szCs w:val="19"/>
              </w:rPr>
              <w:t xml:space="preserve">60</w:t>
            </w:r>
          </w:p>
        </w:tc>
        <w:tc>
          <w:tcPr>
            <w:tcW w:type="dxa" w:w="1872"/>
            <w:tcMar>
              <w:top w:type="dxa" w:w="80"/>
              <w:left w:type="dxa" w:w="100"/>
              <w:bottom w:type="dxa" w:w="80"/>
              <w:right w:type="dxa" w:w="100"/>
            </w:tcMar>
            <w:vAlign w:val="center"/>
          </w:tcPr>
          <w:p>
            <w:r>
              <w:rPr>
                <w:b w:val="false"/>
                <w:bCs w:val="false"/>
                <w:sz w:val="19"/>
                <w:szCs w:val="19"/>
              </w:rPr>
              <w:t xml:space="preserve">IDF de piso 1 (ya no aloja el MDF — ver justificación abajo)</w:t>
            </w:r>
          </w:p>
        </w:tc>
      </w:tr>
      <w:tr>
        <w:tc>
          <w:tcPr>
            <w:tcW w:type="dxa" w:w="1872"/>
            <w:tcMar>
              <w:top w:type="dxa" w:w="80"/>
              <w:left w:type="dxa" w:w="100"/>
              <w:bottom w:type="dxa" w:w="80"/>
              <w:right w:type="dxa" w:w="100"/>
            </w:tcMar>
            <w:vAlign w:val="center"/>
          </w:tcPr>
          <w:p>
            <w:r>
              <w:rPr>
                <w:b w:val="false"/>
                <w:bCs w:val="false"/>
                <w:sz w:val="19"/>
                <w:szCs w:val="19"/>
              </w:rPr>
              <w:t xml:space="preserve">2</w:t>
            </w:r>
          </w:p>
        </w:tc>
        <w:tc>
          <w:tcPr>
            <w:tcW w:type="dxa" w:w="1872"/>
            <w:tcMar>
              <w:top w:type="dxa" w:w="80"/>
              <w:left w:type="dxa" w:w="100"/>
              <w:bottom w:type="dxa" w:w="80"/>
              <w:right w:type="dxa" w:w="100"/>
            </w:tcMar>
            <w:vAlign w:val="center"/>
          </w:tcPr>
          <w:p>
            <w:r>
              <w:rPr>
                <w:b w:val="false"/>
                <w:bCs w:val="false"/>
                <w:sz w:val="19"/>
                <w:szCs w:val="19"/>
              </w:rPr>
              <w:t xml:space="preserve">MDF/Data Center</w:t>
            </w:r>
            <w:r>
              <w:rPr>
                <w:b w:val="false"/>
                <w:bCs w:val="false"/>
                <w:sz w:val="19"/>
                <w:szCs w:val="19"/>
              </w:rPr>
              <w:t xml:space="preserve"> + Administración + Soporte I/T</w:t>
            </w:r>
          </w:p>
        </w:tc>
        <w:tc>
          <w:tcPr>
            <w:tcW w:type="dxa" w:w="1872"/>
            <w:tcMar>
              <w:top w:type="dxa" w:w="80"/>
              <w:left w:type="dxa" w:w="100"/>
              <w:bottom w:type="dxa" w:w="80"/>
              <w:right w:type="dxa" w:w="100"/>
            </w:tcMar>
            <w:vAlign w:val="center"/>
          </w:tcPr>
          <w:p>
            <w:r>
              <w:rPr>
                <w:b w:val="false"/>
                <w:bCs w:val="false"/>
                <w:sz w:val="19"/>
                <w:szCs w:val="19"/>
              </w:rPr>
              <w:t xml:space="preserve">14 + 12 = 26</w:t>
            </w:r>
          </w:p>
        </w:tc>
        <w:tc>
          <w:tcPr>
            <w:tcW w:type="dxa" w:w="1872"/>
            <w:tcMar>
              <w:top w:type="dxa" w:w="80"/>
              <w:left w:type="dxa" w:w="100"/>
              <w:bottom w:type="dxa" w:w="80"/>
              <w:right w:type="dxa" w:w="100"/>
            </w:tcMar>
            <w:vAlign w:val="center"/>
          </w:tcPr>
          <w:p>
            <w:r>
              <w:rPr>
                <w:b w:val="false"/>
                <w:bCs w:val="false"/>
                <w:sz w:val="19"/>
                <w:szCs w:val="19"/>
              </w:rPr>
              <w:t xml:space="preserve">52</w:t>
            </w:r>
          </w:p>
        </w:tc>
        <w:tc>
          <w:tcPr>
            <w:tcW w:type="dxa" w:w="1872"/>
            <w:tcMar>
              <w:top w:type="dxa" w:w="80"/>
              <w:left w:type="dxa" w:w="100"/>
              <w:bottom w:type="dxa" w:w="80"/>
              <w:right w:type="dxa" w:w="100"/>
            </w:tcMar>
            <w:vAlign w:val="center"/>
          </w:tcPr>
          <w:p>
            <w:r>
              <w:rPr>
                <w:b w:val="false"/>
                <w:bCs w:val="false"/>
                <w:sz w:val="19"/>
                <w:szCs w:val="19"/>
              </w:rPr>
              <w:t xml:space="preserve">El MDF/Data Center vive aquí — ver justificación abajo</w:t>
            </w:r>
          </w:p>
        </w:tc>
      </w:tr>
      <w:tr>
        <w:tc>
          <w:tcPr>
            <w:tcW w:type="dxa" w:w="1872"/>
            <w:tcMar>
              <w:top w:type="dxa" w:w="80"/>
              <w:left w:type="dxa" w:w="100"/>
              <w:bottom w:type="dxa" w:w="80"/>
              <w:right w:type="dxa" w:w="100"/>
            </w:tcMar>
            <w:vAlign w:val="center"/>
          </w:tcPr>
          <w:p>
            <w:r>
              <w:rPr>
                <w:b w:val="false"/>
                <w:bCs w:val="false"/>
                <w:sz w:val="19"/>
                <w:szCs w:val="19"/>
              </w:rPr>
              <w:t xml:space="preserve">3</w:t>
            </w:r>
          </w:p>
        </w:tc>
        <w:tc>
          <w:tcPr>
            <w:tcW w:type="dxa" w:w="1872"/>
            <w:tcMar>
              <w:top w:type="dxa" w:w="80"/>
              <w:left w:type="dxa" w:w="100"/>
              <w:bottom w:type="dxa" w:w="80"/>
              <w:right w:type="dxa" w:w="100"/>
            </w:tcMar>
            <w:vAlign w:val="center"/>
          </w:tcPr>
          <w:p>
            <w:r>
              <w:rPr>
                <w:b w:val="false"/>
                <w:bCs w:val="false"/>
                <w:sz w:val="19"/>
                <w:szCs w:val="19"/>
              </w:rPr>
              <w:t xml:space="preserve">Desarrollo I/T (grupo A)</w:t>
            </w:r>
          </w:p>
        </w:tc>
        <w:tc>
          <w:tcPr>
            <w:tcW w:type="dxa" w:w="1872"/>
            <w:tcMar>
              <w:top w:type="dxa" w:w="80"/>
              <w:left w:type="dxa" w:w="100"/>
              <w:bottom w:type="dxa" w:w="80"/>
              <w:right w:type="dxa" w:w="100"/>
            </w:tcMar>
            <w:vAlign w:val="center"/>
          </w:tcPr>
          <w:p>
            <w:r>
              <w:rPr>
                <w:b w:val="false"/>
                <w:bCs w:val="false"/>
                <w:sz w:val="19"/>
                <w:szCs w:val="19"/>
              </w:rPr>
              <w:t xml:space="preserve">55</w:t>
            </w:r>
          </w:p>
        </w:tc>
        <w:tc>
          <w:tcPr>
            <w:tcW w:type="dxa" w:w="1872"/>
            <w:tcMar>
              <w:top w:type="dxa" w:w="80"/>
              <w:left w:type="dxa" w:w="100"/>
              <w:bottom w:type="dxa" w:w="80"/>
              <w:right w:type="dxa" w:w="100"/>
            </w:tcMar>
            <w:vAlign w:val="center"/>
          </w:tcPr>
          <w:p>
            <w:r>
              <w:rPr>
                <w:b w:val="false"/>
                <w:bCs w:val="false"/>
                <w:sz w:val="19"/>
                <w:szCs w:val="19"/>
              </w:rPr>
              <w:t xml:space="preserve">110</w:t>
            </w:r>
          </w:p>
        </w:tc>
        <w:tc>
          <w:tcPr>
            <w:tcW w:type="dxa" w:w="1872"/>
            <w:tcMar>
              <w:top w:type="dxa" w:w="80"/>
              <w:left w:type="dxa" w:w="100"/>
              <w:bottom w:type="dxa" w:w="80"/>
              <w:right w:type="dxa" w:w="100"/>
            </w:tcMar>
            <w:vAlign w:val="center"/>
          </w:tcPr>
          <w:p>
            <w:r>
              <w:rPr>
                <w:b w:val="false"/>
                <w:bCs w:val="false"/>
                <w:sz w:val="19"/>
                <w:szCs w:val="19"/>
              </w:rPr>
              <w:t xml:space="preserve">IDF de piso 3</w:t>
            </w:r>
          </w:p>
        </w:tc>
      </w:tr>
      <w:tr>
        <w:tc>
          <w:tcPr>
            <w:tcW w:type="dxa" w:w="1872"/>
            <w:tcMar>
              <w:top w:type="dxa" w:w="80"/>
              <w:left w:type="dxa" w:w="100"/>
              <w:bottom w:type="dxa" w:w="80"/>
              <w:right w:type="dxa" w:w="100"/>
            </w:tcMar>
            <w:vAlign w:val="center"/>
          </w:tcPr>
          <w:p>
            <w:r>
              <w:rPr>
                <w:b w:val="false"/>
                <w:bCs w:val="false"/>
                <w:sz w:val="19"/>
                <w:szCs w:val="19"/>
              </w:rPr>
              <w:t xml:space="preserve">4</w:t>
            </w:r>
          </w:p>
        </w:tc>
        <w:tc>
          <w:tcPr>
            <w:tcW w:type="dxa" w:w="1872"/>
            <w:tcMar>
              <w:top w:type="dxa" w:w="80"/>
              <w:left w:type="dxa" w:w="100"/>
              <w:bottom w:type="dxa" w:w="80"/>
              <w:right w:type="dxa" w:w="100"/>
            </w:tcMar>
            <w:vAlign w:val="center"/>
          </w:tcPr>
          <w:p>
            <w:r>
              <w:rPr>
                <w:b w:val="false"/>
                <w:bCs w:val="false"/>
                <w:sz w:val="19"/>
                <w:szCs w:val="19"/>
              </w:rPr>
              <w:t xml:space="preserve">Desarrollo I/T (grupo B) + Telefonía IP (gateway/ATA)</w:t>
            </w:r>
          </w:p>
        </w:tc>
        <w:tc>
          <w:tcPr>
            <w:tcW w:type="dxa" w:w="1872"/>
            <w:tcMar>
              <w:top w:type="dxa" w:w="80"/>
              <w:left w:type="dxa" w:w="100"/>
              <w:bottom w:type="dxa" w:w="80"/>
              <w:right w:type="dxa" w:w="100"/>
            </w:tcMar>
            <w:vAlign w:val="center"/>
          </w:tcPr>
          <w:p>
            <w:r>
              <w:rPr>
                <w:b w:val="false"/>
                <w:bCs w:val="false"/>
                <w:sz w:val="19"/>
                <w:szCs w:val="19"/>
              </w:rPr>
              <w:t xml:space="preserve">55 + 6</w:t>
            </w:r>
          </w:p>
        </w:tc>
        <w:tc>
          <w:tcPr>
            <w:tcW w:type="dxa" w:w="1872"/>
            <w:tcMar>
              <w:top w:type="dxa" w:w="80"/>
              <w:left w:type="dxa" w:w="100"/>
              <w:bottom w:type="dxa" w:w="80"/>
              <w:right w:type="dxa" w:w="100"/>
            </w:tcMar>
            <w:vAlign w:val="center"/>
          </w:tcPr>
          <w:p>
            <w:r>
              <w:rPr>
                <w:b w:val="false"/>
                <w:bCs w:val="false"/>
                <w:sz w:val="19"/>
                <w:szCs w:val="19"/>
              </w:rPr>
              <w:t xml:space="preserve">110</w:t>
            </w:r>
          </w:p>
        </w:tc>
        <w:tc>
          <w:tcPr>
            <w:tcW w:type="dxa" w:w="1872"/>
            <w:tcMar>
              <w:top w:type="dxa" w:w="80"/>
              <w:left w:type="dxa" w:w="100"/>
              <w:bottom w:type="dxa" w:w="80"/>
              <w:right w:type="dxa" w:w="100"/>
            </w:tcMar>
            <w:vAlign w:val="center"/>
          </w:tcPr>
          <w:p>
            <w:r>
              <w:rPr>
                <w:b w:val="false"/>
                <w:bCs w:val="false"/>
                <w:sz w:val="19"/>
                <w:szCs w:val="19"/>
              </w:rPr>
              <w:t xml:space="preserve">IDF de piso 4</w:t>
            </w:r>
          </w:p>
        </w:tc>
      </w:tr>
      <w:tr>
        <w:tc>
          <w:tcPr>
            <w:tcW w:type="dxa" w:w="1872"/>
            <w:tcMar>
              <w:top w:type="dxa" w:w="80"/>
              <w:left w:type="dxa" w:w="100"/>
              <w:bottom w:type="dxa" w:w="80"/>
              <w:right w:type="dxa" w:w="100"/>
            </w:tcMar>
            <w:vAlign w:val="center"/>
          </w:tcPr>
          <w:p>
            <w:r>
              <w:rPr>
                <w:b w:val="false"/>
                <w:bCs w:val="false"/>
                <w:sz w:val="19"/>
                <w:szCs w:val="19"/>
              </w:rPr>
              <w:t xml:space="preserve"/>
            </w:r>
          </w:p>
        </w:tc>
        <w:tc>
          <w:tcPr>
            <w:tcW w:type="dxa" w:w="1872"/>
            <w:tcMar>
              <w:top w:type="dxa" w:w="80"/>
              <w:left w:type="dxa" w:w="100"/>
              <w:bottom w:type="dxa" w:w="80"/>
              <w:right w:type="dxa" w:w="100"/>
            </w:tcMar>
            <w:vAlign w:val="center"/>
          </w:tcPr>
          <w:p>
            <w:r>
              <w:rPr>
                <w:b w:val="false"/>
                <w:bCs w:val="false"/>
                <w:sz w:val="19"/>
                <w:szCs w:val="19"/>
              </w:rPr>
              <w:t xml:space="preserve"/>
            </w:r>
          </w:p>
        </w:tc>
        <w:tc>
          <w:tcPr>
            <w:tcW w:type="dxa" w:w="1872"/>
            <w:tcMar>
              <w:top w:type="dxa" w:w="80"/>
              <w:left w:type="dxa" w:w="100"/>
              <w:bottom w:type="dxa" w:w="80"/>
              <w:right w:type="dxa" w:w="100"/>
            </w:tcMar>
            <w:vAlign w:val="center"/>
          </w:tcPr>
          <w:p>
            <w:r>
              <w:rPr>
                <w:b w:val="false"/>
                <w:bCs w:val="false"/>
                <w:sz w:val="19"/>
                <w:szCs w:val="19"/>
              </w:rPr>
              <w:t xml:space="preserve">184</w:t>
            </w:r>
          </w:p>
        </w:tc>
        <w:tc>
          <w:tcPr>
            <w:tcW w:type="dxa" w:w="1872"/>
            <w:tcMar>
              <w:top w:type="dxa" w:w="80"/>
              <w:left w:type="dxa" w:w="100"/>
              <w:bottom w:type="dxa" w:w="80"/>
              <w:right w:type="dxa" w:w="100"/>
            </w:tcMar>
            <w:vAlign w:val="center"/>
          </w:tcPr>
          <w:p>
            <w:r>
              <w:rPr>
                <w:b w:val="false"/>
                <w:bCs w:val="false"/>
                <w:sz w:val="19"/>
                <w:szCs w:val="19"/>
              </w:rPr>
              <w:t xml:space="preserve">332</w:t>
            </w:r>
          </w:p>
        </w:tc>
        <w:tc>
          <w:tcPr>
            <w:tcW w:type="dxa" w:w="1872"/>
            <w:tcMar>
              <w:top w:type="dxa" w:w="80"/>
              <w:left w:type="dxa" w:w="100"/>
              <w:bottom w:type="dxa" w:w="80"/>
              <w:right w:type="dxa" w:w="100"/>
            </w:tcMar>
            <w:vAlign w:val="center"/>
          </w:tcPr>
          <w:p>
            <w:r>
              <w:rPr>
                <w:b w:val="false"/>
                <w:bCs w:val="false"/>
                <w:sz w:val="19"/>
                <w:szCs w:val="19"/>
              </w:rPr>
              <w:t xml:space="preserve">+ margen (ver §6)</w:t>
            </w:r>
          </w:p>
        </w:tc>
      </w:tr>
    </w:tbl>
    <w:p>
      <w:pPr>
        <w:spacing w:after="200"/>
      </w:pPr>
    </w:p>
    <w:p>
      <w:pPr>
        <w:spacing w:after="160"/>
        <w:jc w:val="both"/>
      </w:pPr>
      <w:r>
        <w:rPr>
          <w:b/>
          <w:bCs/>
          <w:sz w:val="21"/>
          <w:szCs w:val="21"/>
        </w:rPr>
        <w:t xml:space="preserve">Por qué el MDF/Data Center está en el Piso 2 y no en el Piso 1</w:t>
      </w:r>
      <w:r>
        <w:rPr>
          <w:sz w:val="21"/>
          <w:szCs w:val="21"/>
        </w:rPr>
        <w:t xml:space="preserve">: se descartó deliberadamente la planta baja por riesgo de inundación — es una práctica de sitio estándar en el diseño de Data Centers (Uptime Institute / BICSI 002 desaconsejan planta baja y sótano precisamente por exposición a inundación, además de mayor exposición a acceso vehicular/entregas y menor profundidad de seguridad física). El Piso 2 es el primer nivel elevado del edificio, reduciendo ese riesgo sin llevar el equipo pesado (rack 42U, UPS, futura planta eléctrica) más arriba de lo necesario. Como beneficio adicional, coincide con dónde está </w:t>
      </w:r>
      <w:r>
        <w:rPr>
          <w:b/>
          <w:bCs/>
          <w:sz w:val="21"/>
          <w:szCs w:val="21"/>
        </w:rPr>
        <w:t xml:space="preserve">Soporte I/T</w:t>
      </w:r>
      <w:r>
        <w:rPr>
          <w:sz w:val="21"/>
          <w:szCs w:val="21"/>
        </w:rPr>
        <w:t xml:space="preserve"> — son quienes administran el Data Center día a día, así que tenerlos en el mismo piso reduce el tiempo de respuesta ante cualquier incidente físico (un cambio de patch cord, un reinicio manual, etc.) sin necesidad de subir/bajar pisos.</w:t>
      </w:r>
    </w:p>
    <w:p>
      <w:pPr>
        <w:spacing w:after="160"/>
        <w:jc w:val="both"/>
      </w:pPr>
      <w:r>
        <w:rPr>
          <w:sz w:val="21"/>
          <w:szCs w:val="21"/>
        </w:rPr>
        <w:t xml:space="preserve">Desarrollo I/T (110) se divide en 2 IDFs de 55 para no superar la regla práctica de 90–100 m de cableado horizontal por norma </w:t>
      </w:r>
      <w:r>
        <w:rPr>
          <w:b/>
          <w:bCs/>
          <w:sz w:val="21"/>
          <w:szCs w:val="21"/>
        </w:rPr>
        <w:t xml:space="preserve">TIA/EIA-568</w:t>
      </w:r>
      <w:r>
        <w:rPr>
          <w:sz w:val="21"/>
          <w:szCs w:val="21"/>
        </w:rPr>
        <w:t xml:space="preserve"> y para no saturar un solo rack de piso ni concentrar 110 puntos de falla física en un único gabinete.</w:t>
      </w:r>
    </w:p>
    <w:p>
      <w:pPr>
        <w:pStyle w:val="Heading2"/>
        <w:spacing w:after="180" w:before="320"/>
      </w:pPr>
      <w:r>
        <w:t xml:space="preserve">2. Diagrama de planta por piso (bloques, no a escala)</w:t>
      </w:r>
    </w:p>
    <w:p>
      <w:pPr>
        <w:spacing w:after="80" w:before="20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47850"/>
                    </a:xfrm>
                    <a:prstGeom prst="rect">
                      <a:avLst/>
                    </a:prstGeom>
                  </pic:spPr>
                </pic:pic>
              </a:graphicData>
            </a:graphic>
          </wp:inline>
        </w:drawing>
      </w:r>
    </w:p>
    <w:p>
      <w:pPr>
        <w:spacing w:after="240"/>
        <w:jc w:val="center"/>
      </w:pPr>
      <w:r>
        <w:rPr>
          <w:i/>
          <w:iCs/>
          <w:color w:val="555555"/>
          <w:sz w:val="18"/>
          <w:szCs w:val="18"/>
        </w:rPr>
        <w:t xml:space="preserve">Figura 4.1 — Diagrama de planta por piso</w:t>
      </w:r>
    </w:p>
    <w:p>
      <w:pPr>
        <w:spacing w:after="160"/>
        <w:jc w:val="both"/>
      </w:pPr>
      <w:r>
        <w:rPr>
          <w:sz w:val="21"/>
          <w:szCs w:val="21"/>
        </w:rPr>
        <w:t xml:space="preserve">Nota de lectura: el MDF ya no está en planta baja — subió al Piso 2 por prevención de inundación (ver justificación en §1). El backbone hacia el Piso 1 ahora </w:t>
      </w:r>
      <w:r>
        <w:rPr>
          <w:b/>
          <w:bCs/>
          <w:sz w:val="21"/>
          <w:szCs w:val="21"/>
        </w:rPr>
        <w:t xml:space="preserve">baja</w:t>
      </w:r>
      <w:r>
        <w:rPr>
          <w:sz w:val="21"/>
          <w:szCs w:val="21"/>
        </w:rPr>
        <w:t xml:space="preserve"> en vez de solo subir, pero la distancia vertical es la misma (1 entrepiso), así que el presupuesto de atenuación de fibra (§4.1) no cambia.</w:t>
      </w:r>
    </w:p>
    <w:p>
      <w:pPr>
        <w:pStyle w:val="Heading2"/>
        <w:spacing w:after="180" w:before="320"/>
      </w:pPr>
      <w:r>
        <w:t xml:space="preserve">3. Cuartos de telecomunicaciones (TR) — dimensionamiento conforme TIA-569-D</w:t>
      </w:r>
    </w:p>
    <w:p>
      <w:pPr>
        <w:spacing w:after="160"/>
        <w:jc w:val="both"/>
      </w:pPr>
      <w:r>
        <w:rPr>
          <w:sz w:val="21"/>
          <w:szCs w:val="21"/>
        </w:rPr>
        <w:t xml:space="preserve">TIA-569-D exige que todo cuarto de telecomunicaciones (TR/IDF) se dimensione en función de la cantidad de puestos que atiende, no de un tamaño arbitrario fijo. Regla general de la norma: mínimo </w:t>
      </w:r>
      <w:r>
        <w:rPr>
          <w:b/>
          <w:bCs/>
          <w:sz w:val="21"/>
          <w:szCs w:val="21"/>
        </w:rPr>
        <w:t xml:space="preserve">1.85 m² (≈ 20 ft²) para hasta 100 m² de área servida</w:t>
      </w:r>
      <w:r>
        <w:rPr>
          <w:sz w:val="21"/>
          <w:szCs w:val="21"/>
        </w:rPr>
        <w:t xml:space="preserve">, escalando aproximadamente </w:t>
      </w:r>
      <w:r>
        <w:rPr>
          <w:b/>
          <w:bCs/>
          <w:sz w:val="21"/>
          <w:szCs w:val="21"/>
        </w:rPr>
        <w:t xml:space="preserve">1 m² adicional por cada 500 m² de piso servido adicional</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IDF</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Puestos servidos</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Área aproximada del piso servida</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Dimensión mínima recomendada</w:t>
            </w:r>
          </w:p>
        </w:tc>
      </w:tr>
      <w:tr>
        <w:tc>
          <w:tcPr>
            <w:tcW w:type="dxa" w:w="2340"/>
            <w:tcMar>
              <w:top w:type="dxa" w:w="80"/>
              <w:left w:type="dxa" w:w="100"/>
              <w:bottom w:type="dxa" w:w="80"/>
              <w:right w:type="dxa" w:w="100"/>
            </w:tcMar>
            <w:vAlign w:val="center"/>
          </w:tcPr>
          <w:p>
            <w:r>
              <w:rPr>
                <w:b w:val="false"/>
                <w:bCs w:val="false"/>
                <w:sz w:val="19"/>
                <w:szCs w:val="19"/>
              </w:rPr>
              <w:t xml:space="preserve">Piso 1</w:t>
            </w:r>
          </w:p>
        </w:tc>
        <w:tc>
          <w:tcPr>
            <w:tcW w:type="dxa" w:w="2340"/>
            <w:tcMar>
              <w:top w:type="dxa" w:w="80"/>
              <w:left w:type="dxa" w:w="100"/>
              <w:bottom w:type="dxa" w:w="80"/>
              <w:right w:type="dxa" w:w="100"/>
            </w:tcMar>
            <w:vAlign w:val="center"/>
          </w:tcPr>
          <w:p>
            <w:r>
              <w:rPr>
                <w:b w:val="false"/>
                <w:bCs w:val="false"/>
                <w:sz w:val="19"/>
                <w:szCs w:val="19"/>
              </w:rPr>
              <w:t xml:space="preserve">60 drops</w:t>
            </w:r>
          </w:p>
        </w:tc>
        <w:tc>
          <w:tcPr>
            <w:tcW w:type="dxa" w:w="2340"/>
            <w:tcMar>
              <w:top w:type="dxa" w:w="80"/>
              <w:left w:type="dxa" w:w="100"/>
              <w:bottom w:type="dxa" w:w="80"/>
              <w:right w:type="dxa" w:w="100"/>
            </w:tcMar>
            <w:vAlign w:val="center"/>
          </w:tcPr>
          <w:p>
            <w:r>
              <w:rPr>
                <w:b w:val="false"/>
                <w:bCs w:val="false"/>
                <w:sz w:val="19"/>
                <w:szCs w:val="19"/>
              </w:rPr>
              <w:t xml:space="preserve">~200–250 m² (estimado — Recepción ocupa parte del área sin puestos de red)</w:t>
            </w:r>
          </w:p>
        </w:tc>
        <w:tc>
          <w:tcPr>
            <w:tcW w:type="dxa" w:w="2340"/>
            <w:tcMar>
              <w:top w:type="dxa" w:w="80"/>
              <w:left w:type="dxa" w:w="100"/>
              <w:bottom w:type="dxa" w:w="80"/>
              <w:right w:type="dxa" w:w="100"/>
            </w:tcMar>
            <w:vAlign w:val="center"/>
          </w:tcPr>
          <w:p>
            <w:r>
              <w:rPr>
                <w:b w:val="false"/>
                <w:bCs w:val="false"/>
                <w:sz w:val="19"/>
                <w:szCs w:val="19"/>
              </w:rPr>
              <w:t xml:space="preserve">≈ 2.0–2.5 m² — rack de pared 12U cabe cómodo</w:t>
            </w:r>
          </w:p>
        </w:tc>
      </w:tr>
      <w:tr>
        <w:tc>
          <w:tcPr>
            <w:tcW w:type="dxa" w:w="2340"/>
            <w:tcMar>
              <w:top w:type="dxa" w:w="80"/>
              <w:left w:type="dxa" w:w="100"/>
              <w:bottom w:type="dxa" w:w="80"/>
              <w:right w:type="dxa" w:w="100"/>
            </w:tcMar>
            <w:vAlign w:val="center"/>
          </w:tcPr>
          <w:p>
            <w:r>
              <w:rPr>
                <w:b w:val="false"/>
                <w:bCs w:val="false"/>
                <w:sz w:val="19"/>
                <w:szCs w:val="19"/>
              </w:rPr>
              <w:t xml:space="preserve">Piso 3</w:t>
            </w:r>
          </w:p>
        </w:tc>
        <w:tc>
          <w:tcPr>
            <w:tcW w:type="dxa" w:w="2340"/>
            <w:tcMar>
              <w:top w:type="dxa" w:w="80"/>
              <w:left w:type="dxa" w:w="100"/>
              <w:bottom w:type="dxa" w:w="80"/>
              <w:right w:type="dxa" w:w="100"/>
            </w:tcMar>
            <w:vAlign w:val="center"/>
          </w:tcPr>
          <w:p>
            <w:r>
              <w:rPr>
                <w:b w:val="false"/>
                <w:bCs w:val="false"/>
                <w:sz w:val="19"/>
                <w:szCs w:val="19"/>
              </w:rPr>
              <w:t xml:space="preserve">110 drops</w:t>
            </w:r>
          </w:p>
        </w:tc>
        <w:tc>
          <w:tcPr>
            <w:tcW w:type="dxa" w:w="2340"/>
            <w:tcMar>
              <w:top w:type="dxa" w:w="80"/>
              <w:left w:type="dxa" w:w="100"/>
              <w:bottom w:type="dxa" w:w="80"/>
              <w:right w:type="dxa" w:w="100"/>
            </w:tcMar>
            <w:vAlign w:val="center"/>
          </w:tcPr>
          <w:p>
            <w:r>
              <w:rPr>
                <w:b w:val="false"/>
                <w:bCs w:val="false"/>
                <w:sz w:val="19"/>
                <w:szCs w:val="19"/>
              </w:rPr>
              <w:t xml:space="preserve">~300–350 m² (estimado, mayor densidad de puestos)</w:t>
            </w:r>
          </w:p>
        </w:tc>
        <w:tc>
          <w:tcPr>
            <w:tcW w:type="dxa" w:w="2340"/>
            <w:tcMar>
              <w:top w:type="dxa" w:w="80"/>
              <w:left w:type="dxa" w:w="100"/>
              <w:bottom w:type="dxa" w:w="80"/>
              <w:right w:type="dxa" w:w="100"/>
            </w:tcMar>
            <w:vAlign w:val="center"/>
          </w:tcPr>
          <w:p>
            <w:r>
              <w:rPr>
                <w:b w:val="false"/>
                <w:bCs w:val="false"/>
                <w:sz w:val="19"/>
                <w:szCs w:val="19"/>
              </w:rPr>
              <w:t xml:space="preserve">≈ 2.5–3.0 m²</w:t>
            </w:r>
          </w:p>
        </w:tc>
      </w:tr>
      <w:tr>
        <w:tc>
          <w:tcPr>
            <w:tcW w:type="dxa" w:w="2340"/>
            <w:tcMar>
              <w:top w:type="dxa" w:w="80"/>
              <w:left w:type="dxa" w:w="100"/>
              <w:bottom w:type="dxa" w:w="80"/>
              <w:right w:type="dxa" w:w="100"/>
            </w:tcMar>
            <w:vAlign w:val="center"/>
          </w:tcPr>
          <w:p>
            <w:r>
              <w:rPr>
                <w:b w:val="false"/>
                <w:bCs w:val="false"/>
                <w:sz w:val="19"/>
                <w:szCs w:val="19"/>
              </w:rPr>
              <w:t xml:space="preserve">Piso 4</w:t>
            </w:r>
          </w:p>
        </w:tc>
        <w:tc>
          <w:tcPr>
            <w:tcW w:type="dxa" w:w="2340"/>
            <w:tcMar>
              <w:top w:type="dxa" w:w="80"/>
              <w:left w:type="dxa" w:w="100"/>
              <w:bottom w:type="dxa" w:w="80"/>
              <w:right w:type="dxa" w:w="100"/>
            </w:tcMar>
            <w:vAlign w:val="center"/>
          </w:tcPr>
          <w:p>
            <w:r>
              <w:rPr>
                <w:b w:val="false"/>
                <w:bCs w:val="false"/>
                <w:sz w:val="19"/>
                <w:szCs w:val="19"/>
              </w:rPr>
              <w:t xml:space="preserve">110 drops</w:t>
            </w:r>
          </w:p>
        </w:tc>
        <w:tc>
          <w:tcPr>
            <w:tcW w:type="dxa" w:w="2340"/>
            <w:tcMar>
              <w:top w:type="dxa" w:w="80"/>
              <w:left w:type="dxa" w:w="100"/>
              <w:bottom w:type="dxa" w:w="80"/>
              <w:right w:type="dxa" w:w="100"/>
            </w:tcMar>
            <w:vAlign w:val="center"/>
          </w:tcPr>
          <w:p>
            <w:r>
              <w:rPr>
                <w:b w:val="false"/>
                <w:bCs w:val="false"/>
                <w:sz w:val="19"/>
                <w:szCs w:val="19"/>
              </w:rPr>
              <w:t xml:space="preserve">~300–350 m² (estimado)</w:t>
            </w:r>
          </w:p>
        </w:tc>
        <w:tc>
          <w:tcPr>
            <w:tcW w:type="dxa" w:w="2340"/>
            <w:tcMar>
              <w:top w:type="dxa" w:w="80"/>
              <w:left w:type="dxa" w:w="100"/>
              <w:bottom w:type="dxa" w:w="80"/>
              <w:right w:type="dxa" w:w="100"/>
            </w:tcMar>
            <w:vAlign w:val="center"/>
          </w:tcPr>
          <w:p>
            <w:r>
              <w:rPr>
                <w:b w:val="false"/>
                <w:bCs w:val="false"/>
                <w:sz w:val="19"/>
                <w:szCs w:val="19"/>
              </w:rPr>
              <w:t xml:space="preserve">≈ 2.5–3.0 m²</w:t>
            </w:r>
          </w:p>
        </w:tc>
      </w:tr>
    </w:tbl>
    <w:p>
      <w:pPr>
        <w:spacing w:after="200"/>
      </w:pPr>
    </w:p>
    <w:p>
      <w:pPr>
        <w:spacing w:after="160"/>
        <w:jc w:val="both"/>
      </w:pPr>
      <w:r>
        <w:rPr>
          <w:sz w:val="21"/>
          <w:szCs w:val="21"/>
        </w:rPr>
        <w:t xml:space="preserve">El Piso 2 no aparece en esta tabla como IDF porque ahí ya no hay un cuarto de telecomunicaciones aparte — es directamente el </w:t>
      </w:r>
      <w:r>
        <w:rPr>
          <w:b/>
          <w:bCs/>
          <w:sz w:val="21"/>
          <w:szCs w:val="21"/>
        </w:rPr>
        <w:t xml:space="preserve">MDF/Data Center</w:t>
      </w:r>
      <w:r>
        <w:rPr>
          <w:sz w:val="21"/>
          <w:szCs w:val="21"/>
        </w:rPr>
        <w:t xml:space="preserve">, dimensionado con los criterios de 06-Data-Center-Tier4.md (más exigentes que un TR estándar: piso elevado, 2N, extinción, etc.), no con la regla básica de TIA-569-D.</w:t>
      </w:r>
    </w:p>
    <w:p>
      <w:pPr>
        <w:spacing w:after="160"/>
        <w:jc w:val="both"/>
      </w:pPr>
      <w:r>
        <w:rPr>
          <w:sz w:val="21"/>
          <w:szCs w:val="21"/>
        </w:rPr>
        <w:t xml:space="preserve">Las áreas de piso son estimadas (no se provee plano arquitectónico en el enunciado) — se confirmarían con el plano real en la ingeniería de detalle, pero el criterio de dimensionamiento (norma, no un número inventado) es lo que importa documentar aquí.</w:t>
      </w:r>
    </w:p>
    <w:p>
      <w:pPr>
        <w:spacing w:after="160"/>
        <w:jc w:val="both"/>
      </w:pPr>
      <w:r>
        <w:rPr>
          <w:b/>
          <w:bCs/>
          <w:sz w:val="21"/>
          <w:szCs w:val="21"/>
        </w:rPr>
        <w:t xml:space="preserve">Requisitos ambientales del TR</w:t>
      </w:r>
      <w:r>
        <w:rPr>
          <w:sz w:val="21"/>
          <w:szCs w:val="21"/>
        </w:rPr>
        <w:t xml:space="preserve"> (TIA-569-D): iluminación mínima 540 lux a 1 m del piso, temperatura 18–27 °C durante operación (equipo activo genera calor incluso en un rack pequeño), acceso restringido, puerta con ancho mínimo de 0.91 m para permitir el ingreso de un rack completo.</w:t>
      </w:r>
    </w:p>
    <w:p>
      <w:pPr>
        <w:pStyle w:val="Heading2"/>
        <w:spacing w:after="180" w:before="320"/>
      </w:pPr>
      <w:r>
        <w:t xml:space="preserve">4. Cableado estructurado (norma TIA/EIA-568-C y ANSI/TIA-942 para el DC)</w:t>
      </w:r>
    </w:p>
    <w:p>
      <w:pPr>
        <w:pStyle w:val="Heading3"/>
        <w:spacing w:after="180" w:before="320"/>
      </w:pPr>
      <w:r>
        <w:t xml:space="preserve">4.1 Backbone vertical (MDF ↔ IDFs)</w:t>
      </w:r>
    </w:p>
    <w:p>
      <w:pPr>
        <w:spacing w:after="160"/>
        <w:jc w:val="both"/>
      </w:pPr>
      <w:r>
        <w:rPr>
          <w:sz w:val="21"/>
          <w:szCs w:val="21"/>
        </w:rPr>
        <w:t xml:space="preserve">Fibra óptica multimodo </w:t>
      </w:r>
      <w:r>
        <w:rPr>
          <w:b/>
          <w:bCs/>
          <w:sz w:val="21"/>
          <w:szCs w:val="21"/>
        </w:rPr>
        <w:t xml:space="preserve">OM4</w:t>
      </w:r>
      <w:r>
        <w:rPr>
          <w:sz w:val="21"/>
          <w:szCs w:val="21"/>
        </w:rPr>
        <w:t xml:space="preserve">, mínimo 2 hilos por IDF (redundancia y margen de crecimiento a 40/100 Gbps si en el futuro se requiere), corridas por ducto vertical dedicado, distinto del ducto de energía eléctrica. Presupuesto de atenuación de referencia para OM4 a 10GBASE-SR (la velocidad objetivo del backbone): pérdida máxima admitida ≈ 2.6 dB para un enlace de hasta 300 m — una corrida vertical de 3-4 pisos (≤ 50 m reales) queda muy por debajo del límite, con margen amplio para conectores y empalmes.</w:t>
      </w:r>
    </w:p>
    <w:p>
      <w:pPr>
        <w:pStyle w:val="Heading3"/>
        <w:spacing w:after="180" w:before="320"/>
      </w:pPr>
      <w:r>
        <w:t xml:space="preserve">4.2 Cableado horizontal (IDF ↔ estación de trabajo)</w:t>
      </w:r>
    </w:p>
    <w:p>
      <w:pPr>
        <w:spacing w:after="160"/>
        <w:jc w:val="both"/>
      </w:pPr>
      <w:r>
        <w:rPr>
          <w:sz w:val="21"/>
          <w:szCs w:val="21"/>
        </w:rPr>
        <w:t xml:space="preserve">UTP </w:t>
      </w:r>
      <w:r>
        <w:rPr>
          <w:b/>
          <w:bCs/>
          <w:sz w:val="21"/>
          <w:szCs w:val="21"/>
        </w:rPr>
        <w:t xml:space="preserve">Cat 6</w:t>
      </w:r>
      <w:r>
        <w:rPr>
          <w:sz w:val="21"/>
          <w:szCs w:val="21"/>
        </w:rPr>
        <w:t xml:space="preserve">, longitud máxima 90 m de enlace permanente + 10 m acumulados de patch cords en ambos extremos (regla del canal de 100 m total de TIA-568-C). Se estandariza Cat 6 (no Cat 5e) en todo el horizontal para soportar 1 Gbps con margen y PoE+ para los teléfonos IP.</w:t>
      </w:r>
    </w:p>
    <w:p>
      <w:pPr>
        <w:spacing w:after="160"/>
        <w:jc w:val="both"/>
      </w:pPr>
      <w:r>
        <w:rPr>
          <w:b/>
          <w:bCs/>
          <w:sz w:val="21"/>
          <w:szCs w:val="21"/>
        </w:rPr>
        <w:t xml:space="preserve">Tipo de cable según instalación</w:t>
      </w:r>
      <w:r>
        <w:rPr>
          <w:sz w:val="21"/>
          <w:szCs w:val="21"/>
        </w:rPr>
        <w:t xml:space="preserve">: cable rated </w:t>
      </w:r>
      <w:r>
        <w:rPr>
          <w:b/>
          <w:bCs/>
          <w:sz w:val="21"/>
          <w:szCs w:val="21"/>
        </w:rPr>
        <w:t xml:space="preserve">CMR (riser)</w:t>
      </w:r>
      <w:r>
        <w:rPr>
          <w:sz w:val="21"/>
          <w:szCs w:val="21"/>
        </w:rPr>
        <w:t xml:space="preserve"> para las corridas verticales dentro de ducto dedicado, y </w:t>
      </w:r>
      <w:r>
        <w:rPr>
          <w:b/>
          <w:bCs/>
          <w:sz w:val="21"/>
          <w:szCs w:val="21"/>
        </w:rPr>
        <w:t xml:space="preserve">CMP (plenum)</w:t>
      </w:r>
      <w:r>
        <w:rPr>
          <w:sz w:val="21"/>
          <w:szCs w:val="21"/>
        </w:rPr>
        <w:t xml:space="preserve"> en cualquier tramo que corra por espacio de retorno de aire del HVAC (cielo falso usado como plenum) — la norma NFPA 70 (NEC) exige plenum-rated en esos tramos por el riesgo de propagación de humo tóxico en caso de incendio; usar CMR donde se exige CMP es una falla de cumplimiento común que se previene documentándolo aquí explícitamente.</w:t>
      </w:r>
    </w:p>
    <w:p>
      <w:pPr>
        <w:pStyle w:val="Heading3"/>
        <w:spacing w:after="180" w:before="320"/>
      </w:pPr>
      <w:r>
        <w:t xml:space="preserve">4.3 Parámetros de certificación exigidos al terminar la instalación</w:t>
      </w:r>
    </w:p>
    <w:p>
      <w:pPr>
        <w:spacing w:after="160"/>
        <w:jc w:val="both"/>
      </w:pPr>
      <w:r>
        <w:rPr>
          <w:sz w:val="21"/>
          <w:szCs w:val="21"/>
        </w:rPr>
        <w:t xml:space="preserve">Conforme TIA-568-C.2, verificados con certificadora tipo Fluke Networks DSX-8000 o equivalente: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Parámetro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Qué mide</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Por qué importa</w:t>
            </w:r>
          </w:p>
        </w:tc>
      </w:tr>
      <w:tr>
        <w:tc>
          <w:tcPr>
            <w:tcW w:type="dxa" w:w="3120"/>
            <w:tcMar>
              <w:top w:type="dxa" w:w="80"/>
              <w:left w:type="dxa" w:w="100"/>
              <w:bottom w:type="dxa" w:w="80"/>
              <w:right w:type="dxa" w:w="100"/>
            </w:tcMar>
            <w:vAlign w:val="center"/>
          </w:tcPr>
          <w:p>
            <w:r>
              <w:rPr>
                <w:b w:val="false"/>
                <w:bCs w:val="false"/>
                <w:sz w:val="19"/>
                <w:szCs w:val="19"/>
              </w:rPr>
              <w:t xml:space="preserve">NEXT (Next-End Crosstalk)</w:t>
            </w:r>
          </w:p>
        </w:tc>
        <w:tc>
          <w:tcPr>
            <w:tcW w:type="dxa" w:w="3120"/>
            <w:tcMar>
              <w:top w:type="dxa" w:w="80"/>
              <w:left w:type="dxa" w:w="100"/>
              <w:bottom w:type="dxa" w:w="80"/>
              <w:right w:type="dxa" w:w="100"/>
            </w:tcMar>
            <w:vAlign w:val="center"/>
          </w:tcPr>
          <w:p>
            <w:r>
              <w:rPr>
                <w:b w:val="false"/>
                <w:bCs w:val="false"/>
                <w:sz w:val="19"/>
                <w:szCs w:val="19"/>
              </w:rPr>
              <w:t xml:space="preserve">Interferencia entre pares en el mismo extremo</w:t>
            </w:r>
          </w:p>
        </w:tc>
        <w:tc>
          <w:tcPr>
            <w:tcW w:type="dxa" w:w="3120"/>
            <w:tcMar>
              <w:top w:type="dxa" w:w="80"/>
              <w:left w:type="dxa" w:w="100"/>
              <w:bottom w:type="dxa" w:w="80"/>
              <w:right w:type="dxa" w:w="100"/>
            </w:tcMar>
            <w:vAlign w:val="center"/>
          </w:tcPr>
          <w:p>
            <w:r>
              <w:rPr>
                <w:b w:val="false"/>
                <w:bCs w:val="false"/>
                <w:sz w:val="19"/>
                <w:szCs w:val="19"/>
              </w:rPr>
              <w:t xml:space="preserve">Un NEXT fuera de rango causa errores de transmisión bidireccional</w:t>
            </w:r>
          </w:p>
        </w:tc>
      </w:tr>
      <w:tr>
        <w:tc>
          <w:tcPr>
            <w:tcW w:type="dxa" w:w="3120"/>
            <w:tcMar>
              <w:top w:type="dxa" w:w="80"/>
              <w:left w:type="dxa" w:w="100"/>
              <w:bottom w:type="dxa" w:w="80"/>
              <w:right w:type="dxa" w:w="100"/>
            </w:tcMar>
            <w:vAlign w:val="center"/>
          </w:tcPr>
          <w:p>
            <w:r>
              <w:rPr>
                <w:b w:val="false"/>
                <w:bCs w:val="false"/>
                <w:sz w:val="19"/>
                <w:szCs w:val="19"/>
              </w:rPr>
              <w:t xml:space="preserve">Insertion Loss (atenuación)</w:t>
            </w:r>
          </w:p>
        </w:tc>
        <w:tc>
          <w:tcPr>
            <w:tcW w:type="dxa" w:w="3120"/>
            <w:tcMar>
              <w:top w:type="dxa" w:w="80"/>
              <w:left w:type="dxa" w:w="100"/>
              <w:bottom w:type="dxa" w:w="80"/>
              <w:right w:type="dxa" w:w="100"/>
            </w:tcMar>
            <w:vAlign w:val="center"/>
          </w:tcPr>
          <w:p>
            <w:r>
              <w:rPr>
                <w:b w:val="false"/>
                <w:bCs w:val="false"/>
                <w:sz w:val="19"/>
                <w:szCs w:val="19"/>
              </w:rPr>
              <w:t xml:space="preserve">Pérdida de señal a lo largo del cable</w:t>
            </w:r>
          </w:p>
        </w:tc>
        <w:tc>
          <w:tcPr>
            <w:tcW w:type="dxa" w:w="3120"/>
            <w:tcMar>
              <w:top w:type="dxa" w:w="80"/>
              <w:left w:type="dxa" w:w="100"/>
              <w:bottom w:type="dxa" w:w="80"/>
              <w:right w:type="dxa" w:w="100"/>
            </w:tcMar>
            <w:vAlign w:val="center"/>
          </w:tcPr>
          <w:p>
            <w:r>
              <w:rPr>
                <w:b w:val="false"/>
                <w:bCs w:val="false"/>
                <w:sz w:val="19"/>
                <w:szCs w:val="19"/>
              </w:rPr>
              <w:t xml:space="preserve">Determina el alcance real utilizable del enlace</w:t>
            </w:r>
          </w:p>
        </w:tc>
      </w:tr>
      <w:tr>
        <w:tc>
          <w:tcPr>
            <w:tcW w:type="dxa" w:w="3120"/>
            <w:tcMar>
              <w:top w:type="dxa" w:w="80"/>
              <w:left w:type="dxa" w:w="100"/>
              <w:bottom w:type="dxa" w:w="80"/>
              <w:right w:type="dxa" w:w="100"/>
            </w:tcMar>
            <w:vAlign w:val="center"/>
          </w:tcPr>
          <w:p>
            <w:r>
              <w:rPr>
                <w:b w:val="false"/>
                <w:bCs w:val="false"/>
                <w:sz w:val="19"/>
                <w:szCs w:val="19"/>
              </w:rPr>
              <w:t xml:space="preserve">Return Loss</w:t>
            </w:r>
          </w:p>
        </w:tc>
        <w:tc>
          <w:tcPr>
            <w:tcW w:type="dxa" w:w="3120"/>
            <w:tcMar>
              <w:top w:type="dxa" w:w="80"/>
              <w:left w:type="dxa" w:w="100"/>
              <w:bottom w:type="dxa" w:w="80"/>
              <w:right w:type="dxa" w:w="100"/>
            </w:tcMar>
            <w:vAlign w:val="center"/>
          </w:tcPr>
          <w:p>
            <w:r>
              <w:rPr>
                <w:b w:val="false"/>
                <w:bCs w:val="false"/>
                <w:sz w:val="19"/>
                <w:szCs w:val="19"/>
              </w:rPr>
              <w:t xml:space="preserve">Señal reflejada por discontinuidades de impedancia</w:t>
            </w:r>
          </w:p>
        </w:tc>
        <w:tc>
          <w:tcPr>
            <w:tcW w:type="dxa" w:w="3120"/>
            <w:tcMar>
              <w:top w:type="dxa" w:w="80"/>
              <w:left w:type="dxa" w:w="100"/>
              <w:bottom w:type="dxa" w:w="80"/>
              <w:right w:type="dxa" w:w="100"/>
            </w:tcMar>
            <w:vAlign w:val="center"/>
          </w:tcPr>
          <w:p>
            <w:r>
              <w:rPr>
                <w:b w:val="false"/>
                <w:bCs w:val="false"/>
                <w:sz w:val="19"/>
                <w:szCs w:val="19"/>
              </w:rPr>
              <w:t xml:space="preserve">Indica conectores mal terminados o cable dañado</w:t>
            </w:r>
          </w:p>
        </w:tc>
      </w:tr>
      <w:tr>
        <w:tc>
          <w:tcPr>
            <w:tcW w:type="dxa" w:w="3120"/>
            <w:tcMar>
              <w:top w:type="dxa" w:w="80"/>
              <w:left w:type="dxa" w:w="100"/>
              <w:bottom w:type="dxa" w:w="80"/>
              <w:right w:type="dxa" w:w="100"/>
            </w:tcMar>
            <w:vAlign w:val="center"/>
          </w:tcPr>
          <w:p>
            <w:r>
              <w:rPr>
                <w:b w:val="false"/>
                <w:bCs w:val="false"/>
                <w:sz w:val="19"/>
                <w:szCs w:val="19"/>
              </w:rPr>
              <w:t xml:space="preserve">Propagation Delay / Delay Skew</w:t>
            </w:r>
          </w:p>
        </w:tc>
        <w:tc>
          <w:tcPr>
            <w:tcW w:type="dxa" w:w="3120"/>
            <w:tcMar>
              <w:top w:type="dxa" w:w="80"/>
              <w:left w:type="dxa" w:w="100"/>
              <w:bottom w:type="dxa" w:w="80"/>
              <w:right w:type="dxa" w:w="100"/>
            </w:tcMar>
            <w:vAlign w:val="center"/>
          </w:tcPr>
          <w:p>
            <w:r>
              <w:rPr>
                <w:b w:val="false"/>
                <w:bCs w:val="false"/>
                <w:sz w:val="19"/>
                <w:szCs w:val="19"/>
              </w:rPr>
              <w:t xml:space="preserve">Diferencia de tiempo de llegada entre pares</w:t>
            </w:r>
          </w:p>
        </w:tc>
        <w:tc>
          <w:tcPr>
            <w:tcW w:type="dxa" w:w="3120"/>
            <w:tcMar>
              <w:top w:type="dxa" w:w="80"/>
              <w:left w:type="dxa" w:w="100"/>
              <w:bottom w:type="dxa" w:w="80"/>
              <w:right w:type="dxa" w:w="100"/>
            </w:tcMar>
            <w:vAlign w:val="center"/>
          </w:tcPr>
          <w:p>
            <w:r>
              <w:rPr>
                <w:b w:val="false"/>
                <w:bCs w:val="false"/>
                <w:sz w:val="19"/>
                <w:szCs w:val="19"/>
              </w:rPr>
              <w:t xml:space="preserve">Crítico para Gigabit+ (usa los 4 pares simultáneamente) — un skew alto degrada el enlace aunque los demás parámetros pasen</w:t>
            </w:r>
          </w:p>
        </w:tc>
      </w:tr>
    </w:tbl>
    <w:p>
      <w:pPr>
        <w:spacing w:after="200"/>
      </w:pPr>
    </w:p>
    <w:p>
      <w:pPr>
        <w:spacing w:after="160"/>
        <w:jc w:val="both"/>
      </w:pPr>
      <w:r>
        <w:rPr>
          <w:sz w:val="21"/>
          <w:szCs w:val="21"/>
        </w:rPr>
        <w:t xml:space="preserve">Un enlace que no certifique estos 4 parámetros dentro de los límites Cat 6 no se acepta como entregado, sin excepción — es la única forma objetiva de saber que una instalación de cientos de puntos quedó bien hecha, en vez de confiar en "conecta y parece que funciona".</w:t>
      </w:r>
    </w:p>
    <w:p>
      <w:pPr>
        <w:pStyle w:val="Heading3"/>
        <w:spacing w:after="180" w:before="320"/>
      </w:pPr>
      <w:r>
        <w:t xml:space="preserve">4.4 Canalización y fill ratio (TIA-569-D)</w:t>
      </w:r>
    </w:p>
    <w:p>
      <w:pPr>
        <w:spacing w:after="160"/>
        <w:jc w:val="both"/>
      </w:pPr>
      <w:r>
        <w:rPr>
          <w:sz w:val="21"/>
          <w:szCs w:val="21"/>
        </w:rPr>
        <w:t xml:space="preserve">Bandeja perforada en cielo falso para las corridas principales + canaleta de pared hasta cada faceplate, con separación física mínima respecto a canalización eléctrica (evitar interferencia electromagnética/EMI sobre el par trenzado). Para tubería conduit donde aplique (bajadas verticales cortas, cruces de losa): </w:t>
      </w:r>
      <w:r>
        <w:rPr>
          <w:b/>
          <w:bCs/>
          <w:sz w:val="21"/>
          <w:szCs w:val="21"/>
        </w:rPr>
        <w:t xml:space="preserve">regla de llenado máximo del 40%</w:t>
      </w:r>
      <w:r>
        <w:rPr>
          <w:sz w:val="21"/>
          <w:szCs w:val="21"/>
        </w:rPr>
        <w:t xml:space="preserve"> del área transversal del conduit (estándar de la industria eléctrica/datos para permitir instalación sin daño al cable y disipación térmica) — se dimensiona el diámetro del conduit en función de la cantidad de cables que realmente pasarán por ahí, no al mínimo posible.</w:t>
      </w:r>
    </w:p>
    <w:p>
      <w:pPr>
        <w:pStyle w:val="Heading3"/>
        <w:spacing w:after="180" w:before="320"/>
      </w:pPr>
      <w:r>
        <w:t xml:space="preserve">4.5 Etiquetado</w:t>
      </w:r>
    </w:p>
    <w:p>
      <w:pPr>
        <w:spacing w:after="160"/>
        <w:jc w:val="both"/>
      </w:pPr>
      <w:r>
        <w:rPr>
          <w:sz w:val="21"/>
          <w:szCs w:val="21"/>
        </w:rPr>
        <w:t xml:space="preserve">Esquema </w:t>
      </w:r>
      <w:r>
        <w:rPr>
          <w:rFonts w:ascii="Consolas" w:cs="Consolas" w:eastAsia="Consolas" w:hAnsi="Consolas"/>
          <w:sz w:val="21"/>
          <w:szCs w:val="21"/>
        </w:rPr>
        <w:t xml:space="preserve">[Piso][IDF][Panel]-[Puerto]</w:t>
      </w:r>
      <w:r>
        <w:rPr>
          <w:sz w:val="21"/>
          <w:szCs w:val="21"/>
        </w:rPr>
        <w:t xml:space="preserve">, ej. </w:t>
      </w:r>
      <w:r>
        <w:rPr>
          <w:rFonts w:ascii="Consolas" w:cs="Consolas" w:eastAsia="Consolas" w:hAnsi="Consolas"/>
          <w:sz w:val="21"/>
          <w:szCs w:val="21"/>
        </w:rPr>
        <w:t xml:space="preserve">P3-IDF-A12</w:t>
      </w:r>
      <w:r>
        <w:rPr>
          <w:sz w:val="21"/>
          <w:szCs w:val="21"/>
        </w:rPr>
        <w:t xml:space="preserve">, conforme </w:t>
      </w:r>
      <w:r>
        <w:rPr>
          <w:b/>
          <w:bCs/>
          <w:sz w:val="21"/>
          <w:szCs w:val="21"/>
        </w:rPr>
        <w:t xml:space="preserve">TIA-606-B</w:t>
      </w:r>
      <w:r>
        <w:rPr>
          <w:sz w:val="21"/>
          <w:szCs w:val="21"/>
        </w:rPr>
        <w:t xml:space="preserve">, obligatorio en ambos extremos de cada cable y en el propio patch panel/faceplate — sin esto, cualquier troubleshooting futuro requiere re-trazar cable físicamente, lo que en una instalación de 400+ puntos es inviable en la práctica.</w:t>
      </w:r>
    </w:p>
    <w:p>
      <w:pPr>
        <w:pStyle w:val="Heading3"/>
        <w:spacing w:after="180" w:before="320"/>
      </w:pPr>
      <w:r>
        <w:t xml:space="preserve">4.6 Configuración de cada puesto</w:t>
      </w:r>
    </w:p>
    <w:p>
      <w:pPr>
        <w:spacing w:after="160"/>
        <w:jc w:val="both"/>
      </w:pPr>
      <w:r>
        <w:rPr>
          <w:sz w:val="21"/>
          <w:szCs w:val="21"/>
        </w:rPr>
        <w:t xml:space="preserve">Faceplate doble, 2 salidas RJ45 Cat 6 (1 dato + 1 voz/reserva), cableado en esquema </w:t>
      </w:r>
      <w:r>
        <w:rPr>
          <w:b/>
          <w:bCs/>
          <w:sz w:val="21"/>
          <w:szCs w:val="21"/>
        </w:rPr>
        <w:t xml:space="preserve">T568B</w:t>
      </w:r>
      <w:r>
        <w:rPr>
          <w:sz w:val="21"/>
          <w:szCs w:val="21"/>
        </w:rPr>
        <w:t xml:space="preserve"> (el más común en instalaciones nuevas en Latinoamérica, aunque cualquiera de los dos esquemas T568A/B es válido siempre que sea consistente en todo el proyecto).</w:t>
      </w:r>
    </w:p>
    <w:p>
      <w:pPr>
        <w:pStyle w:val="Heading3"/>
        <w:spacing w:after="180" w:before="320"/>
      </w:pPr>
      <w:r>
        <w:t xml:space="preserve">4.7 Racks de piso (IDF)</w:t>
      </w:r>
    </w:p>
    <w:p>
      <w:pPr>
        <w:spacing w:after="160"/>
        <w:jc w:val="both"/>
      </w:pPr>
      <w:r>
        <w:rPr>
          <w:sz w:val="21"/>
          <w:szCs w:val="21"/>
        </w:rPr>
        <w:t xml:space="preserve">Gabinete de pared 12U, con patch panel(es) Cat 6 24 puertos (cantidad según carga de cada piso, ver §6), organizador de cables horizontal, switch de piso PoE+ (alimenta los teléfonos IP sin cableado eléctrico adicional), regleta con UPS pequeño local (ver §5).</w:t>
      </w:r>
    </w:p>
    <w:p>
      <w:pPr>
        <w:pStyle w:val="Heading3"/>
        <w:spacing w:after="180" w:before="320"/>
      </w:pPr>
      <w:r>
        <w:t xml:space="preserve">4.8 Cuarto de equipos (MDF/Data Center)</w:t>
      </w:r>
    </w:p>
    <w:p>
      <w:pPr>
        <w:spacing w:after="160"/>
        <w:jc w:val="both"/>
      </w:pPr>
      <w:r>
        <w:rPr>
          <w:sz w:val="21"/>
          <w:szCs w:val="21"/>
        </w:rPr>
        <w:t xml:space="preserve">Rack de piso 42U estándar 19", ver elevación completa abajo y detalle de estándares (Tier 4, energía, enfriamiento, extinción) en 06-Data-Center-Tier4.md.</w:t>
      </w:r>
    </w:p>
    <w:p>
      <w:pPr>
        <w:pStyle w:val="Heading2"/>
        <w:spacing w:after="180" w:before="320"/>
      </w:pPr>
      <w:r>
        <w:t xml:space="preserve">5. Elevación del rack — MDF / Data Center (42U,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b/>
                <w:bCs/>
                <w:color w:val="FFFFFF"/>
                <w:sz w:val="19"/>
                <w:szCs w:val="19"/>
              </w:rPr>
              <w:t xml:space="preserve">U (posición)</w:t>
            </w:r>
          </w:p>
        </w:tc>
        <w:tc>
          <w:tcPr>
            <w:tcW w:type="dxa" w:w="4680"/>
            <w:shd w:fill="1F3864" w:color="auto" w:val="clear"/>
            <w:tcMar>
              <w:top w:type="dxa" w:w="80"/>
              <w:left w:type="dxa" w:w="100"/>
              <w:bottom w:type="dxa" w:w="80"/>
              <w:right w:type="dxa" w:w="100"/>
            </w:tcMar>
            <w:vAlign w:val="center"/>
          </w:tcPr>
          <w:p>
            <w:r>
              <w:rPr>
                <w:b/>
                <w:bCs/>
                <w:color w:val="FFFFFF"/>
                <w:sz w:val="19"/>
                <w:szCs w:val="19"/>
              </w:rPr>
              <w:t xml:space="preserve">Equipo</w:t>
            </w:r>
          </w:p>
        </w:tc>
      </w:tr>
      <w:tr>
        <w:tc>
          <w:tcPr>
            <w:tcW w:type="dxa" w:w="4680"/>
            <w:tcMar>
              <w:top w:type="dxa" w:w="80"/>
              <w:left w:type="dxa" w:w="100"/>
              <w:bottom w:type="dxa" w:w="80"/>
              <w:right w:type="dxa" w:w="100"/>
            </w:tcMar>
            <w:vAlign w:val="center"/>
          </w:tcPr>
          <w:p>
            <w:r>
              <w:rPr>
                <w:b w:val="false"/>
                <w:bCs w:val="false"/>
                <w:sz w:val="19"/>
                <w:szCs w:val="19"/>
              </w:rPr>
              <w:t xml:space="preserve">42–40</w:t>
            </w:r>
          </w:p>
        </w:tc>
        <w:tc>
          <w:tcPr>
            <w:tcW w:type="dxa" w:w="4680"/>
            <w:tcMar>
              <w:top w:type="dxa" w:w="80"/>
              <w:left w:type="dxa" w:w="100"/>
              <w:bottom w:type="dxa" w:w="80"/>
              <w:right w:type="dxa" w:w="100"/>
            </w:tcMar>
            <w:vAlign w:val="center"/>
          </w:tcPr>
          <w:p>
            <w:r>
              <w:rPr>
                <w:b w:val="false"/>
                <w:bCs w:val="false"/>
                <w:sz w:val="19"/>
                <w:szCs w:val="19"/>
              </w:rPr>
              <w:t xml:space="preserve">Panel pasacables + ventilación</w:t>
            </w:r>
          </w:p>
        </w:tc>
      </w:tr>
      <w:tr>
        <w:tc>
          <w:tcPr>
            <w:tcW w:type="dxa" w:w="4680"/>
            <w:tcMar>
              <w:top w:type="dxa" w:w="80"/>
              <w:left w:type="dxa" w:w="100"/>
              <w:bottom w:type="dxa" w:w="80"/>
              <w:right w:type="dxa" w:w="100"/>
            </w:tcMar>
            <w:vAlign w:val="center"/>
          </w:tcPr>
          <w:p>
            <w:r>
              <w:rPr>
                <w:b w:val="false"/>
                <w:bCs w:val="false"/>
                <w:sz w:val="19"/>
                <w:szCs w:val="19"/>
              </w:rPr>
              <w:t xml:space="preserve">39–37</w:t>
            </w:r>
          </w:p>
        </w:tc>
        <w:tc>
          <w:tcPr>
            <w:tcW w:type="dxa" w:w="4680"/>
            <w:tcMar>
              <w:top w:type="dxa" w:w="80"/>
              <w:left w:type="dxa" w:w="100"/>
              <w:bottom w:type="dxa" w:w="80"/>
              <w:right w:type="dxa" w:w="100"/>
            </w:tcMar>
            <w:vAlign w:val="center"/>
          </w:tcPr>
          <w:p>
            <w:r>
              <w:rPr>
                <w:b w:val="false"/>
                <w:bCs w:val="false"/>
                <w:sz w:val="19"/>
                <w:szCs w:val="19"/>
              </w:rPr>
              <w:t xml:space="preserve">Patch panels Cat 6 24p / ODF de fibra (terminación del backbone hacia los 3 IDFs)</w:t>
            </w:r>
          </w:p>
        </w:tc>
      </w:tr>
      <w:tr>
        <w:tc>
          <w:tcPr>
            <w:tcW w:type="dxa" w:w="4680"/>
            <w:tcMar>
              <w:top w:type="dxa" w:w="80"/>
              <w:left w:type="dxa" w:w="100"/>
              <w:bottom w:type="dxa" w:w="80"/>
              <w:right w:type="dxa" w:w="100"/>
            </w:tcMar>
            <w:vAlign w:val="center"/>
          </w:tcPr>
          <w:p>
            <w:r>
              <w:rPr>
                <w:b w:val="false"/>
                <w:bCs w:val="false"/>
                <w:sz w:val="19"/>
                <w:szCs w:val="19"/>
              </w:rPr>
              <w:t xml:space="preserve">36</w:t>
            </w:r>
          </w:p>
        </w:tc>
        <w:tc>
          <w:tcPr>
            <w:tcW w:type="dxa" w:w="4680"/>
            <w:tcMar>
              <w:top w:type="dxa" w:w="80"/>
              <w:left w:type="dxa" w:w="100"/>
              <w:bottom w:type="dxa" w:w="80"/>
              <w:right w:type="dxa" w:w="100"/>
            </w:tcMar>
            <w:vAlign w:val="center"/>
          </w:tcPr>
          <w:p>
            <w:r>
              <w:rPr>
                <w:b w:val="false"/>
                <w:bCs w:val="false"/>
                <w:sz w:val="19"/>
                <w:szCs w:val="19"/>
              </w:rPr>
              <w:t xml:space="preserve">Organizador horizontal de cables</w:t>
            </w:r>
          </w:p>
        </w:tc>
      </w:tr>
      <w:tr>
        <w:tc>
          <w:tcPr>
            <w:tcW w:type="dxa" w:w="4680"/>
            <w:tcMar>
              <w:top w:type="dxa" w:w="80"/>
              <w:left w:type="dxa" w:w="100"/>
              <w:bottom w:type="dxa" w:w="80"/>
              <w:right w:type="dxa" w:w="100"/>
            </w:tcMar>
            <w:vAlign w:val="center"/>
          </w:tcPr>
          <w:p>
            <w:r>
              <w:rPr>
                <w:b w:val="false"/>
                <w:bCs w:val="false"/>
                <w:sz w:val="19"/>
                <w:szCs w:val="19"/>
              </w:rPr>
              <w:t xml:space="preserve">35–33</w:t>
            </w:r>
          </w:p>
        </w:tc>
        <w:tc>
          <w:tcPr>
            <w:tcW w:type="dxa" w:w="4680"/>
            <w:tcMar>
              <w:top w:type="dxa" w:w="80"/>
              <w:left w:type="dxa" w:w="100"/>
              <w:bottom w:type="dxa" w:w="80"/>
              <w:right w:type="dxa" w:w="100"/>
            </w:tcMar>
            <w:vAlign w:val="center"/>
          </w:tcPr>
          <w:p>
            <w:r>
              <w:rPr>
                <w:b w:val="false"/>
                <w:bCs w:val="false"/>
                <w:sz w:val="19"/>
                <w:szCs w:val="19"/>
              </w:rPr>
              <w:t xml:space="preserve">Router Core R1 (MikroTik) + Switch físico de distribución</w:t>
            </w:r>
          </w:p>
        </w:tc>
      </w:tr>
      <w:tr>
        <w:tc>
          <w:tcPr>
            <w:tcW w:type="dxa" w:w="4680"/>
            <w:tcMar>
              <w:top w:type="dxa" w:w="80"/>
              <w:left w:type="dxa" w:w="100"/>
              <w:bottom w:type="dxa" w:w="80"/>
              <w:right w:type="dxa" w:w="100"/>
            </w:tcMar>
            <w:vAlign w:val="center"/>
          </w:tcPr>
          <w:p>
            <w:r>
              <w:rPr>
                <w:b w:val="false"/>
                <w:bCs w:val="false"/>
                <w:sz w:val="19"/>
                <w:szCs w:val="19"/>
              </w:rPr>
              <w:t xml:space="preserve">32–30</w:t>
            </w:r>
          </w:p>
        </w:tc>
        <w:tc>
          <w:tcPr>
            <w:tcW w:type="dxa" w:w="4680"/>
            <w:tcMar>
              <w:top w:type="dxa" w:w="80"/>
              <w:left w:type="dxa" w:w="100"/>
              <w:bottom w:type="dxa" w:w="80"/>
              <w:right w:type="dxa" w:w="100"/>
            </w:tcMar>
            <w:vAlign w:val="center"/>
          </w:tcPr>
          <w:p>
            <w:r>
              <w:rPr>
                <w:b w:val="false"/>
                <w:bCs w:val="false"/>
                <w:sz w:val="19"/>
                <w:szCs w:val="19"/>
              </w:rPr>
              <w:t xml:space="preserve">Servidor (laptop/PC con SSD externo portátil — Proxmox VE: Nube Privada)</w:t>
            </w:r>
          </w:p>
        </w:tc>
      </w:tr>
      <w:tr>
        <w:tc>
          <w:tcPr>
            <w:tcW w:type="dxa" w:w="4680"/>
            <w:tcMar>
              <w:top w:type="dxa" w:w="80"/>
              <w:left w:type="dxa" w:w="100"/>
              <w:bottom w:type="dxa" w:w="80"/>
              <w:right w:type="dxa" w:w="100"/>
            </w:tcMar>
            <w:vAlign w:val="center"/>
          </w:tcPr>
          <w:p>
            <w:r>
              <w:rPr>
                <w:b w:val="false"/>
                <w:bCs w:val="false"/>
                <w:sz w:val="19"/>
                <w:szCs w:val="19"/>
              </w:rPr>
              <w:t xml:space="preserve">29–20</w:t>
            </w:r>
          </w:p>
        </w:tc>
        <w:tc>
          <w:tcPr>
            <w:tcW w:type="dxa" w:w="4680"/>
            <w:tcMar>
              <w:top w:type="dxa" w:w="80"/>
              <w:left w:type="dxa" w:w="100"/>
              <w:bottom w:type="dxa" w:w="80"/>
              <w:right w:type="dxa" w:w="100"/>
            </w:tcMar>
            <w:vAlign w:val="center"/>
          </w:tcPr>
          <w:p>
            <w:r>
              <w:rPr>
                <w:b w:val="false"/>
                <w:bCs w:val="false"/>
                <w:sz w:val="19"/>
                <w:szCs w:val="19"/>
              </w:rPr>
              <w:t xml:space="preserve">Reservado — crecimiento de servidores físicos (hasta completar los 12 de "Servidores Físicos/Virtuales")</w:t>
            </w:r>
          </w:p>
        </w:tc>
      </w:tr>
      <w:tr>
        <w:tc>
          <w:tcPr>
            <w:tcW w:type="dxa" w:w="4680"/>
            <w:tcMar>
              <w:top w:type="dxa" w:w="80"/>
              <w:left w:type="dxa" w:w="100"/>
              <w:bottom w:type="dxa" w:w="80"/>
              <w:right w:type="dxa" w:w="100"/>
            </w:tcMar>
            <w:vAlign w:val="center"/>
          </w:tcPr>
          <w:p>
            <w:r>
              <w:rPr>
                <w:b w:val="false"/>
                <w:bCs w:val="false"/>
                <w:sz w:val="19"/>
                <w:szCs w:val="19"/>
              </w:rPr>
              <w:t xml:space="preserve">19–10</w:t>
            </w:r>
          </w:p>
        </w:tc>
        <w:tc>
          <w:tcPr>
            <w:tcW w:type="dxa" w:w="4680"/>
            <w:tcMar>
              <w:top w:type="dxa" w:w="80"/>
              <w:left w:type="dxa" w:w="100"/>
              <w:bottom w:type="dxa" w:w="80"/>
              <w:right w:type="dxa" w:w="100"/>
            </w:tcMar>
            <w:vAlign w:val="center"/>
          </w:tcPr>
          <w:p>
            <w:r>
              <w:rPr>
                <w:b w:val="false"/>
                <w:bCs w:val="false"/>
                <w:sz w:val="19"/>
                <w:szCs w:val="19"/>
              </w:rPr>
              <w:t xml:space="preserve">Equipo de telefonía IP (PBX/gateway) y switch PoE+ dedicado a VoIP</w:t>
            </w:r>
          </w:p>
        </w:tc>
      </w:tr>
      <w:tr>
        <w:tc>
          <w:tcPr>
            <w:tcW w:type="dxa" w:w="4680"/>
            <w:tcMar>
              <w:top w:type="dxa" w:w="80"/>
              <w:left w:type="dxa" w:w="100"/>
              <w:bottom w:type="dxa" w:w="80"/>
              <w:right w:type="dxa" w:w="100"/>
            </w:tcMar>
            <w:vAlign w:val="center"/>
          </w:tcPr>
          <w:p>
            <w:r>
              <w:rPr>
                <w:b w:val="false"/>
                <w:bCs w:val="false"/>
                <w:sz w:val="19"/>
                <w:szCs w:val="19"/>
              </w:rPr>
              <w:t xml:space="preserve">9–4</w:t>
            </w:r>
          </w:p>
        </w:tc>
        <w:tc>
          <w:tcPr>
            <w:tcW w:type="dxa" w:w="4680"/>
            <w:tcMar>
              <w:top w:type="dxa" w:w="80"/>
              <w:left w:type="dxa" w:w="100"/>
              <w:bottom w:type="dxa" w:w="80"/>
              <w:right w:type="dxa" w:w="100"/>
            </w:tcMar>
            <w:vAlign w:val="center"/>
          </w:tcPr>
          <w:p>
            <w:r>
              <w:rPr>
                <w:b w:val="false"/>
                <w:bCs w:val="false"/>
                <w:sz w:val="19"/>
                <w:szCs w:val="19"/>
              </w:rPr>
              <w:t xml:space="preserve">PDUs redundantes (rama A / rama B)</w:t>
            </w:r>
          </w:p>
        </w:tc>
      </w:tr>
      <w:tr>
        <w:tc>
          <w:tcPr>
            <w:tcW w:type="dxa" w:w="4680"/>
            <w:tcMar>
              <w:top w:type="dxa" w:w="80"/>
              <w:left w:type="dxa" w:w="100"/>
              <w:bottom w:type="dxa" w:w="80"/>
              <w:right w:type="dxa" w:w="100"/>
            </w:tcMar>
            <w:vAlign w:val="center"/>
          </w:tcPr>
          <w:p>
            <w:r>
              <w:rPr>
                <w:b w:val="false"/>
                <w:bCs w:val="false"/>
                <w:sz w:val="19"/>
                <w:szCs w:val="19"/>
              </w:rPr>
              <w:t xml:space="preserve">3–1</w:t>
            </w:r>
          </w:p>
        </w:tc>
        <w:tc>
          <w:tcPr>
            <w:tcW w:type="dxa" w:w="4680"/>
            <w:tcMar>
              <w:top w:type="dxa" w:w="80"/>
              <w:left w:type="dxa" w:w="100"/>
              <w:bottom w:type="dxa" w:w="80"/>
              <w:right w:type="dxa" w:w="100"/>
            </w:tcMar>
            <w:vAlign w:val="center"/>
          </w:tcPr>
          <w:p>
            <w:r>
              <w:rPr>
                <w:b w:val="false"/>
                <w:bCs w:val="false"/>
                <w:sz w:val="19"/>
                <w:szCs w:val="19"/>
              </w:rPr>
              <w:t xml:space="preserve">UPS de rack (o base del rack si el UPS central es de piso, fuera del rack)</w:t>
            </w:r>
          </w:p>
        </w:tc>
      </w:tr>
    </w:tbl>
    <w:p>
      <w:pPr>
        <w:spacing w:after="200"/>
      </w:pPr>
    </w:p>
    <w:p>
      <w:pPr>
        <w:spacing w:after="160"/>
        <w:jc w:val="both"/>
      </w:pPr>
      <w:r>
        <w:rPr>
          <w:sz w:val="21"/>
          <w:szCs w:val="21"/>
        </w:rPr>
        <w:t xml:space="preserve">Esta elevación es referencial para el diseño de producción — para el laboratorio de demo (Fase 4) solo se ocupan físicamente las posiciones de R1, el switch y la conexión hacia el servidor portátil.</w:t>
      </w:r>
    </w:p>
    <w:p>
      <w:pPr>
        <w:pStyle w:val="Heading2"/>
        <w:spacing w:after="180" w:before="320"/>
      </w:pPr>
      <w:r>
        <w:t xml:space="preserve">6. Estaciones de trabajo</w:t>
      </w:r>
    </w:p>
    <w:p>
      <w:pPr>
        <w:spacing w:after="160"/>
        <w:jc w:val="both"/>
      </w:pPr>
      <w:r>
        <w:rPr>
          <w:sz w:val="21"/>
          <w:szCs w:val="21"/>
        </w:rPr>
        <w:t xml:space="preserve">Cada puesto: 2 salidas RJ45 Cat 6 (datos + voz/reserva) en faceplate doble, certificadas con tester (Fluke DSX-8000 o equivalente) al terminar la instalación conforme los 4 parámetros descritos en §4.3, con reporte de certificación por punto entregado como parte del proyecto real (no aplica para el laboratorio de demo, que no involucra cableado estructurado a esta escala). Altura recomendada del faceplate: 30 cm sobre el nivel de piso terminado (o integrado en el mobiliario/canaleta de escritorio, según el diseño de interiores final).</w:t>
      </w:r>
    </w:p>
    <w:p>
      <w:pPr>
        <w:pStyle w:val="Heading2"/>
        <w:spacing w:after="180" w:before="320"/>
      </w:pPr>
      <w:r>
        <w:t xml:space="preserve">7. Sistema de UPS</w:t>
      </w:r>
    </w:p>
    <w:p>
      <w:pPr>
        <w:pStyle w:val="ListParagraph"/>
        <w:numPr>
          <w:ilvl w:val="0"/>
          <w:numId w:val="2"/>
        </w:numPr>
        <w:spacing w:after="80"/>
      </w:pPr>
      <w:r>
        <w:rPr>
          <w:b/>
          <w:bCs/>
          <w:sz w:val="21"/>
          <w:szCs w:val="21"/>
        </w:rPr>
        <w:t xml:space="preserve">UPS central del Data Center</w:t>
      </w:r>
      <w:r>
        <w:rPr>
          <w:sz w:val="21"/>
          <w:szCs w:val="21"/>
        </w:rPr>
        <w:t xml:space="preserve">: on-line doble conversión, 2N (dos unidades independientes), dimensionado según memoria de cálculo completa en 06-Data-Center-Tier4.md §3.</w:t>
      </w:r>
    </w:p>
    <w:p>
      <w:pPr>
        <w:pStyle w:val="ListParagraph"/>
        <w:numPr>
          <w:ilvl w:val="0"/>
          <w:numId w:val="2"/>
        </w:numPr>
        <w:spacing w:after="80"/>
      </w:pPr>
      <w:r>
        <w:rPr>
          <w:b/>
          <w:bCs/>
          <w:sz w:val="21"/>
          <w:szCs w:val="21"/>
        </w:rPr>
        <w:t xml:space="preserve">UPS de piso (IDF)</w:t>
      </w:r>
      <w:r>
        <w:rPr>
          <w:sz w:val="21"/>
          <w:szCs w:val="21"/>
        </w:rPr>
        <w:t xml:space="preserve">: line-interactive pequeño (~1000VA) por gabinete, para sostener el switch de piso durante los 10-15 segundos que toma la transferencia automática a planta eléctrica.</w:t>
      </w:r>
    </w:p>
    <w:p>
      <w:pPr>
        <w:pStyle w:val="ListParagraph"/>
        <w:numPr>
          <w:ilvl w:val="0"/>
          <w:numId w:val="2"/>
        </w:numPr>
        <w:spacing w:after="80"/>
      </w:pPr>
      <w:r>
        <w:rPr>
          <w:b/>
          <w:bCs/>
          <w:sz w:val="21"/>
          <w:szCs w:val="21"/>
        </w:rPr>
        <w:t xml:space="preserve">Planta eléctrica (generador)</w:t>
      </w:r>
      <w:r>
        <w:rPr>
          <w:sz w:val="21"/>
          <w:szCs w:val="21"/>
        </w:rPr>
        <w:t xml:space="preserve">: requerida por el Tier 4 — ver 06-Data-Center-Tier4.md §3.4.</w:t>
      </w:r>
    </w:p>
    <w:p>
      <w:pPr>
        <w:pStyle w:val="Heading2"/>
        <w:spacing w:after="180" w:before="320"/>
      </w:pPr>
      <w:r>
        <w:t xml:space="preserve">8. Listado de materiales — memoria de cálculo y BOM (Bill of Materials)</w:t>
      </w:r>
    </w:p>
    <w:p>
      <w:pPr>
        <w:spacing w:after="160"/>
        <w:jc w:val="both"/>
      </w:pPr>
      <w:r>
        <w:rPr>
          <w:b/>
          <w:bCs/>
          <w:sz w:val="21"/>
          <w:szCs w:val="21"/>
        </w:rPr>
        <w:t xml:space="preserve">Metodología de cálculo del cableado horizontal</w:t>
      </w:r>
      <w:r>
        <w:rPr>
          <w:sz w:val="21"/>
          <w:szCs w:val="21"/>
        </w:rPr>
        <w:t xml:space="preserve"> (para que el número de cajas de cable no sea una estimación arbitraria):</w:t>
      </w:r>
    </w:p>
    <w:p>
      <w:pPr>
        <w:pStyle w:val="ListParagraph"/>
        <w:numPr>
          <w:ilvl w:val="0"/>
          <w:numId w:val="3"/>
        </w:numPr>
        <w:spacing w:after="80"/>
      </w:pPr>
      <w:r>
        <w:rPr>
          <w:sz w:val="21"/>
          <w:szCs w:val="21"/>
        </w:rPr>
        <w:t xml:space="preserve">Puestos de red totales: 184 usuarios × 2 salidas (dato + voz/reserva) = </w:t>
      </w:r>
      <w:r>
        <w:rPr>
          <w:b/>
          <w:bCs/>
          <w:sz w:val="21"/>
          <w:szCs w:val="21"/>
        </w:rPr>
        <w:t xml:space="preserve">368 drops</w:t>
      </w:r>
      <w:r>
        <w:rPr>
          <w:sz w:val="21"/>
          <w:szCs w:val="21"/>
        </w:rPr>
        <w:t xml:space="preserve">, + margen del 10% para áreas comunes, salas de reunión, impresoras de red y puntos de acceso WiFi futuros ≈ </w:t>
      </w:r>
      <w:r>
        <w:rPr>
          <w:b/>
          <w:bCs/>
          <w:sz w:val="21"/>
          <w:szCs w:val="21"/>
        </w:rPr>
        <w:t xml:space="preserve">405 drops</w:t>
      </w:r>
      <w:r>
        <w:rPr>
          <w:sz w:val="21"/>
          <w:szCs w:val="21"/>
        </w:rPr>
        <w:t xml:space="preserve">.</w:t>
      </w:r>
    </w:p>
    <w:p>
      <w:pPr>
        <w:pStyle w:val="ListParagraph"/>
        <w:numPr>
          <w:ilvl w:val="0"/>
          <w:numId w:val="3"/>
        </w:numPr>
        <w:spacing w:after="80"/>
      </w:pPr>
      <w:r>
        <w:rPr>
          <w:sz w:val="21"/>
          <w:szCs w:val="21"/>
        </w:rPr>
        <w:t xml:space="preserve">Longitud promedio de corrida estimada por drop: </w:t>
      </w:r>
      <w:r>
        <w:rPr>
          <w:b/>
          <w:bCs/>
          <w:sz w:val="21"/>
          <w:szCs w:val="21"/>
        </w:rPr>
        <w:t xml:space="preserve">45 m</w:t>
      </w:r>
      <w:r>
        <w:rPr>
          <w:sz w:val="21"/>
          <w:szCs w:val="21"/>
        </w:rPr>
        <w:t xml:space="preserve"> (supuesto de planeación razonable para un edificio de esta huella, muy por debajo del máximo de 90 m que permite la norma — se verificaría con el plano arquitectónico real en la ingeniería de detalle).</w:t>
      </w:r>
    </w:p>
    <w:p>
      <w:pPr>
        <w:pStyle w:val="ListParagraph"/>
        <w:numPr>
          <w:ilvl w:val="0"/>
          <w:numId w:val="3"/>
        </w:numPr>
        <w:spacing w:after="80"/>
      </w:pPr>
      <w:r>
        <w:rPr>
          <w:sz w:val="21"/>
          <w:szCs w:val="21"/>
        </w:rPr>
        <w:t xml:space="preserve">Metros totales: 405 × 45 m ≈ 18,225 m, + 10% de desperdicio/holguras de servicio en cada terminación ≈ </w:t>
      </w:r>
      <w:r>
        <w:rPr>
          <w:b/>
          <w:bCs/>
          <w:sz w:val="21"/>
          <w:szCs w:val="21"/>
        </w:rPr>
        <w:t xml:space="preserve">20,000 m</w:t>
      </w:r>
      <w:r>
        <w:rPr>
          <w:sz w:val="21"/>
          <w:szCs w:val="21"/>
        </w:rPr>
        <w:t xml:space="preserve">.</w:t>
      </w:r>
    </w:p>
    <w:p>
      <w:pPr>
        <w:pStyle w:val="ListParagraph"/>
        <w:numPr>
          <w:ilvl w:val="0"/>
          <w:numId w:val="3"/>
        </w:numPr>
        <w:spacing w:after="80"/>
      </w:pPr>
      <w:r>
        <w:rPr>
          <w:sz w:val="21"/>
          <w:szCs w:val="21"/>
        </w:rPr>
        <w:t xml:space="preserve">Cable Cat 6 se compra en cajas estándar de 305 m (1,000 ft): 20,000 ÷ 305 ≈ </w:t>
      </w:r>
      <w:r>
        <w:rPr>
          <w:b/>
          <w:bCs/>
          <w:sz w:val="21"/>
          <w:szCs w:val="21"/>
        </w:rPr>
        <w:t xml:space="preserve">66 cajas</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Categoría</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Ítem</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Cantidad (memoria de cálculo)</w:t>
            </w:r>
          </w:p>
        </w:tc>
      </w:tr>
      <w:tr>
        <w:tc>
          <w:tcPr>
            <w:tcW w:type="dxa" w:w="3120"/>
            <w:tcMar>
              <w:top w:type="dxa" w:w="80"/>
              <w:left w:type="dxa" w:w="100"/>
              <w:bottom w:type="dxa" w:w="80"/>
              <w:right w:type="dxa" w:w="100"/>
            </w:tcMar>
            <w:vAlign w:val="center"/>
          </w:tcPr>
          <w:p>
            <w:r>
              <w:rPr>
                <w:b w:val="false"/>
                <w:bCs w:val="false"/>
                <w:sz w:val="19"/>
                <w:szCs w:val="19"/>
              </w:rPr>
              <w:t xml:space="preserve">Cableado horizontal</w:t>
            </w:r>
          </w:p>
        </w:tc>
        <w:tc>
          <w:tcPr>
            <w:tcW w:type="dxa" w:w="3120"/>
            <w:tcMar>
              <w:top w:type="dxa" w:w="80"/>
              <w:left w:type="dxa" w:w="100"/>
              <w:bottom w:type="dxa" w:w="80"/>
              <w:right w:type="dxa" w:w="100"/>
            </w:tcMar>
            <w:vAlign w:val="center"/>
          </w:tcPr>
          <w:p>
            <w:r>
              <w:rPr>
                <w:b w:val="false"/>
                <w:bCs w:val="false"/>
                <w:sz w:val="19"/>
                <w:szCs w:val="19"/>
              </w:rPr>
              <w:t xml:space="preserve">UTP Cat 6, caja 305 m</w:t>
            </w:r>
          </w:p>
        </w:tc>
        <w:tc>
          <w:tcPr>
            <w:tcW w:type="dxa" w:w="3120"/>
            <w:tcMar>
              <w:top w:type="dxa" w:w="80"/>
              <w:left w:type="dxa" w:w="100"/>
              <w:bottom w:type="dxa" w:w="80"/>
              <w:right w:type="dxa" w:w="100"/>
            </w:tcMar>
            <w:vAlign w:val="center"/>
          </w:tcPr>
          <w:p>
            <w:r>
              <w:rPr>
                <w:b w:val="false"/>
                <w:bCs w:val="false"/>
                <w:sz w:val="19"/>
                <w:szCs w:val="19"/>
              </w:rPr>
              <w:t xml:space="preserve">66 cajas</w:t>
            </w:r>
          </w:p>
        </w:tc>
      </w:tr>
      <w:tr>
        <w:tc>
          <w:tcPr>
            <w:tcW w:type="dxa" w:w="3120"/>
            <w:tcMar>
              <w:top w:type="dxa" w:w="80"/>
              <w:left w:type="dxa" w:w="100"/>
              <w:bottom w:type="dxa" w:w="80"/>
              <w:right w:type="dxa" w:w="100"/>
            </w:tcMar>
            <w:vAlign w:val="center"/>
          </w:tcPr>
          <w:p>
            <w:r>
              <w:rPr>
                <w:b w:val="false"/>
                <w:bCs w:val="false"/>
                <w:sz w:val="19"/>
                <w:szCs w:val="19"/>
              </w:rPr>
              <w:t xml:space="preserve">Cableado backbone</w:t>
            </w:r>
          </w:p>
        </w:tc>
        <w:tc>
          <w:tcPr>
            <w:tcW w:type="dxa" w:w="3120"/>
            <w:tcMar>
              <w:top w:type="dxa" w:w="80"/>
              <w:left w:type="dxa" w:w="100"/>
              <w:bottom w:type="dxa" w:w="80"/>
              <w:right w:type="dxa" w:w="100"/>
            </w:tcMar>
            <w:vAlign w:val="center"/>
          </w:tcPr>
          <w:p>
            <w:r>
              <w:rPr>
                <w:b w:val="false"/>
                <w:bCs w:val="false"/>
                <w:sz w:val="19"/>
                <w:szCs w:val="19"/>
              </w:rPr>
              <w:t xml:space="preserve">Fibra OM4 multimodo, carrete 500 m (cubre 3 corridas × 2 hilos con margen)</w:t>
            </w:r>
          </w:p>
        </w:tc>
        <w:tc>
          <w:tcPr>
            <w:tcW w:type="dxa" w:w="3120"/>
            <w:tcMar>
              <w:top w:type="dxa" w:w="80"/>
              <w:left w:type="dxa" w:w="100"/>
              <w:bottom w:type="dxa" w:w="80"/>
              <w:right w:type="dxa" w:w="100"/>
            </w:tcMar>
            <w:vAlign w:val="center"/>
          </w:tcPr>
          <w:p>
            <w:r>
              <w:rPr>
                <w:b w:val="false"/>
                <w:bCs w:val="false"/>
                <w:sz w:val="19"/>
                <w:szCs w:val="19"/>
              </w:rPr>
              <w:t xml:space="preserve">1 carrete</w:t>
            </w:r>
          </w:p>
        </w:tc>
      </w:tr>
      <w:tr>
        <w:tc>
          <w:tcPr>
            <w:tcW w:type="dxa" w:w="3120"/>
            <w:tcMar>
              <w:top w:type="dxa" w:w="80"/>
              <w:left w:type="dxa" w:w="100"/>
              <w:bottom w:type="dxa" w:w="80"/>
              <w:right w:type="dxa" w:w="100"/>
            </w:tcMar>
            <w:vAlign w:val="center"/>
          </w:tcPr>
          <w:p>
            <w:r>
              <w:rPr>
                <w:b w:val="false"/>
                <w:bCs w:val="false"/>
                <w:sz w:val="19"/>
                <w:szCs w:val="19"/>
              </w:rPr>
              <w:t xml:space="preserve">Conectores de puesto</w:t>
            </w:r>
          </w:p>
        </w:tc>
        <w:tc>
          <w:tcPr>
            <w:tcW w:type="dxa" w:w="3120"/>
            <w:tcMar>
              <w:top w:type="dxa" w:w="80"/>
              <w:left w:type="dxa" w:w="100"/>
              <w:bottom w:type="dxa" w:w="80"/>
              <w:right w:type="dxa" w:w="100"/>
            </w:tcMar>
            <w:vAlign w:val="center"/>
          </w:tcPr>
          <w:p>
            <w:r>
              <w:rPr>
                <w:b w:val="false"/>
                <w:bCs w:val="false"/>
                <w:sz w:val="19"/>
                <w:szCs w:val="19"/>
              </w:rPr>
              <w:t xml:space="preserve">Keystone jack Cat 6</w:t>
            </w:r>
          </w:p>
        </w:tc>
        <w:tc>
          <w:tcPr>
            <w:tcW w:type="dxa" w:w="3120"/>
            <w:tcMar>
              <w:top w:type="dxa" w:w="80"/>
              <w:left w:type="dxa" w:w="100"/>
              <w:bottom w:type="dxa" w:w="80"/>
              <w:right w:type="dxa" w:w="100"/>
            </w:tcMar>
            <w:vAlign w:val="center"/>
          </w:tcPr>
          <w:p>
            <w:r>
              <w:rPr>
                <w:b w:val="false"/>
                <w:bCs w:val="false"/>
                <w:sz w:val="19"/>
                <w:szCs w:val="19"/>
              </w:rPr>
              <w:t xml:space="preserve">405</w:t>
            </w:r>
            <w:r>
              <w:rPr>
                <w:b w:val="false"/>
                <w:bCs w:val="false"/>
                <w:sz w:val="19"/>
                <w:szCs w:val="19"/>
              </w:rPr>
              <w:t xml:space="preserve"> (1 por drop)</w:t>
            </w:r>
          </w:p>
        </w:tc>
      </w:tr>
      <w:tr>
        <w:tc>
          <w:tcPr>
            <w:tcW w:type="dxa" w:w="3120"/>
            <w:tcMar>
              <w:top w:type="dxa" w:w="80"/>
              <w:left w:type="dxa" w:w="100"/>
              <w:bottom w:type="dxa" w:w="80"/>
              <w:right w:type="dxa" w:w="100"/>
            </w:tcMar>
            <w:vAlign w:val="center"/>
          </w:tcPr>
          <w:p>
            <w:r>
              <w:rPr>
                <w:b w:val="false"/>
                <w:bCs w:val="false"/>
                <w:sz w:val="19"/>
                <w:szCs w:val="19"/>
              </w:rPr>
              <w:t xml:space="preserve">Faceplates</w:t>
            </w:r>
          </w:p>
        </w:tc>
        <w:tc>
          <w:tcPr>
            <w:tcW w:type="dxa" w:w="3120"/>
            <w:tcMar>
              <w:top w:type="dxa" w:w="80"/>
              <w:left w:type="dxa" w:w="100"/>
              <w:bottom w:type="dxa" w:w="80"/>
              <w:right w:type="dxa" w:w="100"/>
            </w:tcMar>
            <w:vAlign w:val="center"/>
          </w:tcPr>
          <w:p>
            <w:r>
              <w:rPr>
                <w:b w:val="false"/>
                <w:bCs w:val="false"/>
                <w:sz w:val="19"/>
                <w:szCs w:val="19"/>
              </w:rPr>
              <w:t xml:space="preserve">Faceplate doble (2 puertos)</w:t>
            </w:r>
          </w:p>
        </w:tc>
        <w:tc>
          <w:tcPr>
            <w:tcW w:type="dxa" w:w="3120"/>
            <w:tcMar>
              <w:top w:type="dxa" w:w="80"/>
              <w:left w:type="dxa" w:w="100"/>
              <w:bottom w:type="dxa" w:w="80"/>
              <w:right w:type="dxa" w:w="100"/>
            </w:tcMar>
            <w:vAlign w:val="center"/>
          </w:tcPr>
          <w:p>
            <w:r>
              <w:rPr>
                <w:b w:val="false"/>
                <w:bCs w:val="false"/>
                <w:sz w:val="19"/>
                <w:szCs w:val="19"/>
              </w:rPr>
              <w:t xml:space="preserve">195</w:t>
            </w:r>
            <w:r>
              <w:rPr>
                <w:b w:val="false"/>
                <w:bCs w:val="false"/>
                <w:sz w:val="19"/>
                <w:szCs w:val="19"/>
              </w:rPr>
              <w:t xml:space="preserve"> (184 puestos + margen áreas comunes)</w:t>
            </w:r>
          </w:p>
        </w:tc>
      </w:tr>
      <w:tr>
        <w:tc>
          <w:tcPr>
            <w:tcW w:type="dxa" w:w="3120"/>
            <w:tcMar>
              <w:top w:type="dxa" w:w="80"/>
              <w:left w:type="dxa" w:w="100"/>
              <w:bottom w:type="dxa" w:w="80"/>
              <w:right w:type="dxa" w:w="100"/>
            </w:tcMar>
            <w:vAlign w:val="center"/>
          </w:tcPr>
          <w:p>
            <w:r>
              <w:rPr>
                <w:b w:val="false"/>
                <w:bCs w:val="false"/>
                <w:sz w:val="19"/>
                <w:szCs w:val="19"/>
              </w:rPr>
              <w:t xml:space="preserve">Patch panels</w:t>
            </w:r>
          </w:p>
        </w:tc>
        <w:tc>
          <w:tcPr>
            <w:tcW w:type="dxa" w:w="3120"/>
            <w:tcMar>
              <w:top w:type="dxa" w:w="80"/>
              <w:left w:type="dxa" w:w="100"/>
              <w:bottom w:type="dxa" w:w="80"/>
              <w:right w:type="dxa" w:w="100"/>
            </w:tcMar>
            <w:vAlign w:val="center"/>
          </w:tcPr>
          <w:p>
            <w:r>
              <w:rPr>
                <w:b w:val="false"/>
                <w:bCs w:val="false"/>
                <w:sz w:val="19"/>
                <w:szCs w:val="19"/>
              </w:rPr>
              <w:t xml:space="preserve">24 puertos Cat 6 — repartidos: 3 en IDF Piso1 (Ventas), 3 en MDF/Piso2 (Admin+Soporte), 5 en IDF Piso3, 5 en IDF Piso4</w:t>
            </w:r>
          </w:p>
        </w:tc>
        <w:tc>
          <w:tcPr>
            <w:tcW w:type="dxa" w:w="3120"/>
            <w:tcMar>
              <w:top w:type="dxa" w:w="80"/>
              <w:left w:type="dxa" w:w="100"/>
              <w:bottom w:type="dxa" w:w="80"/>
              <w:right w:type="dxa" w:w="100"/>
            </w:tcMar>
            <w:vAlign w:val="center"/>
          </w:tcPr>
          <w:p>
            <w:r>
              <w:rPr>
                <w:b w:val="false"/>
                <w:bCs w:val="false"/>
                <w:sz w:val="19"/>
                <w:szCs w:val="19"/>
              </w:rPr>
              <w:t xml:space="preserve">16</w:t>
            </w:r>
          </w:p>
        </w:tc>
      </w:tr>
      <w:tr>
        <w:tc>
          <w:tcPr>
            <w:tcW w:type="dxa" w:w="3120"/>
            <w:tcMar>
              <w:top w:type="dxa" w:w="80"/>
              <w:left w:type="dxa" w:w="100"/>
              <w:bottom w:type="dxa" w:w="80"/>
              <w:right w:type="dxa" w:w="100"/>
            </w:tcMar>
            <w:vAlign w:val="center"/>
          </w:tcPr>
          <w:p>
            <w:r>
              <w:rPr>
                <w:b w:val="false"/>
                <w:bCs w:val="false"/>
                <w:sz w:val="19"/>
                <w:szCs w:val="19"/>
              </w:rPr>
              <w:t xml:space="preserve">Switches de piso</w:t>
            </w:r>
          </w:p>
        </w:tc>
        <w:tc>
          <w:tcPr>
            <w:tcW w:type="dxa" w:w="3120"/>
            <w:tcMar>
              <w:top w:type="dxa" w:w="80"/>
              <w:left w:type="dxa" w:w="100"/>
              <w:bottom w:type="dxa" w:w="80"/>
              <w:right w:type="dxa" w:w="100"/>
            </w:tcMar>
            <w:vAlign w:val="center"/>
          </w:tcPr>
          <w:p>
            <w:r>
              <w:rPr>
                <w:b w:val="false"/>
                <w:bCs w:val="false"/>
                <w:sz w:val="19"/>
                <w:szCs w:val="19"/>
              </w:rPr>
              <w:t xml:space="preserve">PoE+ 24-48p administrable con VLAN 802.1Q</w:t>
            </w:r>
          </w:p>
        </w:tc>
        <w:tc>
          <w:tcPr>
            <w:tcW w:type="dxa" w:w="3120"/>
            <w:tcMar>
              <w:top w:type="dxa" w:w="80"/>
              <w:left w:type="dxa" w:w="100"/>
              <w:bottom w:type="dxa" w:w="80"/>
              <w:right w:type="dxa" w:w="100"/>
            </w:tcMar>
            <w:vAlign w:val="center"/>
          </w:tcPr>
          <w:p>
            <w:r>
              <w:rPr>
                <w:b w:val="false"/>
                <w:bCs w:val="false"/>
                <w:sz w:val="19"/>
                <w:szCs w:val="19"/>
              </w:rPr>
              <w:t xml:space="preserve">3 (Pisos 1, 3, 4)</w:t>
            </w:r>
          </w:p>
        </w:tc>
      </w:tr>
      <w:tr>
        <w:tc>
          <w:tcPr>
            <w:tcW w:type="dxa" w:w="3120"/>
            <w:tcMar>
              <w:top w:type="dxa" w:w="80"/>
              <w:left w:type="dxa" w:w="100"/>
              <w:bottom w:type="dxa" w:w="80"/>
              <w:right w:type="dxa" w:w="100"/>
            </w:tcMar>
            <w:vAlign w:val="center"/>
          </w:tcPr>
          <w:p>
            <w:r>
              <w:rPr>
                <w:b w:val="false"/>
                <w:bCs w:val="false"/>
                <w:sz w:val="19"/>
                <w:szCs w:val="19"/>
              </w:rPr>
              <w:t xml:space="preserve">Switch de distribución</w:t>
            </w:r>
          </w:p>
        </w:tc>
        <w:tc>
          <w:tcPr>
            <w:tcW w:type="dxa" w:w="3120"/>
            <w:tcMar>
              <w:top w:type="dxa" w:w="80"/>
              <w:left w:type="dxa" w:w="100"/>
              <w:bottom w:type="dxa" w:w="80"/>
              <w:right w:type="dxa" w:w="100"/>
            </w:tcMar>
            <w:vAlign w:val="center"/>
          </w:tcPr>
          <w:p>
            <w:r>
              <w:rPr>
                <w:b w:val="false"/>
                <w:bCs w:val="false"/>
                <w:sz w:val="19"/>
                <w:szCs w:val="19"/>
              </w:rPr>
              <w:t xml:space="preserve">Administrable, VLAN 802.1Q, con capacidad de trunk hacia los 3 IDF</w:t>
            </w:r>
          </w:p>
        </w:tc>
        <w:tc>
          <w:tcPr>
            <w:tcW w:type="dxa" w:w="3120"/>
            <w:tcMar>
              <w:top w:type="dxa" w:w="80"/>
              <w:left w:type="dxa" w:w="100"/>
              <w:bottom w:type="dxa" w:w="80"/>
              <w:right w:type="dxa" w:w="100"/>
            </w:tcMar>
            <w:vAlign w:val="center"/>
          </w:tcPr>
          <w:p>
            <w:r>
              <w:rPr>
                <w:b w:val="false"/>
                <w:bCs w:val="false"/>
                <w:sz w:val="19"/>
                <w:szCs w:val="19"/>
              </w:rPr>
              <w:t xml:space="preserve">1 (MDF/Piso 2)</w:t>
            </w:r>
          </w:p>
        </w:tc>
      </w:tr>
      <w:tr>
        <w:tc>
          <w:tcPr>
            <w:tcW w:type="dxa" w:w="3120"/>
            <w:tcMar>
              <w:top w:type="dxa" w:w="80"/>
              <w:left w:type="dxa" w:w="100"/>
              <w:bottom w:type="dxa" w:w="80"/>
              <w:right w:type="dxa" w:w="100"/>
            </w:tcMar>
            <w:vAlign w:val="center"/>
          </w:tcPr>
          <w:p>
            <w:r>
              <w:rPr>
                <w:b w:val="false"/>
                <w:bCs w:val="false"/>
                <w:sz w:val="19"/>
                <w:szCs w:val="19"/>
              </w:rPr>
              <w:t xml:space="preserve">Racks IDF</w:t>
            </w:r>
          </w:p>
        </w:tc>
        <w:tc>
          <w:tcPr>
            <w:tcW w:type="dxa" w:w="3120"/>
            <w:tcMar>
              <w:top w:type="dxa" w:w="80"/>
              <w:left w:type="dxa" w:w="100"/>
              <w:bottom w:type="dxa" w:w="80"/>
              <w:right w:type="dxa" w:w="100"/>
            </w:tcMar>
            <w:vAlign w:val="center"/>
          </w:tcPr>
          <w:p>
            <w:r>
              <w:rPr>
                <w:b w:val="false"/>
                <w:bCs w:val="false"/>
                <w:sz w:val="19"/>
                <w:szCs w:val="19"/>
              </w:rPr>
              <w:t xml:space="preserve">Gabinete de pared 12U</w:t>
            </w:r>
          </w:p>
        </w:tc>
        <w:tc>
          <w:tcPr>
            <w:tcW w:type="dxa" w:w="3120"/>
            <w:tcMar>
              <w:top w:type="dxa" w:w="80"/>
              <w:left w:type="dxa" w:w="100"/>
              <w:bottom w:type="dxa" w:w="80"/>
              <w:right w:type="dxa" w:w="100"/>
            </w:tcMar>
            <w:vAlign w:val="center"/>
          </w:tcPr>
          <w:p>
            <w:r>
              <w:rPr>
                <w:b w:val="false"/>
                <w:bCs w:val="false"/>
                <w:sz w:val="19"/>
                <w:szCs w:val="19"/>
              </w:rPr>
              <w:t xml:space="preserve">3</w:t>
            </w:r>
          </w:p>
        </w:tc>
      </w:tr>
      <w:tr>
        <w:tc>
          <w:tcPr>
            <w:tcW w:type="dxa" w:w="3120"/>
            <w:tcMar>
              <w:top w:type="dxa" w:w="80"/>
              <w:left w:type="dxa" w:w="100"/>
              <w:bottom w:type="dxa" w:w="80"/>
              <w:right w:type="dxa" w:w="100"/>
            </w:tcMar>
            <w:vAlign w:val="center"/>
          </w:tcPr>
          <w:p>
            <w:r>
              <w:rPr>
                <w:b w:val="false"/>
                <w:bCs w:val="false"/>
                <w:sz w:val="19"/>
                <w:szCs w:val="19"/>
              </w:rPr>
              <w:t xml:space="preserve">Rack MDF/Data Center</w:t>
            </w:r>
          </w:p>
        </w:tc>
        <w:tc>
          <w:tcPr>
            <w:tcW w:type="dxa" w:w="3120"/>
            <w:tcMar>
              <w:top w:type="dxa" w:w="80"/>
              <w:left w:type="dxa" w:w="100"/>
              <w:bottom w:type="dxa" w:w="80"/>
              <w:right w:type="dxa" w:w="100"/>
            </w:tcMar>
            <w:vAlign w:val="center"/>
          </w:tcPr>
          <w:p>
            <w:r>
              <w:rPr>
                <w:b w:val="false"/>
                <w:bCs w:val="false"/>
                <w:sz w:val="19"/>
                <w:szCs w:val="19"/>
              </w:rPr>
              <w:t xml:space="preserve">Gabinete de piso 42U</w:t>
            </w:r>
          </w:p>
        </w:tc>
        <w:tc>
          <w:tcPr>
            <w:tcW w:type="dxa" w:w="3120"/>
            <w:tcMar>
              <w:top w:type="dxa" w:w="80"/>
              <w:left w:type="dxa" w:w="100"/>
              <w:bottom w:type="dxa" w:w="80"/>
              <w:right w:type="dxa" w:w="100"/>
            </w:tcMar>
            <w:vAlign w:val="center"/>
          </w:tcPr>
          <w:p>
            <w:r>
              <w:rPr>
                <w:b w:val="false"/>
                <w:bCs w:val="false"/>
                <w:sz w:val="19"/>
                <w:szCs w:val="19"/>
              </w:rPr>
              <w:t xml:space="preserve">1</w:t>
            </w:r>
          </w:p>
        </w:tc>
      </w:tr>
      <w:tr>
        <w:tc>
          <w:tcPr>
            <w:tcW w:type="dxa" w:w="3120"/>
            <w:tcMar>
              <w:top w:type="dxa" w:w="80"/>
              <w:left w:type="dxa" w:w="100"/>
              <w:bottom w:type="dxa" w:w="80"/>
              <w:right w:type="dxa" w:w="100"/>
            </w:tcMar>
            <w:vAlign w:val="center"/>
          </w:tcPr>
          <w:p>
            <w:r>
              <w:rPr>
                <w:b w:val="false"/>
                <w:bCs w:val="false"/>
                <w:sz w:val="19"/>
                <w:szCs w:val="19"/>
              </w:rPr>
              <w:t xml:space="preserve">UPS de piso</w:t>
            </w:r>
          </w:p>
        </w:tc>
        <w:tc>
          <w:tcPr>
            <w:tcW w:type="dxa" w:w="3120"/>
            <w:tcMar>
              <w:top w:type="dxa" w:w="80"/>
              <w:left w:type="dxa" w:w="100"/>
              <w:bottom w:type="dxa" w:w="80"/>
              <w:right w:type="dxa" w:w="100"/>
            </w:tcMar>
            <w:vAlign w:val="center"/>
          </w:tcPr>
          <w:p>
            <w:r>
              <w:rPr>
                <w:b w:val="false"/>
                <w:bCs w:val="false"/>
                <w:sz w:val="19"/>
                <w:szCs w:val="19"/>
              </w:rPr>
              <w:t xml:space="preserve">Line-interactive 1000VA</w:t>
            </w:r>
          </w:p>
        </w:tc>
        <w:tc>
          <w:tcPr>
            <w:tcW w:type="dxa" w:w="3120"/>
            <w:tcMar>
              <w:top w:type="dxa" w:w="80"/>
              <w:left w:type="dxa" w:w="100"/>
              <w:bottom w:type="dxa" w:w="80"/>
              <w:right w:type="dxa" w:w="100"/>
            </w:tcMar>
            <w:vAlign w:val="center"/>
          </w:tcPr>
          <w:p>
            <w:r>
              <w:rPr>
                <w:b w:val="false"/>
                <w:bCs w:val="false"/>
                <w:sz w:val="19"/>
                <w:szCs w:val="19"/>
              </w:rPr>
              <w:t xml:space="preserve">3</w:t>
            </w:r>
          </w:p>
        </w:tc>
      </w:tr>
      <w:tr>
        <w:tc>
          <w:tcPr>
            <w:tcW w:type="dxa" w:w="3120"/>
            <w:tcMar>
              <w:top w:type="dxa" w:w="80"/>
              <w:left w:type="dxa" w:w="100"/>
              <w:bottom w:type="dxa" w:w="80"/>
              <w:right w:type="dxa" w:w="100"/>
            </w:tcMar>
            <w:vAlign w:val="center"/>
          </w:tcPr>
          <w:p>
            <w:r>
              <w:rPr>
                <w:b w:val="false"/>
                <w:bCs w:val="false"/>
                <w:sz w:val="19"/>
                <w:szCs w:val="19"/>
              </w:rPr>
              <w:t xml:space="preserve">Certificación de cableado</w:t>
            </w:r>
          </w:p>
        </w:tc>
        <w:tc>
          <w:tcPr>
            <w:tcW w:type="dxa" w:w="3120"/>
            <w:tcMar>
              <w:top w:type="dxa" w:w="80"/>
              <w:left w:type="dxa" w:w="100"/>
              <w:bottom w:type="dxa" w:w="80"/>
              <w:right w:type="dxa" w:w="100"/>
            </w:tcMar>
            <w:vAlign w:val="center"/>
          </w:tcPr>
          <w:p>
            <w:r>
              <w:rPr>
                <w:b w:val="false"/>
                <w:bCs w:val="false"/>
                <w:sz w:val="19"/>
                <w:szCs w:val="19"/>
              </w:rPr>
              <w:t xml:space="preserve">Servicio de certificación (405 puntos)</w:t>
            </w:r>
          </w:p>
        </w:tc>
        <w:tc>
          <w:tcPr>
            <w:tcW w:type="dxa" w:w="3120"/>
            <w:tcMar>
              <w:top w:type="dxa" w:w="80"/>
              <w:left w:type="dxa" w:w="100"/>
              <w:bottom w:type="dxa" w:w="80"/>
              <w:right w:type="dxa" w:w="100"/>
            </w:tcMar>
            <w:vAlign w:val="center"/>
          </w:tcPr>
          <w:p>
            <w:r>
              <w:rPr>
                <w:b w:val="false"/>
                <w:bCs w:val="false"/>
                <w:sz w:val="19"/>
                <w:szCs w:val="19"/>
              </w:rPr>
              <w:t xml:space="preserve">1 servicio</w:t>
            </w:r>
          </w:p>
        </w:tc>
      </w:tr>
    </w:tbl>
    <w:p>
      <w:pPr>
        <w:spacing w:after="200"/>
      </w:pPr>
    </w:p>
    <w:p>
      <w:pPr>
        <w:spacing w:after="160"/>
        <w:jc w:val="both"/>
      </w:pPr>
      <w:r>
        <w:rPr>
          <w:sz w:val="21"/>
          <w:szCs w:val="21"/>
        </w:rPr>
        <w:t xml:space="preserve">Precios unitarios, marcas/modelos sugeridos y presupuesto total línea por línea en 08-Equipo-Fisico-Presupuesto.md §4 — ahí se mantiene la fuente única de precios para no duplicar (y desincronizar) números entre documentos.</w:t>
      </w:r>
    </w:p>
    <w:p>
      <w:pPr>
        <w:pStyle w:val="Heading1"/>
        <w:spacing w:after="180" w:before="480"/>
      </w:pPr>
      <w:r>
        <w:t xml:space="preserve">Políticas de Seguridad — Virtual Solutions</w:t>
      </w:r>
    </w:p>
    <w:p>
      <w:pPr>
        <w:pStyle w:val="Heading2"/>
        <w:spacing w:after="180" w:before="320"/>
      </w:pPr>
      <w:r>
        <w:t xml:space="preserve">0. Objetivo, alcance y marco de referencia</w:t>
      </w:r>
    </w:p>
    <w:p>
      <w:pPr>
        <w:pStyle w:val="Heading3"/>
        <w:spacing w:after="180" w:before="320"/>
      </w:pPr>
      <w:r>
        <w:t xml:space="preserve">0.1 Objetivo</w:t>
      </w:r>
    </w:p>
    <w:p>
      <w:pPr>
        <w:spacing w:after="160"/>
        <w:jc w:val="both"/>
      </w:pPr>
      <w:r>
        <w:rPr>
          <w:sz w:val="21"/>
          <w:szCs w:val="21"/>
        </w:rPr>
        <w:t xml:space="preserve">Establecer el conjunto de políticas, normas y controles que garanticen la </w:t>
      </w:r>
      <w:r>
        <w:rPr>
          <w:b/>
          <w:bCs/>
          <w:sz w:val="21"/>
          <w:szCs w:val="21"/>
        </w:rPr>
        <w:t xml:space="preserve">confidencialidad, integridad y disponibilidad</w:t>
      </w:r>
      <w:r>
        <w:rPr>
          <w:sz w:val="21"/>
          <w:szCs w:val="21"/>
        </w:rPr>
        <w:t xml:space="preserve"> (tríada CIA) de la información y de la infraestructura de red de Virtual Solutions, cubriendo tanto los controles </w:t>
      </w:r>
      <w:r>
        <w:rPr>
          <w:b/>
          <w:bCs/>
          <w:sz w:val="21"/>
          <w:szCs w:val="21"/>
        </w:rPr>
        <w:t xml:space="preserve">lógicos</w:t>
      </w:r>
      <w:r>
        <w:rPr>
          <w:sz w:val="21"/>
          <w:szCs w:val="21"/>
        </w:rPr>
        <w:t xml:space="preserve"> (identidad, red, aplicaciones, datos) como los </w:t>
      </w:r>
      <w:r>
        <w:rPr>
          <w:b/>
          <w:bCs/>
          <w:sz w:val="21"/>
          <w:szCs w:val="21"/>
        </w:rPr>
        <w:t xml:space="preserve">físicos</w:t>
      </w:r>
      <w:r>
        <w:rPr>
          <w:sz w:val="21"/>
          <w:szCs w:val="21"/>
        </w:rPr>
        <w:t xml:space="preserve"> (acceso al Data Center, cableado, activos).</w:t>
      </w:r>
    </w:p>
    <w:p>
      <w:pPr>
        <w:pStyle w:val="Heading3"/>
        <w:spacing w:after="180" w:before="320"/>
      </w:pPr>
      <w:r>
        <w:t xml:space="preserve">0.2 Alcance</w:t>
      </w:r>
    </w:p>
    <w:p>
      <w:pPr>
        <w:spacing w:after="160"/>
        <w:jc w:val="both"/>
      </w:pPr>
      <w:r>
        <w:rPr>
          <w:sz w:val="21"/>
          <w:szCs w:val="21"/>
        </w:rPr>
        <w:t xml:space="preserve">Aplica a los 184 usuarios de la organización, a todo equipo propiedad de la empresa (estaciones de trabajo, servidores, equipo de red, telefonía IP), a la Nube Privada (SDN) y a cualquier tercero con acceso remoto o físico a las instalaciones (proveedores, contratistas, visitantes).</w:t>
      </w:r>
    </w:p>
    <w:p>
      <w:pPr>
        <w:pStyle w:val="Heading3"/>
        <w:spacing w:after="180" w:before="320"/>
      </w:pPr>
      <w:r>
        <w:t xml:space="preserve">0.3 Marco de referencia</w:t>
      </w:r>
    </w:p>
    <w:p>
      <w:pPr>
        <w:spacing w:after="160"/>
        <w:jc w:val="both"/>
      </w:pPr>
      <w:r>
        <w:rPr>
          <w:sz w:val="21"/>
          <w:szCs w:val="21"/>
        </w:rPr>
        <w:t xml:space="preserve">Este conjunto de políticas se inspira en los controles de </w:t>
      </w:r>
      <w:r>
        <w:rPr>
          <w:b/>
          <w:bCs/>
          <w:sz w:val="21"/>
          <w:szCs w:val="21"/>
        </w:rPr>
        <w:t xml:space="preserve">ISO/IEC 27001:2022 (Anexo A)</w:t>
      </w:r>
      <w:r>
        <w:rPr>
          <w:sz w:val="21"/>
          <w:szCs w:val="21"/>
        </w:rPr>
        <w:t xml:space="preserve"> y el </w:t>
      </w:r>
      <w:r>
        <w:rPr>
          <w:b/>
          <w:bCs/>
          <w:sz w:val="21"/>
          <w:szCs w:val="21"/>
        </w:rPr>
        <w:t xml:space="preserve">NIST Cybersecurity Framework (Identify–Protect–Detect–Respond–Recover)</w:t>
      </w:r>
      <w:r>
        <w:rPr>
          <w:sz w:val="21"/>
          <w:szCs w:val="21"/>
        </w:rPr>
        <w:t xml:space="preserve"> como estructura de referencia — no se declara cumplimiento certificado de ninguno de los dos (eso requeriría una auditoría formal fuera del alcance de este proyecto), pero las políticas siguen la misma lógica de organización que usan esos marcos, que es el estándar de facto en la industria.</w:t>
      </w:r>
    </w:p>
    <w:p>
      <w:pPr>
        <w:pStyle w:val="Heading3"/>
        <w:spacing w:after="180" w:before="320"/>
      </w:pPr>
      <w:r>
        <w:t xml:space="preserve">0.4 Principios rectores</w:t>
      </w:r>
    </w:p>
    <w:p>
      <w:pPr>
        <w:pStyle w:val="ListParagraph"/>
        <w:numPr>
          <w:ilvl w:val="0"/>
          <w:numId w:val="3"/>
        </w:numPr>
        <w:spacing w:after="80"/>
      </w:pPr>
      <w:r>
        <w:rPr>
          <w:b/>
          <w:bCs/>
          <w:sz w:val="21"/>
          <w:szCs w:val="21"/>
        </w:rPr>
        <w:t xml:space="preserve">Menor privilegio (least privilege)</w:t>
      </w:r>
      <w:r>
        <w:rPr>
          <w:sz w:val="21"/>
          <w:szCs w:val="21"/>
        </w:rPr>
        <w:t xml:space="preserve">: ningún usuario o servicio tiene más acceso del estrictamente necesario para su función.</w:t>
      </w:r>
    </w:p>
    <w:p>
      <w:pPr>
        <w:pStyle w:val="ListParagraph"/>
        <w:numPr>
          <w:ilvl w:val="0"/>
          <w:numId w:val="3"/>
        </w:numPr>
        <w:spacing w:after="80"/>
      </w:pPr>
      <w:r>
        <w:rPr>
          <w:b/>
          <w:bCs/>
          <w:sz w:val="21"/>
          <w:szCs w:val="21"/>
        </w:rPr>
        <w:t xml:space="preserve">Defensa en profundidad</w:t>
      </w:r>
      <w:r>
        <w:rPr>
          <w:sz w:val="21"/>
          <w:szCs w:val="21"/>
        </w:rPr>
        <w:t xml:space="preserve">: no se depende de un solo control — la segmentación VLAN, el firewall, el proxy y el monitoreo son capas independientes y redundantes.</w:t>
      </w:r>
    </w:p>
    <w:p>
      <w:pPr>
        <w:pStyle w:val="ListParagraph"/>
        <w:numPr>
          <w:ilvl w:val="0"/>
          <w:numId w:val="3"/>
        </w:numPr>
        <w:spacing w:after="80"/>
      </w:pPr>
      <w:r>
        <w:rPr>
          <w:b/>
          <w:bCs/>
          <w:sz w:val="21"/>
          <w:szCs w:val="21"/>
        </w:rPr>
        <w:t xml:space="preserve">Denegar por defecto, permitir por excepción</w:t>
      </w:r>
      <w:r>
        <w:rPr>
          <w:sz w:val="21"/>
          <w:szCs w:val="21"/>
        </w:rPr>
        <w:t xml:space="preserve">: toda regla de firewall/ACL parte de "denegado" y se abre explícitamente, nunca al revés.</w:t>
      </w:r>
    </w:p>
    <w:p>
      <w:pPr>
        <w:pStyle w:val="ListParagraph"/>
        <w:numPr>
          <w:ilvl w:val="0"/>
          <w:numId w:val="3"/>
        </w:numPr>
        <w:spacing w:after="80"/>
      </w:pPr>
      <w:r>
        <w:rPr>
          <w:b/>
          <w:bCs/>
          <w:sz w:val="21"/>
          <w:szCs w:val="21"/>
        </w:rPr>
        <w:t xml:space="preserve">Separación de funciones</w:t>
      </w:r>
      <w:r>
        <w:rPr>
          <w:sz w:val="21"/>
          <w:szCs w:val="21"/>
        </w:rPr>
        <w:t xml:space="preserve">: quien solicita un acceso no es quien lo aprueba; quien administra un sistema no es el único que revisa sus logs.</w:t>
      </w:r>
    </w:p>
    <w:p>
      <w:pPr>
        <w:pStyle w:val="ListParagraph"/>
        <w:numPr>
          <w:ilvl w:val="0"/>
          <w:numId w:val="3"/>
        </w:numPr>
        <w:spacing w:after="80"/>
      </w:pPr>
      <w:r>
        <w:rPr>
          <w:b/>
          <w:bCs/>
          <w:sz w:val="21"/>
          <w:szCs w:val="21"/>
        </w:rPr>
        <w:t xml:space="preserve">Trazabilidad</w:t>
      </w:r>
      <w:r>
        <w:rPr>
          <w:sz w:val="21"/>
          <w:szCs w:val="21"/>
        </w:rPr>
        <w:t xml:space="preserve">: toda acción administrativa relevante debe quedar registrada y asociada a una persona, no a una cuenta compartida.</w:t>
      </w:r>
    </w:p>
    <w:p>
      <w:pPr>
        <w:pBdr>
          <w:bottom w:val="single" w:color="AAAAAA" w:sz="6" w:space="1"/>
        </w:pBdr>
        <w:spacing w:after="200"/>
      </w:pPr>
    </w:p>
    <w:p>
      <w:pPr>
        <w:pStyle w:val="Heading2"/>
        <w:spacing w:after="180" w:before="320"/>
      </w:pPr>
      <w:r>
        <w:t xml:space="preserve">1. Políticas Lógicas</w:t>
      </w:r>
    </w:p>
    <w:p>
      <w:pPr>
        <w:pStyle w:val="Heading3"/>
        <w:spacing w:after="180" w:before="320"/>
      </w:pPr>
      <w:r>
        <w:t xml:space="preserve">1.1 Política de gestión de identidad y control de acceso</w:t>
      </w:r>
    </w:p>
    <w:p>
      <w:pPr>
        <w:pStyle w:val="ListParagraph"/>
        <w:numPr>
          <w:ilvl w:val="0"/>
          <w:numId w:val="2"/>
        </w:numPr>
        <w:spacing w:after="80"/>
      </w:pPr>
      <w:r>
        <w:rPr>
          <w:sz w:val="21"/>
          <w:szCs w:val="21"/>
        </w:rPr>
        <w:t xml:space="preserve">Cada usuario tiene </w:t>
      </w:r>
      <w:r>
        <w:rPr>
          <w:b/>
          <w:bCs/>
          <w:sz w:val="21"/>
          <w:szCs w:val="21"/>
        </w:rPr>
        <w:t xml:space="preserve">una cuenta nominal única</w:t>
      </w:r>
      <w:r>
        <w:rPr>
          <w:sz w:val="21"/>
          <w:szCs w:val="21"/>
        </w:rPr>
        <w:t xml:space="preserve"> (</w:t>
      </w:r>
      <w:r>
        <w:rPr>
          <w:rFonts w:ascii="Consolas" w:cs="Consolas" w:eastAsia="Consolas" w:hAnsi="Consolas"/>
          <w:sz w:val="21"/>
          <w:szCs w:val="21"/>
        </w:rPr>
        <w:t xml:space="preserve">nombre.apellido</w:t>
      </w:r>
      <w:r>
        <w:rPr>
          <w:sz w:val="21"/>
          <w:szCs w:val="21"/>
        </w:rPr>
        <w:t xml:space="preserve">) — prohibidas las cuentas genéricas o compartidas (</w:t>
      </w:r>
      <w:r>
        <w:rPr>
          <w:rFonts w:ascii="Consolas" w:cs="Consolas" w:eastAsia="Consolas" w:hAnsi="Consolas"/>
          <w:sz w:val="21"/>
          <w:szCs w:val="21"/>
        </w:rPr>
        <w:t xml:space="preserve">admin</w:t>
      </w:r>
      <w:r>
        <w:rPr>
          <w:sz w:val="21"/>
          <w:szCs w:val="21"/>
        </w:rPr>
        <w:t xml:space="preserve">, </w:t>
      </w:r>
      <w:r>
        <w:rPr>
          <w:rFonts w:ascii="Consolas" w:cs="Consolas" w:eastAsia="Consolas" w:hAnsi="Consolas"/>
          <w:sz w:val="21"/>
          <w:szCs w:val="21"/>
        </w:rPr>
        <w:t xml:space="preserve">soporte1</w:t>
      </w:r>
      <w:r>
        <w:rPr>
          <w:sz w:val="21"/>
          <w:szCs w:val="21"/>
        </w:rPr>
        <w:t xml:space="preserve">) salvo cuentas de servicio documentadas y con dueño responsable asignado.</w:t>
      </w:r>
    </w:p>
    <w:p>
      <w:pPr>
        <w:pStyle w:val="ListParagraph"/>
        <w:numPr>
          <w:ilvl w:val="0"/>
          <w:numId w:val="2"/>
        </w:numPr>
        <w:spacing w:after="80"/>
      </w:pPr>
      <w:r>
        <w:rPr>
          <w:sz w:val="21"/>
          <w:szCs w:val="21"/>
        </w:rPr>
        <w:t xml:space="preserve">El acceso a cada recurso (VLAN, servidor, aplicación) se otorga por </w:t>
      </w:r>
      <w:r>
        <w:rPr>
          <w:b/>
          <w:bCs/>
          <w:sz w:val="21"/>
          <w:szCs w:val="21"/>
        </w:rPr>
        <w:t xml:space="preserve">rol/grupo</w:t>
      </w:r>
      <w:r>
        <w:rPr>
          <w:sz w:val="21"/>
          <w:szCs w:val="21"/>
        </w:rPr>
        <w:t xml:space="preserve">, no por excepción individual — un usuario nuevo en Ventas hereda automáticamente los permisos del grupo "Ventas", no se configuran permisos ad-hoc.</w:t>
      </w:r>
    </w:p>
    <w:p>
      <w:pPr>
        <w:pStyle w:val="ListParagraph"/>
        <w:numPr>
          <w:ilvl w:val="0"/>
          <w:numId w:val="2"/>
        </w:numPr>
        <w:spacing w:after="80"/>
      </w:pPr>
      <w:r>
        <w:rPr>
          <w:b/>
          <w:bCs/>
          <w:sz w:val="21"/>
          <w:szCs w:val="21"/>
        </w:rPr>
        <w:t xml:space="preserve">Revisión periódica de accesos (access review)</w:t>
      </w:r>
      <w:r>
        <w:rPr>
          <w:sz w:val="21"/>
          <w:szCs w:val="21"/>
        </w:rPr>
        <w:t xml:space="preserve">: cada 6 meses, Soporte I/T audita la lista de accesos activos contra la nómina vigente y revoca lo que ya no corresponde (bajas, cambios de puesto).</w:t>
      </w:r>
    </w:p>
    <w:p>
      <w:pPr>
        <w:pStyle w:val="ListParagraph"/>
        <w:numPr>
          <w:ilvl w:val="0"/>
          <w:numId w:val="2"/>
        </w:numPr>
        <w:spacing w:after="80"/>
      </w:pPr>
      <w:r>
        <w:rPr>
          <w:b/>
          <w:bCs/>
          <w:sz w:val="21"/>
          <w:szCs w:val="21"/>
        </w:rPr>
        <w:t xml:space="preserve">Baja inmediata</w:t>
      </w:r>
      <w:r>
        <w:rPr>
          <w:sz w:val="21"/>
          <w:szCs w:val="21"/>
        </w:rPr>
        <w:t xml:space="preserve">: al desvincularse un empleado, sus credenciales (correo, VPN, VLAN, Nextcloud) se desactivan el mismo día — no se elimina la cuenta de inmediato (se retiene 90 días para continuidad de negocio: reasignar correo, recuperar archivos) pero sí se bloquea el acceso.</w:t>
      </w:r>
    </w:p>
    <w:p>
      <w:pPr>
        <w:pStyle w:val="Heading3"/>
        <w:spacing w:after="180" w:before="320"/>
      </w:pPr>
      <w:r>
        <w:t xml:space="preserve">1.2 Política de contraseñas y autenticación</w:t>
      </w:r>
    </w:p>
    <w:p>
      <w:pPr>
        <w:pStyle w:val="ListParagraph"/>
        <w:numPr>
          <w:ilvl w:val="0"/>
          <w:numId w:val="2"/>
        </w:numPr>
        <w:spacing w:after="80"/>
      </w:pPr>
      <w:r>
        <w:rPr>
          <w:sz w:val="21"/>
          <w:szCs w:val="21"/>
        </w:rPr>
        <w:t xml:space="preserve">Longitud mínima de 12 caracteres, combinando mayúsculas, minúsculas, números y símbolo — alineado con la recomendación NIST SP 800-63B de priorizar longitud sobre complejidad forzada con expiración corta.</w:t>
      </w:r>
    </w:p>
    <w:p>
      <w:pPr>
        <w:pStyle w:val="ListParagraph"/>
        <w:numPr>
          <w:ilvl w:val="0"/>
          <w:numId w:val="2"/>
        </w:numPr>
        <w:spacing w:after="80"/>
      </w:pPr>
      <w:r>
        <w:rPr>
          <w:b/>
          <w:bCs/>
          <w:sz w:val="21"/>
          <w:szCs w:val="21"/>
        </w:rPr>
        <w:t xml:space="preserve">Sin expiración forzada arbitraria</w:t>
      </w:r>
      <w:r>
        <w:rPr>
          <w:sz w:val="21"/>
          <w:szCs w:val="21"/>
        </w:rPr>
        <w:t xml:space="preserve"> (ej. cada 30 días) para cuentas de usuario estándar — la evidencia de la industria (NIST 800-63B) muestra que la rotación forzada frecuente lleva a patrones predecibles (</w:t>
      </w:r>
      <w:r>
        <w:rPr>
          <w:rFonts w:ascii="Consolas" w:cs="Consolas" w:eastAsia="Consolas" w:hAnsi="Consolas"/>
          <w:sz w:val="21"/>
          <w:szCs w:val="21"/>
        </w:rPr>
        <w:t xml:space="preserve">Enero2026!</w:t>
      </w:r>
      <w:r>
        <w:rPr>
          <w:sz w:val="21"/>
          <w:szCs w:val="21"/>
        </w:rPr>
        <w:t xml:space="preserve">, </w:t>
      </w:r>
      <w:r>
        <w:rPr>
          <w:rFonts w:ascii="Consolas" w:cs="Consolas" w:eastAsia="Consolas" w:hAnsi="Consolas"/>
          <w:sz w:val="21"/>
          <w:szCs w:val="21"/>
        </w:rPr>
        <w:t xml:space="preserve">Febrero2026!</w:t>
      </w:r>
      <w:r>
        <w:rPr>
          <w:sz w:val="21"/>
          <w:szCs w:val="21"/>
        </w:rPr>
        <w:t xml:space="preserve">). En su lugar: rotación inmediata ante sospecha de compromiso, y rotación obligatoria cada 90 días </w:t>
      </w:r>
      <w:r>
        <w:rPr>
          <w:b/>
          <w:bCs/>
          <w:sz w:val="21"/>
          <w:szCs w:val="21"/>
        </w:rPr>
        <w:t xml:space="preserve">solo</w:t>
      </w:r>
      <w:r>
        <w:rPr>
          <w:sz w:val="21"/>
          <w:szCs w:val="21"/>
        </w:rPr>
        <w:t xml:space="preserve"> para cuentas administrativas/privilegiadas (root, admin de Proxmox, admin de R1/VyOS).</w:t>
      </w:r>
    </w:p>
    <w:p>
      <w:pPr>
        <w:pStyle w:val="ListParagraph"/>
        <w:numPr>
          <w:ilvl w:val="0"/>
          <w:numId w:val="2"/>
        </w:numPr>
        <w:spacing w:after="80"/>
      </w:pPr>
      <w:r>
        <w:rPr>
          <w:b/>
          <w:bCs/>
          <w:sz w:val="21"/>
          <w:szCs w:val="21"/>
        </w:rPr>
        <w:t xml:space="preserve">Autenticación multifactor (MFA) obligatoria</w:t>
      </w:r>
      <w:r>
        <w:rPr>
          <w:sz w:val="21"/>
          <w:szCs w:val="21"/>
        </w:rPr>
        <w:t xml:space="preserve"> para: acceso VPN (WireGuard + llave del dispositivo, que ya es de por sí un segundo factor físico), acceso administrativo a Proxmox, MikroTik y VyOS, y acceso a Nextcloud desde fuera de la LAN.</w:t>
      </w:r>
    </w:p>
    <w:p>
      <w:pPr>
        <w:pStyle w:val="ListParagraph"/>
        <w:numPr>
          <w:ilvl w:val="0"/>
          <w:numId w:val="2"/>
        </w:numPr>
        <w:spacing w:after="80"/>
      </w:pPr>
      <w:r>
        <w:rPr>
          <w:sz w:val="21"/>
          <w:szCs w:val="21"/>
        </w:rPr>
        <w:t xml:space="preserve">Bloqueo de cuenta tras 5 intentos fallidos consecutivos, con desbloqueo automático a los 15 minutos o manual por Soporte I/T.</w:t>
      </w:r>
    </w:p>
    <w:p>
      <w:pPr>
        <w:pStyle w:val="ListParagraph"/>
        <w:numPr>
          <w:ilvl w:val="0"/>
          <w:numId w:val="2"/>
        </w:numPr>
        <w:spacing w:after="80"/>
      </w:pPr>
      <w:r>
        <w:rPr>
          <w:sz w:val="21"/>
          <w:szCs w:val="21"/>
        </w:rPr>
        <w:t xml:space="preserve">Prohibido almacenar contraseñas en texto plano en cualquier medio (correo, notas, chat) — se exige el uso de un gestor de contraseñas corporativo (ver también 1.15).</w:t>
      </w:r>
    </w:p>
    <w:p>
      <w:pPr>
        <w:pStyle w:val="Heading3"/>
        <w:spacing w:after="180" w:before="320"/>
      </w:pPr>
      <w:r>
        <w:t xml:space="preserve">1.3 Política de segmentación de red</w:t>
      </w:r>
    </w:p>
    <w:p>
      <w:pPr>
        <w:pStyle w:val="ListParagraph"/>
        <w:numPr>
          <w:ilvl w:val="0"/>
          <w:numId w:val="2"/>
        </w:numPr>
        <w:spacing w:after="80"/>
      </w:pPr>
      <w:r>
        <w:rPr>
          <w:sz w:val="21"/>
          <w:szCs w:val="21"/>
        </w:rPr>
        <w:t xml:space="preserve">La red se segmenta en VLANs por función/área (ver justificación completa en 00-Arquitectura-General.md §3 y tabla en 07-Direccionamiento-IP-VLANs.md).</w:t>
      </w:r>
    </w:p>
    <w:p>
      <w:pPr>
        <w:pStyle w:val="ListParagraph"/>
        <w:numPr>
          <w:ilvl w:val="0"/>
          <w:numId w:val="2"/>
        </w:numPr>
        <w:spacing w:after="80"/>
      </w:pPr>
      <w:r>
        <w:rPr>
          <w:sz w:val="21"/>
          <w:szCs w:val="21"/>
        </w:rPr>
        <w:t xml:space="preserve">El tráfico </w:t>
      </w:r>
      <w:r>
        <w:rPr>
          <w:b/>
          <w:bCs/>
          <w:sz w:val="21"/>
          <w:szCs w:val="21"/>
        </w:rPr>
        <w:t xml:space="preserve">inter-VLAN</w:t>
      </w:r>
      <w:r>
        <w:rPr>
          <w:sz w:val="21"/>
          <w:szCs w:val="21"/>
        </w:rPr>
        <w:t xml:space="preserve"> solo se permite explícitamente por matriz de reglas (ver 1.3.1) — cualquier flujo no contemplado en la matriz queda denegado por defecto en R1.</w:t>
      </w:r>
    </w:p>
    <w:p>
      <w:pPr>
        <w:pStyle w:val="ListParagraph"/>
        <w:numPr>
          <w:ilvl w:val="0"/>
          <w:numId w:val="2"/>
        </w:numPr>
        <w:spacing w:after="80"/>
      </w:pPr>
      <w:r>
        <w:rPr>
          <w:sz w:val="21"/>
          <w:szCs w:val="21"/>
        </w:rPr>
        <w:t xml:space="preserve">Ningún puerto de acceso de usuario final puede configurarse como puerto trunk — solo los enlaces switch-a-switch y switch-a-router lo son.</w:t>
      </w:r>
    </w:p>
    <w:p>
      <w:pPr>
        <w:pStyle w:val="ListParagraph"/>
        <w:numPr>
          <w:ilvl w:val="0"/>
          <w:numId w:val="2"/>
        </w:numPr>
        <w:spacing w:after="80"/>
      </w:pPr>
      <w:r>
        <w:rPr>
          <w:sz w:val="21"/>
          <w:szCs w:val="21"/>
        </w:rPr>
        <w:t xml:space="preserve">Puertos físicos no utilizados en switches de acceso se desactivan administrativamente (</w:t>
      </w:r>
      <w:r>
        <w:rPr>
          <w:rFonts w:ascii="Consolas" w:cs="Consolas" w:eastAsia="Consolas" w:hAnsi="Consolas"/>
          <w:sz w:val="21"/>
          <w:szCs w:val="21"/>
        </w:rPr>
        <w:t xml:space="preserve">shutdown</w:t>
      </w:r>
      <w:r>
        <w:rPr>
          <w:sz w:val="21"/>
          <w:szCs w:val="21"/>
        </w:rPr>
        <w:t xml:space="preserve">) hasta que se asignen a un equipo, para evitar conexión no autorizada de dispositivos.</w:t>
      </w:r>
    </w:p>
    <w:p>
      <w:pPr>
        <w:pStyle w:val="Heading4"/>
        <w:spacing w:after="180" w:before="320"/>
      </w:pPr>
      <w:r>
        <w:t xml:space="preserve">1.3.1 Matriz de acceso inter-VLAN (resumen — regla base "todo lo no listado se deniega")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tcMar>
              <w:top w:type="dxa" w:w="80"/>
              <w:left w:type="dxa" w:w="100"/>
              <w:bottom w:type="dxa" w:w="80"/>
              <w:right w:type="dxa" w:w="100"/>
            </w:tcMar>
            <w:vAlign w:val="center"/>
          </w:tcPr>
          <w:p>
            <w:r>
              <w:rPr>
                <w:b/>
                <w:bCs/>
                <w:color w:val="FFFFFF"/>
                <w:sz w:val="19"/>
                <w:szCs w:val="19"/>
              </w:rPr>
              <w:t xml:space="preserve">Origen \ Destino</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Servidores (50)</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DMZ (70)</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Cloud-Mgmt (80)</w:t>
            </w:r>
          </w:p>
        </w:tc>
        <w:tc>
          <w:tcPr>
            <w:tcW w:type="dxa" w:w="1872"/>
            <w:shd w:fill="1F3864" w:color="auto" w:val="clear"/>
            <w:tcMar>
              <w:top w:type="dxa" w:w="80"/>
              <w:left w:type="dxa" w:w="100"/>
              <w:bottom w:type="dxa" w:w="80"/>
              <w:right w:type="dxa" w:w="100"/>
            </w:tcMar>
            <w:vAlign w:val="center"/>
          </w:tcPr>
          <w:p>
            <w:r>
              <w:rPr>
                <w:b/>
                <w:bCs/>
                <w:color w:val="FFFFFF"/>
                <w:sz w:val="19"/>
                <w:szCs w:val="19"/>
              </w:rPr>
              <w:t xml:space="preserve">Internet</w:t>
            </w:r>
          </w:p>
        </w:tc>
      </w:tr>
      <w:tr>
        <w:tc>
          <w:tcPr>
            <w:tcW w:type="dxa" w:w="1872"/>
            <w:tcMar>
              <w:top w:type="dxa" w:w="80"/>
              <w:left w:type="dxa" w:w="100"/>
              <w:bottom w:type="dxa" w:w="80"/>
              <w:right w:type="dxa" w:w="100"/>
            </w:tcMar>
            <w:vAlign w:val="center"/>
          </w:tcPr>
          <w:p>
            <w:r>
              <w:rPr>
                <w:b w:val="false"/>
                <w:bCs w:val="false"/>
                <w:sz w:val="19"/>
                <w:szCs w:val="19"/>
              </w:rPr>
              <w:t xml:space="preserve">Usuarios (10/20/30/31/40/60)</w:t>
            </w:r>
          </w:p>
        </w:tc>
        <w:tc>
          <w:tcPr>
            <w:tcW w:type="dxa" w:w="1872"/>
            <w:tcMar>
              <w:top w:type="dxa" w:w="80"/>
              <w:left w:type="dxa" w:w="100"/>
              <w:bottom w:type="dxa" w:w="80"/>
              <w:right w:type="dxa" w:w="100"/>
            </w:tcMar>
            <w:vAlign w:val="center"/>
          </w:tcPr>
          <w:p>
            <w:r>
              <w:rPr>
                <w:b w:val="false"/>
                <w:bCs w:val="false"/>
                <w:sz w:val="19"/>
                <w:szCs w:val="19"/>
              </w:rPr>
              <w:t xml:space="preserve">Puertos de servicio específicos (SMTP, IMAP, HTTP intranet, DHCP relay)</w:t>
            </w:r>
          </w:p>
        </w:tc>
        <w:tc>
          <w:tcPr>
            <w:tcW w:type="dxa" w:w="1872"/>
            <w:tcMar>
              <w:top w:type="dxa" w:w="80"/>
              <w:left w:type="dxa" w:w="100"/>
              <w:bottom w:type="dxa" w:w="80"/>
              <w:right w:type="dxa" w:w="100"/>
            </w:tcMar>
            <w:vAlign w:val="center"/>
          </w:tcPr>
          <w:p>
            <w:r>
              <w:rPr>
                <w:b w:val="false"/>
                <w:bCs w:val="false"/>
                <w:sz w:val="19"/>
                <w:szCs w:val="19"/>
              </w:rPr>
              <w:t xml:space="preserve">Solo por Proxy</w:t>
            </w:r>
          </w:p>
        </w:tc>
        <w:tc>
          <w:tcPr>
            <w:tcW w:type="dxa" w:w="1872"/>
            <w:tcMar>
              <w:top w:type="dxa" w:w="80"/>
              <w:left w:type="dxa" w:w="100"/>
              <w:bottom w:type="dxa" w:w="80"/>
              <w:right w:type="dxa" w:w="100"/>
            </w:tcMar>
            <w:vAlign w:val="center"/>
          </w:tcPr>
          <w:p>
            <w:r>
              <w:rPr>
                <w:b w:val="false"/>
                <w:bCs w:val="false"/>
                <w:sz w:val="19"/>
                <w:szCs w:val="19"/>
              </w:rPr>
              <w:t xml:space="preserve">Denegado</w:t>
            </w:r>
          </w:p>
        </w:tc>
        <w:tc>
          <w:tcPr>
            <w:tcW w:type="dxa" w:w="1872"/>
            <w:tcMar>
              <w:top w:type="dxa" w:w="80"/>
              <w:left w:type="dxa" w:w="100"/>
              <w:bottom w:type="dxa" w:w="80"/>
              <w:right w:type="dxa" w:w="100"/>
            </w:tcMar>
            <w:vAlign w:val="center"/>
          </w:tcPr>
          <w:p>
            <w:r>
              <w:rPr>
                <w:b w:val="false"/>
                <w:bCs w:val="false"/>
                <w:sz w:val="19"/>
                <w:szCs w:val="19"/>
              </w:rPr>
              <w:t xml:space="preserve">Solo vía Proxy</w:t>
            </w:r>
          </w:p>
        </w:tc>
      </w:tr>
      <w:tr>
        <w:tc>
          <w:tcPr>
            <w:tcW w:type="dxa" w:w="1872"/>
            <w:tcMar>
              <w:top w:type="dxa" w:w="80"/>
              <w:left w:type="dxa" w:w="100"/>
              <w:bottom w:type="dxa" w:w="80"/>
              <w:right w:type="dxa" w:w="100"/>
            </w:tcMar>
            <w:vAlign w:val="center"/>
          </w:tcPr>
          <w:p>
            <w:r>
              <w:rPr>
                <w:b w:val="false"/>
                <w:bCs w:val="false"/>
                <w:sz w:val="19"/>
                <w:szCs w:val="19"/>
              </w:rPr>
              <w:t xml:space="preserve">DMZ (70)</w:t>
            </w:r>
          </w:p>
        </w:tc>
        <w:tc>
          <w:tcPr>
            <w:tcW w:type="dxa" w:w="1872"/>
            <w:tcMar>
              <w:top w:type="dxa" w:w="80"/>
              <w:left w:type="dxa" w:w="100"/>
              <w:bottom w:type="dxa" w:w="80"/>
              <w:right w:type="dxa" w:w="100"/>
            </w:tcMar>
            <w:vAlign w:val="center"/>
          </w:tcPr>
          <w:p>
            <w:r>
              <w:rPr>
                <w:b w:val="false"/>
                <w:bCs w:val="false"/>
                <w:sz w:val="19"/>
                <w:szCs w:val="19"/>
              </w:rPr>
              <w:t xml:space="preserve">Denegado</w:t>
            </w:r>
          </w:p>
        </w:tc>
        <w:tc>
          <w:tcPr>
            <w:tcW w:type="dxa" w:w="1872"/>
            <w:tcMar>
              <w:top w:type="dxa" w:w="80"/>
              <w:left w:type="dxa" w:w="100"/>
              <w:bottom w:type="dxa" w:w="80"/>
              <w:right w:type="dxa" w:w="100"/>
            </w:tcMar>
            <w:vAlign w:val="center"/>
          </w:tcPr>
          <w:p>
            <w:r>
              <w:rPr>
                <w:b w:val="false"/>
                <w:bCs w:val="false"/>
                <w:sz w:val="19"/>
                <w:szCs w:val="19"/>
              </w:rPr>
              <w:t xml:space="preserve">—</w:t>
            </w:r>
          </w:p>
        </w:tc>
        <w:tc>
          <w:tcPr>
            <w:tcW w:type="dxa" w:w="1872"/>
            <w:tcMar>
              <w:top w:type="dxa" w:w="80"/>
              <w:left w:type="dxa" w:w="100"/>
              <w:bottom w:type="dxa" w:w="80"/>
              <w:right w:type="dxa" w:w="100"/>
            </w:tcMar>
            <w:vAlign w:val="center"/>
          </w:tcPr>
          <w:p>
            <w:r>
              <w:rPr>
                <w:b w:val="false"/>
                <w:bCs w:val="false"/>
                <w:sz w:val="19"/>
                <w:szCs w:val="19"/>
              </w:rPr>
              <w:t xml:space="preserve">Denegado</w:t>
            </w:r>
          </w:p>
        </w:tc>
        <w:tc>
          <w:tcPr>
            <w:tcW w:type="dxa" w:w="1872"/>
            <w:tcMar>
              <w:top w:type="dxa" w:w="80"/>
              <w:left w:type="dxa" w:w="100"/>
              <w:bottom w:type="dxa" w:w="80"/>
              <w:right w:type="dxa" w:w="100"/>
            </w:tcMar>
            <w:vAlign w:val="center"/>
          </w:tcPr>
          <w:p>
            <w:r>
              <w:rPr>
                <w:b w:val="false"/>
                <w:bCs w:val="false"/>
                <w:sz w:val="19"/>
                <w:szCs w:val="19"/>
              </w:rPr>
              <w:t xml:space="preserve">Solo puertos publicados</w:t>
            </w:r>
          </w:p>
        </w:tc>
      </w:tr>
      <w:tr>
        <w:tc>
          <w:tcPr>
            <w:tcW w:type="dxa" w:w="1872"/>
            <w:tcMar>
              <w:top w:type="dxa" w:w="80"/>
              <w:left w:type="dxa" w:w="100"/>
              <w:bottom w:type="dxa" w:w="80"/>
              <w:right w:type="dxa" w:w="100"/>
            </w:tcMar>
            <w:vAlign w:val="center"/>
          </w:tcPr>
          <w:p>
            <w:r>
              <w:rPr>
                <w:b w:val="false"/>
                <w:bCs w:val="false"/>
                <w:sz w:val="19"/>
                <w:szCs w:val="19"/>
              </w:rPr>
              <w:t xml:space="preserve">Soporte I/T (40)</w:t>
            </w:r>
          </w:p>
        </w:tc>
        <w:tc>
          <w:tcPr>
            <w:tcW w:type="dxa" w:w="1872"/>
            <w:tcMar>
              <w:top w:type="dxa" w:w="80"/>
              <w:left w:type="dxa" w:w="100"/>
              <w:bottom w:type="dxa" w:w="80"/>
              <w:right w:type="dxa" w:w="100"/>
            </w:tcMar>
            <w:vAlign w:val="center"/>
          </w:tcPr>
          <w:p>
            <w:r>
              <w:rPr>
                <w:b w:val="false"/>
                <w:bCs w:val="false"/>
                <w:sz w:val="19"/>
                <w:szCs w:val="19"/>
              </w:rPr>
              <w:t xml:space="preserve">SSH/HTTPS de gestión</w:t>
            </w:r>
          </w:p>
        </w:tc>
        <w:tc>
          <w:tcPr>
            <w:tcW w:type="dxa" w:w="1872"/>
            <w:tcMar>
              <w:top w:type="dxa" w:w="80"/>
              <w:left w:type="dxa" w:w="100"/>
              <w:bottom w:type="dxa" w:w="80"/>
              <w:right w:type="dxa" w:w="100"/>
            </w:tcMar>
            <w:vAlign w:val="center"/>
          </w:tcPr>
          <w:p>
            <w:r>
              <w:rPr>
                <w:b w:val="false"/>
                <w:bCs w:val="false"/>
                <w:sz w:val="19"/>
                <w:szCs w:val="19"/>
              </w:rPr>
              <w:t xml:space="preserve">SSH/HTTPS de gestión</w:t>
            </w:r>
          </w:p>
        </w:tc>
        <w:tc>
          <w:tcPr>
            <w:tcW w:type="dxa" w:w="1872"/>
            <w:tcMar>
              <w:top w:type="dxa" w:w="80"/>
              <w:left w:type="dxa" w:w="100"/>
              <w:bottom w:type="dxa" w:w="80"/>
              <w:right w:type="dxa" w:w="100"/>
            </w:tcMar>
            <w:vAlign w:val="center"/>
          </w:tcPr>
          <w:p>
            <w:r>
              <w:rPr>
                <w:b w:val="false"/>
                <w:bCs w:val="false"/>
                <w:sz w:val="19"/>
                <w:szCs w:val="19"/>
              </w:rPr>
              <w:t xml:space="preserve">SSH/HTTPS de gestión</w:t>
            </w:r>
          </w:p>
        </w:tc>
        <w:tc>
          <w:tcPr>
            <w:tcW w:type="dxa" w:w="1872"/>
            <w:tcMar>
              <w:top w:type="dxa" w:w="80"/>
              <w:left w:type="dxa" w:w="100"/>
              <w:bottom w:type="dxa" w:w="80"/>
              <w:right w:type="dxa" w:w="100"/>
            </w:tcMar>
            <w:vAlign w:val="center"/>
          </w:tcPr>
          <w:p>
            <w:r>
              <w:rPr>
                <w:b w:val="false"/>
                <w:bCs w:val="false"/>
                <w:sz w:val="19"/>
                <w:szCs w:val="19"/>
              </w:rPr>
              <w:t xml:space="preserve">Sí</w:t>
            </w:r>
          </w:p>
        </w:tc>
      </w:tr>
      <w:tr>
        <w:tc>
          <w:tcPr>
            <w:tcW w:type="dxa" w:w="1872"/>
            <w:tcMar>
              <w:top w:type="dxa" w:w="80"/>
              <w:left w:type="dxa" w:w="100"/>
              <w:bottom w:type="dxa" w:w="80"/>
              <w:right w:type="dxa" w:w="100"/>
            </w:tcMar>
            <w:vAlign w:val="center"/>
          </w:tcPr>
          <w:p>
            <w:r>
              <w:rPr>
                <w:b w:val="false"/>
                <w:bCs w:val="false"/>
                <w:sz w:val="19"/>
                <w:szCs w:val="19"/>
              </w:rPr>
              <w:t xml:space="preserve">VPN (200)</w:t>
            </w:r>
          </w:p>
        </w:tc>
        <w:tc>
          <w:tcPr>
            <w:tcW w:type="dxa" w:w="1872"/>
            <w:tcMar>
              <w:top w:type="dxa" w:w="80"/>
              <w:left w:type="dxa" w:w="100"/>
              <w:bottom w:type="dxa" w:w="80"/>
              <w:right w:type="dxa" w:w="100"/>
            </w:tcMar>
            <w:vAlign w:val="center"/>
          </w:tcPr>
          <w:p>
            <w:r>
              <w:rPr>
                <w:b w:val="false"/>
                <w:bCs w:val="false"/>
                <w:sz w:val="19"/>
                <w:szCs w:val="19"/>
              </w:rPr>
              <w:t xml:space="preserve">Igual que la VLAN de origen del usuario remoto</w:t>
            </w:r>
          </w:p>
        </w:tc>
        <w:tc>
          <w:tcPr>
            <w:tcW w:type="dxa" w:w="1872"/>
            <w:tcMar>
              <w:top w:type="dxa" w:w="80"/>
              <w:left w:type="dxa" w:w="100"/>
              <w:bottom w:type="dxa" w:w="80"/>
              <w:right w:type="dxa" w:w="100"/>
            </w:tcMar>
            <w:vAlign w:val="center"/>
          </w:tcPr>
          <w:p>
            <w:r>
              <w:rPr>
                <w:b w:val="false"/>
                <w:bCs w:val="false"/>
                <w:sz w:val="19"/>
                <w:szCs w:val="19"/>
              </w:rPr>
              <w:t xml:space="preserve">Igual que su VLAN</w:t>
            </w:r>
          </w:p>
        </w:tc>
        <w:tc>
          <w:tcPr>
            <w:tcW w:type="dxa" w:w="1872"/>
            <w:tcMar>
              <w:top w:type="dxa" w:w="80"/>
              <w:left w:type="dxa" w:w="100"/>
              <w:bottom w:type="dxa" w:w="80"/>
              <w:right w:type="dxa" w:w="100"/>
            </w:tcMar>
            <w:vAlign w:val="center"/>
          </w:tcPr>
          <w:p>
            <w:r>
              <w:rPr>
                <w:b w:val="false"/>
                <w:bCs w:val="false"/>
                <w:sz w:val="19"/>
                <w:szCs w:val="19"/>
              </w:rPr>
              <w:t xml:space="preserve">Denegado</w:t>
            </w:r>
          </w:p>
        </w:tc>
        <w:tc>
          <w:tcPr>
            <w:tcW w:type="dxa" w:w="1872"/>
            <w:tcMar>
              <w:top w:type="dxa" w:w="80"/>
              <w:left w:type="dxa" w:w="100"/>
              <w:bottom w:type="dxa" w:w="80"/>
              <w:right w:type="dxa" w:w="100"/>
            </w:tcMar>
            <w:vAlign w:val="center"/>
          </w:tcPr>
          <w:p>
            <w:r>
              <w:rPr>
                <w:b w:val="false"/>
                <w:bCs w:val="false"/>
                <w:sz w:val="19"/>
                <w:szCs w:val="19"/>
              </w:rPr>
              <w:t xml:space="preserve">Vía Proxy</w:t>
            </w:r>
          </w:p>
        </w:tc>
      </w:tr>
    </w:tbl>
    <w:p>
      <w:pPr>
        <w:spacing w:after="200"/>
      </w:pPr>
    </w:p>
    <w:p>
      <w:pPr>
        <w:pStyle w:val="Heading3"/>
        <w:spacing w:after="180" w:before="320"/>
      </w:pPr>
      <w:r>
        <w:t xml:space="preserve">1.4 Política de acceso remoto y VPN</w:t>
      </w:r>
    </w:p>
    <w:p>
      <w:pPr>
        <w:pStyle w:val="ListParagraph"/>
        <w:numPr>
          <w:ilvl w:val="0"/>
          <w:numId w:val="2"/>
        </w:numPr>
        <w:spacing w:after="80"/>
      </w:pPr>
      <w:r>
        <w:rPr>
          <w:sz w:val="21"/>
          <w:szCs w:val="21"/>
        </w:rPr>
        <w:t xml:space="preserve">Todo acceso remoto a recursos internos se realiza exclusivamente vía </w:t>
      </w:r>
      <w:r>
        <w:rPr>
          <w:b/>
          <w:bCs/>
          <w:sz w:val="21"/>
          <w:szCs w:val="21"/>
        </w:rPr>
        <w:t xml:space="preserve">WireGuard</w:t>
      </w:r>
      <w:r>
        <w:rPr>
          <w:sz w:val="21"/>
          <w:szCs w:val="21"/>
        </w:rPr>
        <w:t xml:space="preserve"> (ver 03-Fase3-LAN-WAN-VPN-Seguridad.md) — prohibido exponer directamente a Internet cualquier servicio interno (RDP, SSH, SMB) sin pasar por la VPN.</w:t>
      </w:r>
    </w:p>
    <w:p>
      <w:pPr>
        <w:pStyle w:val="ListParagraph"/>
        <w:numPr>
          <w:ilvl w:val="0"/>
          <w:numId w:val="2"/>
        </w:numPr>
        <w:spacing w:after="80"/>
      </w:pPr>
      <w:r>
        <w:rPr>
          <w:sz w:val="21"/>
          <w:szCs w:val="21"/>
        </w:rPr>
        <w:t xml:space="preserve">Cada perfil de VPN es individual y trazable a una persona; no se comparten perfiles.</w:t>
      </w:r>
    </w:p>
    <w:p>
      <w:pPr>
        <w:pStyle w:val="ListParagraph"/>
        <w:numPr>
          <w:ilvl w:val="0"/>
          <w:numId w:val="2"/>
        </w:numPr>
        <w:spacing w:after="80"/>
      </w:pPr>
      <w:r>
        <w:rPr>
          <w:sz w:val="21"/>
          <w:szCs w:val="21"/>
        </w:rPr>
        <w:t xml:space="preserve">Los equipos personales (BYOD) que se conecten por VPN deben cumplir el mínimo de la política 1.7 (antivirus activo, SO actualizado) — verificación honor-based en esta fase del proyecto, con roadmap a verificación automática (postura de dispositivo) como mejora futura.</w:t>
      </w:r>
    </w:p>
    <w:p>
      <w:pPr>
        <w:pStyle w:val="Heading3"/>
        <w:spacing w:after="180" w:before="320"/>
      </w:pPr>
      <w:r>
        <w:t xml:space="preserve">1.5 Política de gestión de parches y actualizaciones</w:t>
      </w:r>
    </w:p>
    <w:p>
      <w:pPr>
        <w:pStyle w:val="ListParagraph"/>
        <w:numPr>
          <w:ilvl w:val="0"/>
          <w:numId w:val="2"/>
        </w:numPr>
        <w:spacing w:after="80"/>
      </w:pPr>
      <w:r>
        <w:rPr>
          <w:sz w:val="21"/>
          <w:szCs w:val="21"/>
        </w:rPr>
        <w:t xml:space="preserve">Servidores críticos (correo, proxy, DHCP, intranet, monitoreo): ventana de mantenimiento mensual para aplicar actualizaciones de seguridad del sistema operativo y de los contenedores Docker (</w:t>
      </w:r>
      <w:r>
        <w:rPr>
          <w:rFonts w:ascii="Consolas" w:cs="Consolas" w:eastAsia="Consolas" w:hAnsi="Consolas"/>
          <w:sz w:val="21"/>
          <w:szCs w:val="21"/>
        </w:rPr>
        <w:t xml:space="preserve">docker compose pull &amp;&amp; docker compose up -d</w:t>
      </w:r>
      <w:r>
        <w:rPr>
          <w:sz w:val="21"/>
          <w:szCs w:val="21"/>
        </w:rPr>
        <w:t xml:space="preserve">).</w:t>
      </w:r>
    </w:p>
    <w:p>
      <w:pPr>
        <w:pStyle w:val="ListParagraph"/>
        <w:numPr>
          <w:ilvl w:val="0"/>
          <w:numId w:val="2"/>
        </w:numPr>
        <w:spacing w:after="80"/>
      </w:pPr>
      <w:r>
        <w:rPr>
          <w:sz w:val="21"/>
          <w:szCs w:val="21"/>
        </w:rPr>
        <w:t xml:space="preserve">Vulnerabilidades </w:t>
      </w:r>
      <w:r>
        <w:rPr>
          <w:b/>
          <w:bCs/>
          <w:sz w:val="21"/>
          <w:szCs w:val="21"/>
        </w:rPr>
        <w:t xml:space="preserve">críticas</w:t>
      </w:r>
      <w:r>
        <w:rPr>
          <w:sz w:val="21"/>
          <w:szCs w:val="21"/>
        </w:rPr>
        <w:t xml:space="preserve"> (CVSS ≥ 9.0) publicadas para software en producción: parche o mitigación en un plazo máximo de 72 horas, sin esperar la ventana mensual.</w:t>
      </w:r>
    </w:p>
    <w:p>
      <w:pPr>
        <w:pStyle w:val="ListParagraph"/>
        <w:numPr>
          <w:ilvl w:val="0"/>
          <w:numId w:val="2"/>
        </w:numPr>
        <w:spacing w:after="80"/>
      </w:pPr>
      <w:r>
        <w:rPr>
          <w:sz w:val="21"/>
          <w:szCs w:val="21"/>
        </w:rPr>
        <w:t xml:space="preserve">Firmware de equipo de red (RouterOS, VyOS): actualización solo tras validar en el ambiente de laboratorio — nunca directo a producción — dado el riesgo de romper la adyacencia OSPF o reglas de firewall.</w:t>
      </w:r>
    </w:p>
    <w:p>
      <w:pPr>
        <w:pStyle w:val="Heading3"/>
        <w:spacing w:after="180" w:before="320"/>
      </w:pPr>
      <w:r>
        <w:t xml:space="preserve">1.6 Política de uso aceptable (AUP — Acceptable Use Policy)</w:t>
      </w:r>
    </w:p>
    <w:p>
      <w:pPr>
        <w:pStyle w:val="ListParagraph"/>
        <w:numPr>
          <w:ilvl w:val="0"/>
          <w:numId w:val="2"/>
        </w:numPr>
        <w:spacing w:after="80"/>
      </w:pPr>
      <w:r>
        <w:rPr>
          <w:sz w:val="21"/>
          <w:szCs w:val="21"/>
        </w:rPr>
        <w:t xml:space="preserve">Los recursos informáticos son para uso laboral; se tolera uso personal razonable siempre que no comprometa seguridad, productividad o ancho de banda (ej. streaming en horario laboral queda filtrado por categoría en el Proxy).</w:t>
      </w:r>
    </w:p>
    <w:p>
      <w:pPr>
        <w:pStyle w:val="ListParagraph"/>
        <w:numPr>
          <w:ilvl w:val="0"/>
          <w:numId w:val="2"/>
        </w:numPr>
        <w:spacing w:after="80"/>
      </w:pPr>
      <w:r>
        <w:rPr>
          <w:sz w:val="21"/>
          <w:szCs w:val="21"/>
        </w:rPr>
        <w:t xml:space="preserve">Prohibido expresamente: instalar software no autorizado, deshabilitar controles de seguridad (antivirus, firewall local), conectar medios extraíbles no escaneados en equipos de la VLAN de Servidores.</w:t>
      </w:r>
    </w:p>
    <w:p>
      <w:pPr>
        <w:pStyle w:val="ListParagraph"/>
        <w:numPr>
          <w:ilvl w:val="0"/>
          <w:numId w:val="2"/>
        </w:numPr>
        <w:spacing w:after="80"/>
      </w:pPr>
      <w:r>
        <w:rPr>
          <w:sz w:val="21"/>
          <w:szCs w:val="21"/>
        </w:rPr>
        <w:t xml:space="preserve">El uso de Internet queda sujeto a monitoreo y registro (ver 1.10) — se informa a cada usuario de esto al firmar su carta de ingreso, para cumplir el principio de transparencia.</w:t>
      </w:r>
    </w:p>
    <w:p>
      <w:pPr>
        <w:pStyle w:val="Heading3"/>
        <w:spacing w:after="180" w:before="320"/>
      </w:pPr>
      <w:r>
        <w:t xml:space="preserve">1.7 Política de dispositivos y endpoints</w:t>
      </w:r>
    </w:p>
    <w:p>
      <w:pPr>
        <w:pStyle w:val="ListParagraph"/>
        <w:numPr>
          <w:ilvl w:val="0"/>
          <w:numId w:val="2"/>
        </w:numPr>
        <w:spacing w:after="80"/>
      </w:pPr>
      <w:r>
        <w:rPr>
          <w:sz w:val="21"/>
          <w:szCs w:val="21"/>
        </w:rPr>
        <w:t xml:space="preserve">Todo equipo corporativo debe tener antivirus/EDR activo, disco cifrado (BitLocker/LUKS) y el sistema operativo con actualizaciones automáticas de seguridad habilitadas.</w:t>
      </w:r>
    </w:p>
    <w:p>
      <w:pPr>
        <w:pStyle w:val="ListParagraph"/>
        <w:numPr>
          <w:ilvl w:val="0"/>
          <w:numId w:val="2"/>
        </w:numPr>
        <w:spacing w:after="80"/>
      </w:pPr>
      <w:r>
        <w:rPr>
          <w:sz w:val="21"/>
          <w:szCs w:val="21"/>
        </w:rPr>
        <w:t xml:space="preserve">Los servidores (VMs) siguen hardening base aplicado por el rol Ansible </w:t>
      </w:r>
      <w:r>
        <w:rPr>
          <w:rFonts w:ascii="Consolas" w:cs="Consolas" w:eastAsia="Consolas" w:hAnsi="Consolas"/>
          <w:sz w:val="21"/>
          <w:szCs w:val="21"/>
        </w:rPr>
        <w:t xml:space="preserve">common</w:t>
      </w:r>
      <w:r>
        <w:rPr>
          <w:sz w:val="21"/>
          <w:szCs w:val="21"/>
        </w:rPr>
        <w:t xml:space="preserve"> (ver 05-Terraform-Ansible-IaC.md): sin cuentas por defecto, SSH solo por llave (nunca contraseña), </w:t>
      </w:r>
      <w:r>
        <w:rPr>
          <w:rFonts w:ascii="Consolas" w:cs="Consolas" w:eastAsia="Consolas" w:hAnsi="Consolas"/>
          <w:sz w:val="21"/>
          <w:szCs w:val="21"/>
        </w:rPr>
        <w:t xml:space="preserve">fail2ban</w:t>
      </w:r>
      <w:r>
        <w:rPr>
          <w:sz w:val="21"/>
          <w:szCs w:val="21"/>
        </w:rPr>
        <w:t xml:space="preserve"> activo.</w:t>
      </w:r>
    </w:p>
    <w:p>
      <w:pPr>
        <w:pStyle w:val="Heading3"/>
        <w:spacing w:after="180" w:before="320"/>
      </w:pPr>
      <w:r>
        <w:t xml:space="preserve">1.8 Política de clasificación y manejo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Nivel</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Ejemplo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Controles mínimos</w:t>
            </w:r>
          </w:p>
        </w:tc>
      </w:tr>
      <w:tr>
        <w:tc>
          <w:tcPr>
            <w:tcW w:type="dxa" w:w="3120"/>
            <w:tcMar>
              <w:top w:type="dxa" w:w="80"/>
              <w:left w:type="dxa" w:w="100"/>
              <w:bottom w:type="dxa" w:w="80"/>
              <w:right w:type="dxa" w:w="100"/>
            </w:tcMar>
            <w:vAlign w:val="center"/>
          </w:tcPr>
          <w:p>
            <w:r>
              <w:rPr>
                <w:b w:val="false"/>
                <w:bCs w:val="false"/>
                <w:sz w:val="19"/>
                <w:szCs w:val="19"/>
              </w:rPr>
              <w:t xml:space="preserve">Pública</w:t>
            </w:r>
          </w:p>
        </w:tc>
        <w:tc>
          <w:tcPr>
            <w:tcW w:type="dxa" w:w="3120"/>
            <w:tcMar>
              <w:top w:type="dxa" w:w="80"/>
              <w:left w:type="dxa" w:w="100"/>
              <w:bottom w:type="dxa" w:w="80"/>
              <w:right w:type="dxa" w:w="100"/>
            </w:tcMar>
            <w:vAlign w:val="center"/>
          </w:tcPr>
          <w:p>
            <w:r>
              <w:rPr>
                <w:b w:val="false"/>
                <w:bCs w:val="false"/>
                <w:sz w:val="19"/>
                <w:szCs w:val="19"/>
              </w:rPr>
              <w:t xml:space="preserve">Página web corporativa</w:t>
            </w:r>
          </w:p>
        </w:tc>
        <w:tc>
          <w:tcPr>
            <w:tcW w:type="dxa" w:w="3120"/>
            <w:tcMar>
              <w:top w:type="dxa" w:w="80"/>
              <w:left w:type="dxa" w:w="100"/>
              <w:bottom w:type="dxa" w:w="80"/>
              <w:right w:type="dxa" w:w="100"/>
            </w:tcMar>
            <w:vAlign w:val="center"/>
          </w:tcPr>
          <w:p>
            <w:r>
              <w:rPr>
                <w:b w:val="false"/>
                <w:bCs w:val="false"/>
                <w:sz w:val="19"/>
                <w:szCs w:val="19"/>
              </w:rPr>
              <w:t xml:space="preserve">Sin restricción</w:t>
            </w:r>
          </w:p>
        </w:tc>
      </w:tr>
      <w:tr>
        <w:tc>
          <w:tcPr>
            <w:tcW w:type="dxa" w:w="3120"/>
            <w:tcMar>
              <w:top w:type="dxa" w:w="80"/>
              <w:left w:type="dxa" w:w="100"/>
              <w:bottom w:type="dxa" w:w="80"/>
              <w:right w:type="dxa" w:w="100"/>
            </w:tcMar>
            <w:vAlign w:val="center"/>
          </w:tcPr>
          <w:p>
            <w:r>
              <w:rPr>
                <w:b w:val="false"/>
                <w:bCs w:val="false"/>
                <w:sz w:val="19"/>
                <w:szCs w:val="19"/>
              </w:rPr>
              <w:t xml:space="preserve">Interna</w:t>
            </w:r>
          </w:p>
        </w:tc>
        <w:tc>
          <w:tcPr>
            <w:tcW w:type="dxa" w:w="3120"/>
            <w:tcMar>
              <w:top w:type="dxa" w:w="80"/>
              <w:left w:type="dxa" w:w="100"/>
              <w:bottom w:type="dxa" w:w="80"/>
              <w:right w:type="dxa" w:w="100"/>
            </w:tcMar>
            <w:vAlign w:val="center"/>
          </w:tcPr>
          <w:p>
            <w:r>
              <w:rPr>
                <w:b w:val="false"/>
                <w:bCs w:val="false"/>
                <w:sz w:val="19"/>
                <w:szCs w:val="19"/>
              </w:rPr>
              <w:t xml:space="preserve">Comunicados, manuales internos</w:t>
            </w:r>
          </w:p>
        </w:tc>
        <w:tc>
          <w:tcPr>
            <w:tcW w:type="dxa" w:w="3120"/>
            <w:tcMar>
              <w:top w:type="dxa" w:w="80"/>
              <w:left w:type="dxa" w:w="100"/>
              <w:bottom w:type="dxa" w:w="80"/>
              <w:right w:type="dxa" w:w="100"/>
            </w:tcMar>
            <w:vAlign w:val="center"/>
          </w:tcPr>
          <w:p>
            <w:r>
              <w:rPr>
                <w:b w:val="false"/>
                <w:bCs w:val="false"/>
                <w:sz w:val="19"/>
                <w:szCs w:val="19"/>
              </w:rPr>
              <w:t xml:space="preserve">Acceso solo desde la LAN/VPN, sin cifrado obligatorio</w:t>
            </w:r>
          </w:p>
        </w:tc>
      </w:tr>
      <w:tr>
        <w:tc>
          <w:tcPr>
            <w:tcW w:type="dxa" w:w="3120"/>
            <w:tcMar>
              <w:top w:type="dxa" w:w="80"/>
              <w:left w:type="dxa" w:w="100"/>
              <w:bottom w:type="dxa" w:w="80"/>
              <w:right w:type="dxa" w:w="100"/>
            </w:tcMar>
            <w:vAlign w:val="center"/>
          </w:tcPr>
          <w:p>
            <w:r>
              <w:rPr>
                <w:b w:val="false"/>
                <w:bCs w:val="false"/>
                <w:sz w:val="19"/>
                <w:szCs w:val="19"/>
              </w:rPr>
              <w:t xml:space="preserve">Confidencial</w:t>
            </w:r>
          </w:p>
        </w:tc>
        <w:tc>
          <w:tcPr>
            <w:tcW w:type="dxa" w:w="3120"/>
            <w:tcMar>
              <w:top w:type="dxa" w:w="80"/>
              <w:left w:type="dxa" w:w="100"/>
              <w:bottom w:type="dxa" w:w="80"/>
              <w:right w:type="dxa" w:w="100"/>
            </w:tcMar>
            <w:vAlign w:val="center"/>
          </w:tcPr>
          <w:p>
            <w:r>
              <w:rPr>
                <w:b w:val="false"/>
                <w:bCs w:val="false"/>
                <w:sz w:val="19"/>
                <w:szCs w:val="19"/>
              </w:rPr>
              <w:t xml:space="preserve">Contratos, datos de RRHH, código fuente</w:t>
            </w:r>
          </w:p>
        </w:tc>
        <w:tc>
          <w:tcPr>
            <w:tcW w:type="dxa" w:w="3120"/>
            <w:tcMar>
              <w:top w:type="dxa" w:w="80"/>
              <w:left w:type="dxa" w:w="100"/>
              <w:bottom w:type="dxa" w:w="80"/>
              <w:right w:type="dxa" w:w="100"/>
            </w:tcMar>
            <w:vAlign w:val="center"/>
          </w:tcPr>
          <w:p>
            <w:r>
              <w:rPr>
                <w:b w:val="false"/>
                <w:bCs w:val="false"/>
                <w:sz w:val="19"/>
                <w:szCs w:val="19"/>
              </w:rPr>
              <w:t xml:space="preserve">Cifrado en tránsito (TLS) y en reposo, acceso por rol, logging de acceso</w:t>
            </w:r>
          </w:p>
        </w:tc>
      </w:tr>
      <w:tr>
        <w:tc>
          <w:tcPr>
            <w:tcW w:type="dxa" w:w="3120"/>
            <w:tcMar>
              <w:top w:type="dxa" w:w="80"/>
              <w:left w:type="dxa" w:w="100"/>
              <w:bottom w:type="dxa" w:w="80"/>
              <w:right w:type="dxa" w:w="100"/>
            </w:tcMar>
            <w:vAlign w:val="center"/>
          </w:tcPr>
          <w:p>
            <w:r>
              <w:rPr>
                <w:b w:val="false"/>
                <w:bCs w:val="false"/>
                <w:sz w:val="19"/>
                <w:szCs w:val="19"/>
              </w:rPr>
              <w:t xml:space="preserve">Restringida</w:t>
            </w:r>
          </w:p>
        </w:tc>
        <w:tc>
          <w:tcPr>
            <w:tcW w:type="dxa" w:w="3120"/>
            <w:tcMar>
              <w:top w:type="dxa" w:w="80"/>
              <w:left w:type="dxa" w:w="100"/>
              <w:bottom w:type="dxa" w:w="80"/>
              <w:right w:type="dxa" w:w="100"/>
            </w:tcMar>
            <w:vAlign w:val="center"/>
          </w:tcPr>
          <w:p>
            <w:r>
              <w:rPr>
                <w:b w:val="false"/>
                <w:bCs w:val="false"/>
                <w:sz w:val="19"/>
                <w:szCs w:val="19"/>
              </w:rPr>
              <w:t xml:space="preserve">Datos financieros, credenciales, llaves privadas</w:t>
            </w:r>
          </w:p>
        </w:tc>
        <w:tc>
          <w:tcPr>
            <w:tcW w:type="dxa" w:w="3120"/>
            <w:tcMar>
              <w:top w:type="dxa" w:w="80"/>
              <w:left w:type="dxa" w:w="100"/>
              <w:bottom w:type="dxa" w:w="80"/>
              <w:right w:type="dxa" w:w="100"/>
            </w:tcMar>
            <w:vAlign w:val="center"/>
          </w:tcPr>
          <w:p>
            <w:r>
              <w:rPr>
                <w:b w:val="false"/>
                <w:bCs w:val="false"/>
                <w:sz w:val="19"/>
                <w:szCs w:val="19"/>
              </w:rPr>
              <w:t xml:space="preserve">Cifrado obligatorio, acceso nominal auditado, prohibido salir por correo sin cifrar</w:t>
            </w:r>
          </w:p>
        </w:tc>
      </w:tr>
    </w:tbl>
    <w:p>
      <w:pPr>
        <w:spacing w:after="200"/>
      </w:pPr>
    </w:p>
    <w:p>
      <w:pPr>
        <w:pStyle w:val="Heading3"/>
        <w:spacing w:after="180" w:before="320"/>
      </w:pPr>
      <w:r>
        <w:t xml:space="preserve">1.9 Política de respaldo y recuperación</w:t>
      </w:r>
    </w:p>
    <w:p>
      <w:pPr>
        <w:pStyle w:val="ListParagraph"/>
        <w:numPr>
          <w:ilvl w:val="0"/>
          <w:numId w:val="2"/>
        </w:numPr>
        <w:spacing w:after="80"/>
      </w:pPr>
      <w:r>
        <w:rPr>
          <w:b/>
          <w:bCs/>
          <w:sz w:val="21"/>
          <w:szCs w:val="21"/>
        </w:rPr>
        <w:t xml:space="preserve">RPO (Recovery Point Objective)</w:t>
      </w:r>
      <w:r>
        <w:rPr>
          <w:sz w:val="21"/>
          <w:szCs w:val="21"/>
        </w:rPr>
        <w:t xml:space="preserve"> objetivo: 24 horas para servidores de aplicación (snapshots diarios vía Proxmox </w:t>
      </w:r>
      <w:r>
        <w:rPr>
          <w:rFonts w:ascii="Consolas" w:cs="Consolas" w:eastAsia="Consolas" w:hAnsi="Consolas"/>
          <w:sz w:val="21"/>
          <w:szCs w:val="21"/>
        </w:rPr>
        <w:t xml:space="preserve">vzdump</w:t>
      </w:r>
      <w:r>
        <w:rPr>
          <w:sz w:val="21"/>
          <w:szCs w:val="21"/>
        </w:rPr>
        <w:t xml:space="preserve">), 1 hora para el buzón de correo (replicación de </w:t>
      </w:r>
      <w:r>
        <w:rPr>
          <w:rFonts w:ascii="Consolas" w:cs="Consolas" w:eastAsia="Consolas" w:hAnsi="Consolas"/>
          <w:sz w:val="21"/>
          <w:szCs w:val="21"/>
        </w:rPr>
        <w:t xml:space="preserve">/var/mail</w:t>
      </w:r>
      <w:r>
        <w:rPr>
          <w:sz w:val="21"/>
          <w:szCs w:val="21"/>
        </w:rPr>
        <w:t xml:space="preserve"> a disco secundario).</w:t>
      </w:r>
    </w:p>
    <w:p>
      <w:pPr>
        <w:pStyle w:val="ListParagraph"/>
        <w:numPr>
          <w:ilvl w:val="0"/>
          <w:numId w:val="2"/>
        </w:numPr>
        <w:spacing w:after="80"/>
      </w:pPr>
      <w:r>
        <w:rPr>
          <w:b/>
          <w:bCs/>
          <w:sz w:val="21"/>
          <w:szCs w:val="21"/>
        </w:rPr>
        <w:t xml:space="preserve">RTO (Recovery Time Objective)</w:t>
      </w:r>
      <w:r>
        <w:rPr>
          <w:sz w:val="21"/>
          <w:szCs w:val="21"/>
        </w:rPr>
        <w:t xml:space="preserve"> objetivo: 4 horas para restaurar cualquier servicio crítico desde el último respaldo válido.</w:t>
      </w:r>
    </w:p>
    <w:p>
      <w:pPr>
        <w:pStyle w:val="ListParagraph"/>
        <w:numPr>
          <w:ilvl w:val="0"/>
          <w:numId w:val="2"/>
        </w:numPr>
        <w:spacing w:after="80"/>
      </w:pPr>
      <w:r>
        <w:rPr>
          <w:sz w:val="21"/>
          <w:szCs w:val="21"/>
        </w:rPr>
        <w:t xml:space="preserve">Los respaldos se prueban trimestralmente con una restauración real (no solo se verifica que el job "corrió sin error") — un respaldo no probado no cuenta como respaldo.</w:t>
      </w:r>
    </w:p>
    <w:p>
      <w:pPr>
        <w:pStyle w:val="ListParagraph"/>
        <w:numPr>
          <w:ilvl w:val="0"/>
          <w:numId w:val="2"/>
        </w:numPr>
        <w:spacing w:after="80"/>
      </w:pPr>
      <w:r>
        <w:rPr>
          <w:sz w:val="21"/>
          <w:szCs w:val="21"/>
        </w:rPr>
        <w:t xml:space="preserve">Copia de los backups críticos fuera del host físico principal (disco externo separado o, a futuro, un segundo sitio), dado que actualmente todo corre en 1 solo nodo Proxmox.</w:t>
      </w:r>
    </w:p>
    <w:p>
      <w:pPr>
        <w:pStyle w:val="Heading3"/>
        <w:spacing w:after="180" w:before="320"/>
      </w:pPr>
      <w:r>
        <w:t xml:space="preserve">1.10 Política de monitoreo, logging y auditoría</w:t>
      </w:r>
    </w:p>
    <w:p>
      <w:pPr>
        <w:pStyle w:val="ListParagraph"/>
        <w:numPr>
          <w:ilvl w:val="0"/>
          <w:numId w:val="2"/>
        </w:numPr>
        <w:spacing w:after="80"/>
      </w:pPr>
      <w:r>
        <w:rPr>
          <w:sz w:val="21"/>
          <w:szCs w:val="21"/>
        </w:rPr>
        <w:t xml:space="preserve">Zabbix centraliza métricas de disponibilidad; los logs de autenticación, firewall (R1) y proxy (Squid) se envían a syslog centralizado en </w:t>
      </w:r>
      <w:r>
        <w:rPr>
          <w:rFonts w:ascii="Consolas" w:cs="Consolas" w:eastAsia="Consolas" w:hAnsi="Consolas"/>
          <w:sz w:val="21"/>
          <w:szCs w:val="21"/>
        </w:rPr>
        <w:t xml:space="preserve">vm-monitor</w:t>
      </w:r>
      <w:r>
        <w:rPr>
          <w:sz w:val="21"/>
          <w:szCs w:val="21"/>
        </w:rPr>
        <w:t xml:space="preserve">.</w:t>
      </w:r>
    </w:p>
    <w:p>
      <w:pPr>
        <w:pStyle w:val="ListParagraph"/>
        <w:numPr>
          <w:ilvl w:val="0"/>
          <w:numId w:val="2"/>
        </w:numPr>
        <w:spacing w:after="80"/>
      </w:pPr>
      <w:r>
        <w:rPr>
          <w:sz w:val="21"/>
          <w:szCs w:val="21"/>
        </w:rPr>
        <w:t xml:space="preserve">Retención mínima de logs: 90 días en línea, con posibilidad de exportar a almacenamiento frío para retención extendida si el volumen de negocio lo justifica.</w:t>
      </w:r>
    </w:p>
    <w:p>
      <w:pPr>
        <w:pStyle w:val="ListParagraph"/>
        <w:numPr>
          <w:ilvl w:val="0"/>
          <w:numId w:val="2"/>
        </w:numPr>
        <w:spacing w:after="80"/>
      </w:pPr>
      <w:r>
        <w:rPr>
          <w:sz w:val="21"/>
          <w:szCs w:val="21"/>
        </w:rPr>
        <w:t xml:space="preserve">Los logs de acceso administrativo (quién entró a R1, VyOS, Proxmox) se consideran </w:t>
      </w:r>
      <w:r>
        <w:rPr>
          <w:b/>
          <w:bCs/>
          <w:sz w:val="21"/>
          <w:szCs w:val="21"/>
        </w:rPr>
        <w:t xml:space="preserve">restringidos</w:t>
      </w:r>
      <w:r>
        <w:rPr>
          <w:sz w:val="21"/>
          <w:szCs w:val="21"/>
        </w:rPr>
        <w:t xml:space="preserve"> (política 1.8) y solo los revisa Soporte I/T y, en auditorías, la gerencia.</w:t>
      </w:r>
    </w:p>
    <w:p>
      <w:pPr>
        <w:pStyle w:val="Heading3"/>
        <w:spacing w:after="180" w:before="320"/>
      </w:pPr>
      <w:r>
        <w:t xml:space="preserve">1.11 Política de respuesta a incidentes</w:t>
      </w:r>
    </w:p>
    <w:p>
      <w:pPr>
        <w:pStyle w:val="ListParagraph"/>
        <w:numPr>
          <w:ilvl w:val="0"/>
          <w:numId w:val="3"/>
        </w:numPr>
        <w:spacing w:after="80"/>
      </w:pPr>
      <w:r>
        <w:rPr>
          <w:b/>
          <w:bCs/>
          <w:sz w:val="21"/>
          <w:szCs w:val="21"/>
        </w:rPr>
        <w:t xml:space="preserve">Detección</w:t>
      </w:r>
      <w:r>
        <w:rPr>
          <w:sz w:val="21"/>
          <w:szCs w:val="21"/>
        </w:rPr>
        <w:t xml:space="preserve">: alerta de Zabbix, reporte de usuario, o hallazgo en revisión de logs.</w:t>
      </w:r>
    </w:p>
    <w:p>
      <w:pPr>
        <w:pStyle w:val="ListParagraph"/>
        <w:numPr>
          <w:ilvl w:val="0"/>
          <w:numId w:val="3"/>
        </w:numPr>
        <w:spacing w:after="80"/>
      </w:pPr>
      <w:r>
        <w:rPr>
          <w:b/>
          <w:bCs/>
          <w:sz w:val="21"/>
          <w:szCs w:val="21"/>
        </w:rPr>
        <w:t xml:space="preserve">Contención</w:t>
      </w:r>
      <w:r>
        <w:rPr>
          <w:sz w:val="21"/>
          <w:szCs w:val="21"/>
        </w:rPr>
        <w:t xml:space="preserve">: aislar el equipo/VLAN afectado (mover a una VLAN de cuarentena o desconectar el puerto del switch) sin apagar el equipo (preservar evidencia en memoria si aplica).</w:t>
      </w:r>
    </w:p>
    <w:p>
      <w:pPr>
        <w:pStyle w:val="ListParagraph"/>
        <w:numPr>
          <w:ilvl w:val="0"/>
          <w:numId w:val="3"/>
        </w:numPr>
        <w:spacing w:after="80"/>
      </w:pPr>
      <w:r>
        <w:rPr>
          <w:b/>
          <w:bCs/>
          <w:sz w:val="21"/>
          <w:szCs w:val="21"/>
        </w:rPr>
        <w:t xml:space="preserve">Erradicación</w:t>
      </w:r>
      <w:r>
        <w:rPr>
          <w:sz w:val="21"/>
          <w:szCs w:val="21"/>
        </w:rPr>
        <w:t xml:space="preserve">: identificar causa raíz, remover el vector (malware, credencial comprometida, vulnerabilidad sin parchar).</w:t>
      </w:r>
    </w:p>
    <w:p>
      <w:pPr>
        <w:pStyle w:val="ListParagraph"/>
        <w:numPr>
          <w:ilvl w:val="0"/>
          <w:numId w:val="3"/>
        </w:numPr>
        <w:spacing w:after="80"/>
      </w:pPr>
      <w:r>
        <w:rPr>
          <w:b/>
          <w:bCs/>
          <w:sz w:val="21"/>
          <w:szCs w:val="21"/>
        </w:rPr>
        <w:t xml:space="preserve">Recuperación</w:t>
      </w:r>
      <w:r>
        <w:rPr>
          <w:sz w:val="21"/>
          <w:szCs w:val="21"/>
        </w:rPr>
        <w:t xml:space="preserve">: restaurar desde respaldo conocido-bueno si hubo compromiso de integridad.</w:t>
      </w:r>
    </w:p>
    <w:p>
      <w:pPr>
        <w:pStyle w:val="ListParagraph"/>
        <w:numPr>
          <w:ilvl w:val="0"/>
          <w:numId w:val="3"/>
        </w:numPr>
        <w:spacing w:after="80"/>
      </w:pPr>
      <w:r>
        <w:rPr>
          <w:b/>
          <w:bCs/>
          <w:sz w:val="21"/>
          <w:szCs w:val="21"/>
        </w:rPr>
        <w:t xml:space="preserve">Lecciones aprendidas</w:t>
      </w:r>
      <w:r>
        <w:rPr>
          <w:sz w:val="21"/>
          <w:szCs w:val="21"/>
        </w:rPr>
        <w:t xml:space="preserve">: post-mortem documentado en un plazo de 5 días hábiles, con acciones correctivas asignadas y fecha de cierre.</w:t>
      </w:r>
    </w:p>
    <w:p>
      <w:pPr>
        <w:pStyle w:val="ListParagraph"/>
        <w:numPr>
          <w:ilvl w:val="0"/>
          <w:numId w:val="2"/>
        </w:numPr>
        <w:spacing w:after="80"/>
      </w:pPr>
      <w:r>
        <w:rPr>
          <w:sz w:val="21"/>
          <w:szCs w:val="21"/>
        </w:rPr>
        <w:t xml:space="preserve">Se designa un responsable de incidentes por turno (rota entre Soporte I/T) con autoridad para tomar decisiones de contención sin esperar aprobación gerencial en incidentes activos.</w:t>
      </w:r>
    </w:p>
    <w:p>
      <w:pPr>
        <w:pStyle w:val="Heading3"/>
        <w:spacing w:after="180" w:before="320"/>
      </w:pPr>
      <w:r>
        <w:t xml:space="preserve">1.12 Política de gestión de cambios</w:t>
      </w:r>
    </w:p>
    <w:p>
      <w:pPr>
        <w:pStyle w:val="ListParagraph"/>
        <w:numPr>
          <w:ilvl w:val="0"/>
          <w:numId w:val="2"/>
        </w:numPr>
        <w:spacing w:after="80"/>
      </w:pPr>
      <w:r>
        <w:rPr>
          <w:sz w:val="21"/>
          <w:szCs w:val="21"/>
        </w:rPr>
        <w:t xml:space="preserve">Todo cambio a infraestructura de red o servidores en producción sigue el flujo de Terraform-Ansible-IaC.md: </w:t>
      </w:r>
      <w:r>
        <w:rPr>
          <w:rFonts w:ascii="Consolas" w:cs="Consolas" w:eastAsia="Consolas" w:hAnsi="Consolas"/>
          <w:sz w:val="21"/>
          <w:szCs w:val="21"/>
        </w:rPr>
        <w:t xml:space="preserve">terraform plan</w:t>
      </w:r>
      <w:r>
        <w:rPr>
          <w:sz w:val="21"/>
          <w:szCs w:val="21"/>
        </w:rPr>
        <w:t xml:space="preserve">/revisión de Pull Request antes de aplicar — nadie aplica un cambio no revisado directamente en producción, salvo remediación de emergencia (que se documenta retroactivamente en 24h).</w:t>
      </w:r>
    </w:p>
    <w:p>
      <w:pPr>
        <w:pStyle w:val="ListParagraph"/>
        <w:numPr>
          <w:ilvl w:val="0"/>
          <w:numId w:val="2"/>
        </w:numPr>
        <w:spacing w:after="80"/>
      </w:pPr>
      <w:r>
        <w:rPr>
          <w:sz w:val="21"/>
          <w:szCs w:val="21"/>
        </w:rPr>
        <w:t xml:space="preserve">Cambios de alto impacto (cambio de esquema de direccionamiento IP, actualización mayor de RouterOS/VyOS, cambio de reglas de firewall del Core) requieren ventana de mantenimiento anunciada con 48 horas de anticipación.</w:t>
      </w:r>
    </w:p>
    <w:p>
      <w:pPr>
        <w:pStyle w:val="Heading3"/>
        <w:spacing w:after="180" w:before="320"/>
      </w:pPr>
      <w:r>
        <w:t xml:space="preserve">1.13 Política de terceros y proveedores</w:t>
      </w:r>
    </w:p>
    <w:p>
      <w:pPr>
        <w:pStyle w:val="ListParagraph"/>
        <w:numPr>
          <w:ilvl w:val="0"/>
          <w:numId w:val="2"/>
        </w:numPr>
        <w:spacing w:after="80"/>
      </w:pPr>
      <w:r>
        <w:rPr>
          <w:sz w:val="21"/>
          <w:szCs w:val="21"/>
        </w:rPr>
        <w:t xml:space="preserve">Cualquier proveedor con acceso remoto a un sistema (ej. soporte de un fabricante) recibe un perfil VPN temporal con fecha de expiración automática y acceso limitado únicamente al sistema que va a intervenir.</w:t>
      </w:r>
    </w:p>
    <w:p>
      <w:pPr>
        <w:pStyle w:val="ListParagraph"/>
        <w:numPr>
          <w:ilvl w:val="0"/>
          <w:numId w:val="2"/>
        </w:numPr>
        <w:spacing w:after="80"/>
      </w:pPr>
      <w:r>
        <w:rPr>
          <w:sz w:val="21"/>
          <w:szCs w:val="21"/>
        </w:rPr>
        <w:t xml:space="preserve">Contratos con proveedores que procesen datos confidenciales de la empresa deben incluir cláusula de confidencialidad y notificación obligatoria de incidentes que los involucren.</w:t>
      </w:r>
    </w:p>
    <w:p>
      <w:pPr>
        <w:pStyle w:val="Heading3"/>
        <w:spacing w:after="180" w:before="320"/>
      </w:pPr>
      <w:r>
        <w:t xml:space="preserve">1.14 Política de correo electrónico y anti-phishing</w:t>
      </w:r>
    </w:p>
    <w:p>
      <w:pPr>
        <w:pStyle w:val="ListParagraph"/>
        <w:numPr>
          <w:ilvl w:val="0"/>
          <w:numId w:val="2"/>
        </w:numPr>
        <w:spacing w:after="80"/>
      </w:pPr>
      <w:r>
        <w:rPr>
          <w:sz w:val="21"/>
          <w:szCs w:val="21"/>
        </w:rPr>
        <w:t xml:space="preserve">Todo el correo entrante pasa por el filtro anti-spam de rspamd (SPF/DKIM/DMARC + scoring, ver 02-Fase2-Servidor-Correo.md).</w:t>
      </w:r>
    </w:p>
    <w:p>
      <w:pPr>
        <w:pStyle w:val="ListParagraph"/>
        <w:numPr>
          <w:ilvl w:val="0"/>
          <w:numId w:val="2"/>
        </w:numPr>
        <w:spacing w:after="80"/>
      </w:pPr>
      <w:r>
        <w:rPr>
          <w:sz w:val="21"/>
          <w:szCs w:val="21"/>
        </w:rPr>
        <w:t xml:space="preserve">Se realiza capacitación de concientización (phishing awareness) al ingreso y de forma anual — el phishing sigue siendo, según reportes de la industria (Verizon DBIR), uno de los vectores de compromiso inicial más comunes, y ningún control técnico lo sustituye por completo.</w:t>
      </w:r>
    </w:p>
    <w:p>
      <w:pPr>
        <w:pStyle w:val="ListParagraph"/>
        <w:numPr>
          <w:ilvl w:val="0"/>
          <w:numId w:val="2"/>
        </w:numPr>
        <w:spacing w:after="80"/>
      </w:pPr>
      <w:r>
        <w:rPr>
          <w:sz w:val="21"/>
          <w:szCs w:val="21"/>
        </w:rPr>
        <w:t xml:space="preserve">Prohibido reenviar correo corporativo a cuentas personales (Gmail, Hotmail, etc.).</w:t>
      </w:r>
    </w:p>
    <w:p>
      <w:pPr>
        <w:pStyle w:val="Heading3"/>
        <w:spacing w:after="180" w:before="320"/>
      </w:pPr>
      <w:r>
        <w:t xml:space="preserve">1.15 Política de cifrado</w:t>
      </w:r>
    </w:p>
    <w:p>
      <w:pPr>
        <w:pStyle w:val="ListParagraph"/>
        <w:numPr>
          <w:ilvl w:val="0"/>
          <w:numId w:val="2"/>
        </w:numPr>
        <w:spacing w:after="80"/>
      </w:pPr>
      <w:r>
        <w:rPr>
          <w:sz w:val="21"/>
          <w:szCs w:val="21"/>
        </w:rPr>
        <w:t xml:space="preserve">Todo tráfico administrativo (SSH, HTTPS, API de Proxmox) usa cifrado en tránsito — nunca Telnet, HTTP plano ni SNMPv1/v2 para gestión (se usa SNMPv3 si se requiere monitoreo SNMP de los equipos de red).</w:t>
      </w:r>
    </w:p>
    <w:p>
      <w:pPr>
        <w:pStyle w:val="ListParagraph"/>
        <w:numPr>
          <w:ilvl w:val="0"/>
          <w:numId w:val="2"/>
        </w:numPr>
        <w:spacing w:after="80"/>
      </w:pPr>
      <w:r>
        <w:rPr>
          <w:sz w:val="21"/>
          <w:szCs w:val="21"/>
        </w:rPr>
        <w:t xml:space="preserve">Certificados TLS autofirmados son aceptables dentro del laboratorio (dominios </w:t>
      </w:r>
      <w:r>
        <w:rPr>
          <w:rFonts w:ascii="Consolas" w:cs="Consolas" w:eastAsia="Consolas" w:hAnsi="Consolas"/>
          <w:sz w:val="21"/>
          <w:szCs w:val="21"/>
        </w:rPr>
        <w:t xml:space="preserve">.lab</w:t>
      </w:r>
      <w:r>
        <w:rPr>
          <w:sz w:val="21"/>
          <w:szCs w:val="21"/>
        </w:rPr>
        <w:t xml:space="preserve">, sin CA pública disponible); en un rollout de producción con dominio público real, se exige Let's Encrypt o CA corporativa.</w:t>
      </w:r>
    </w:p>
    <w:p>
      <w:pPr>
        <w:pStyle w:val="ListParagraph"/>
        <w:numPr>
          <w:ilvl w:val="0"/>
          <w:numId w:val="2"/>
        </w:numPr>
        <w:spacing w:after="80"/>
      </w:pPr>
      <w:r>
        <w:rPr>
          <w:sz w:val="21"/>
          <w:szCs w:val="21"/>
        </w:rPr>
        <w:t xml:space="preserve">Contraseñas y secretos en el código de automatización (Ansible) se manejan exclusivamente vía Ansible Vault — nunca en texto plano en el repositorio (ver nota en group_vars/all.yml).</w:t>
      </w:r>
    </w:p>
    <w:p>
      <w:pPr>
        <w:pBdr>
          <w:bottom w:val="single" w:color="AAAAAA" w:sz="6" w:space="1"/>
        </w:pBdr>
        <w:spacing w:after="200"/>
      </w:pPr>
    </w:p>
    <w:p>
      <w:pPr>
        <w:pStyle w:val="Heading2"/>
        <w:spacing w:after="180" w:before="320"/>
      </w:pPr>
      <w:r>
        <w:t xml:space="preserve">2. Políticas Físicas</w:t>
      </w:r>
    </w:p>
    <w:p>
      <w:pPr>
        <w:pStyle w:val="Heading3"/>
        <w:spacing w:after="180" w:before="320"/>
      </w:pPr>
      <w:r>
        <w:t xml:space="preserve">2.1 Política de control de acceso físico al Data Center</w:t>
      </w:r>
    </w:p>
    <w:p>
      <w:pPr>
        <w:pStyle w:val="ListParagraph"/>
        <w:numPr>
          <w:ilvl w:val="0"/>
          <w:numId w:val="2"/>
        </w:numPr>
        <w:spacing w:after="80"/>
      </w:pPr>
      <w:r>
        <w:rPr>
          <w:sz w:val="21"/>
          <w:szCs w:val="21"/>
        </w:rPr>
        <w:t xml:space="preserve">Acceso restringido a personal autorizado explícitamente por lista (Soporte I/T + gerencia de I/T) — no "todo el departamento de I/T" por defecto.</w:t>
      </w:r>
    </w:p>
    <w:p>
      <w:pPr>
        <w:pStyle w:val="ListParagraph"/>
        <w:numPr>
          <w:ilvl w:val="0"/>
          <w:numId w:val="2"/>
        </w:numPr>
        <w:spacing w:after="80"/>
      </w:pPr>
      <w:r>
        <w:rPr>
          <w:sz w:val="21"/>
          <w:szCs w:val="21"/>
        </w:rPr>
        <w:t xml:space="preserve">Control de acceso de doble factor como mínimo viable (tarjeta + PIN); biométrico (huella o facial) como estándar deseable en la implementación de producción, alineado a lo esperado en una instalación Tier 4 (ver 06-Data-Center-Tier4.md §6).</w:t>
      </w:r>
    </w:p>
    <w:p>
      <w:pPr>
        <w:pStyle w:val="ListParagraph"/>
        <w:numPr>
          <w:ilvl w:val="0"/>
          <w:numId w:val="2"/>
        </w:numPr>
        <w:spacing w:after="80"/>
      </w:pPr>
      <w:r>
        <w:rPr>
          <w:sz w:val="21"/>
          <w:szCs w:val="21"/>
        </w:rPr>
        <w:t xml:space="preserve">Bitácora de acceso (quién, cuándo, motivo) retenida mínimo 1 año.</w:t>
      </w:r>
    </w:p>
    <w:p>
      <w:pPr>
        <w:pStyle w:val="ListParagraph"/>
        <w:numPr>
          <w:ilvl w:val="0"/>
          <w:numId w:val="2"/>
        </w:numPr>
        <w:spacing w:after="80"/>
      </w:pPr>
      <w:r>
        <w:rPr>
          <w:sz w:val="21"/>
          <w:szCs w:val="21"/>
        </w:rPr>
        <w:t xml:space="preserve">Ningún acceso individual sin acompañamiento para personal no habitual (contratistas, proveedores) — siempre escoltados por alguien de la lista autorizada.</w:t>
      </w:r>
    </w:p>
    <w:p>
      <w:pPr>
        <w:pStyle w:val="Heading3"/>
        <w:spacing w:after="180" w:before="320"/>
      </w:pPr>
      <w:r>
        <w:t xml:space="preserve">2.2 Política de videovigilancia</w:t>
      </w:r>
    </w:p>
    <w:p>
      <w:pPr>
        <w:pStyle w:val="ListParagraph"/>
        <w:numPr>
          <w:ilvl w:val="0"/>
          <w:numId w:val="2"/>
        </w:numPr>
        <w:spacing w:after="80"/>
      </w:pPr>
      <w:r>
        <w:rPr>
          <w:sz w:val="21"/>
          <w:szCs w:val="21"/>
        </w:rPr>
        <w:t xml:space="preserve">Cobertura CCTV en accesos al Data Center, pasillos críticos y en el propio cuarto de equipos (ver diagrama de referencia del enunciado original).</w:t>
      </w:r>
    </w:p>
    <w:p>
      <w:pPr>
        <w:pStyle w:val="ListParagraph"/>
        <w:numPr>
          <w:ilvl w:val="0"/>
          <w:numId w:val="2"/>
        </w:numPr>
        <w:spacing w:after="80"/>
      </w:pPr>
      <w:r>
        <w:rPr>
          <w:sz w:val="21"/>
          <w:szCs w:val="21"/>
        </w:rPr>
        <w:t xml:space="preserve">Grabación en NVR con almacenamiento redundante (RAID), retención mínima de 30 días, extensible ante un incidente en investigación.</w:t>
      </w:r>
    </w:p>
    <w:p>
      <w:pPr>
        <w:pStyle w:val="ListParagraph"/>
        <w:numPr>
          <w:ilvl w:val="0"/>
          <w:numId w:val="2"/>
        </w:numPr>
        <w:spacing w:after="80"/>
      </w:pPr>
      <w:r>
        <w:rPr>
          <w:sz w:val="21"/>
          <w:szCs w:val="21"/>
        </w:rPr>
        <w:t xml:space="preserve">Acceso a las grabaciones restringido a gerencia y Soporte I/T — solicitud registrada, no acceso libre.</w:t>
      </w:r>
    </w:p>
    <w:p>
      <w:pPr>
        <w:pStyle w:val="Heading3"/>
        <w:spacing w:after="180" w:before="320"/>
      </w:pPr>
      <w:r>
        <w:t xml:space="preserve">2.3 Política de gestión de visitantes y contratistas</w:t>
      </w:r>
    </w:p>
    <w:p>
      <w:pPr>
        <w:pStyle w:val="ListParagraph"/>
        <w:numPr>
          <w:ilvl w:val="0"/>
          <w:numId w:val="2"/>
        </w:numPr>
        <w:spacing w:after="80"/>
      </w:pPr>
      <w:r>
        <w:rPr>
          <w:sz w:val="21"/>
          <w:szCs w:val="21"/>
        </w:rPr>
        <w:t xml:space="preserve">Todo visitante se registra en bitácora física/digital con nombre, motivo, empresa (si aplica) y hora de entrada/salida.</w:t>
      </w:r>
    </w:p>
    <w:p>
      <w:pPr>
        <w:pStyle w:val="ListParagraph"/>
        <w:numPr>
          <w:ilvl w:val="0"/>
          <w:numId w:val="2"/>
        </w:numPr>
        <w:spacing w:after="80"/>
      </w:pPr>
      <w:r>
        <w:rPr>
          <w:sz w:val="21"/>
          <w:szCs w:val="21"/>
        </w:rPr>
        <w:t xml:space="preserve">Ningún visitante permanece a solas en el Data Center ni en cuartos de telecomunicaciones (IDF) bajo ninguna circunstancia.</w:t>
      </w:r>
    </w:p>
    <w:p>
      <w:pPr>
        <w:pStyle w:val="ListParagraph"/>
        <w:numPr>
          <w:ilvl w:val="0"/>
          <w:numId w:val="2"/>
        </w:numPr>
        <w:spacing w:after="80"/>
      </w:pPr>
      <w:r>
        <w:rPr>
          <w:sz w:val="21"/>
          <w:szCs w:val="21"/>
        </w:rPr>
        <w:t xml:space="preserve">Contratistas que requieran trabajar en cableado o equipo activo deben coordinarse con Soporte I/T y quedar dentro de la ventana de mantenimiento correspondiente (política 1.12).</w:t>
      </w:r>
    </w:p>
    <w:p>
      <w:pPr>
        <w:pStyle w:val="Heading3"/>
        <w:spacing w:after="180" w:before="320"/>
      </w:pPr>
      <w:r>
        <w:t xml:space="preserve">2.4 Política de protección ambiental</w:t>
      </w:r>
    </w:p>
    <w:p>
      <w:pPr>
        <w:pStyle w:val="ListParagraph"/>
        <w:numPr>
          <w:ilvl w:val="0"/>
          <w:numId w:val="2"/>
        </w:numPr>
        <w:spacing w:after="80"/>
      </w:pPr>
      <w:r>
        <w:rPr>
          <w:sz w:val="21"/>
          <w:szCs w:val="21"/>
        </w:rPr>
        <w:t xml:space="preserve">Monitoreo continuo de temperatura y humedad del Data Center, con alertas automáticas hacia Zabbix ante desviación del rango objetivo (18–27 °C, 40–60% HR, ver ASHRAE TC9.9 y detalle en 06-Data-Center-Tier4.md).</w:t>
      </w:r>
    </w:p>
    <w:p>
      <w:pPr>
        <w:pStyle w:val="ListParagraph"/>
        <w:numPr>
          <w:ilvl w:val="0"/>
          <w:numId w:val="2"/>
        </w:numPr>
        <w:spacing w:after="80"/>
      </w:pPr>
      <w:r>
        <w:rPr>
          <w:sz w:val="21"/>
          <w:szCs w:val="21"/>
        </w:rPr>
        <w:t xml:space="preserve">Detección temprana de humo por aspiración (VESDA o equivalente) antes que un detector puntual convencional — crítico en un cuarto con corriente de aire forzada donde el humo se dispersa rápido.</w:t>
      </w:r>
    </w:p>
    <w:p>
      <w:pPr>
        <w:pStyle w:val="Heading3"/>
        <w:spacing w:after="180" w:before="320"/>
      </w:pPr>
      <w:r>
        <w:t xml:space="preserve">2.5 Política de gestión de activos físicos</w:t>
      </w:r>
    </w:p>
    <w:p>
      <w:pPr>
        <w:pStyle w:val="ListParagraph"/>
        <w:numPr>
          <w:ilvl w:val="0"/>
          <w:numId w:val="2"/>
        </w:numPr>
        <w:spacing w:after="80"/>
      </w:pPr>
      <w:r>
        <w:rPr>
          <w:sz w:val="21"/>
          <w:szCs w:val="21"/>
        </w:rPr>
        <w:t xml:space="preserve">Todo equipo de red y servidor se inventaría con: número de serie, ubicación, fecha de compra, garantía, y responsable asignado — mantenido en el inventario de activos del proyecto (hoja de cálculo compartida por ahora; un IPAM/DCIM dedicado como NetBox se evalúa como mejora de producción, no es parte del stack activo del laboratorio — ver 00-Arquitectura-General.md).</w:t>
      </w:r>
    </w:p>
    <w:p>
      <w:pPr>
        <w:pStyle w:val="ListParagraph"/>
        <w:numPr>
          <w:ilvl w:val="0"/>
          <w:numId w:val="2"/>
        </w:numPr>
        <w:spacing w:after="80"/>
      </w:pPr>
      <w:r>
        <w:rPr>
          <w:sz w:val="21"/>
          <w:szCs w:val="21"/>
        </w:rPr>
        <w:t xml:space="preserve">Etiquetado físico obligatorio en todo equipo y en ambos extremos de cada cable, siguiendo el esquema de 04-Diseno-Fisico.md §4.5 (norma TIA-606-B).</w:t>
      </w:r>
    </w:p>
    <w:p>
      <w:pPr>
        <w:pStyle w:val="ListParagraph"/>
        <w:numPr>
          <w:ilvl w:val="0"/>
          <w:numId w:val="2"/>
        </w:numPr>
        <w:spacing w:after="80"/>
      </w:pPr>
      <w:r>
        <w:rPr>
          <w:b/>
          <w:bCs/>
          <w:sz w:val="21"/>
          <w:szCs w:val="21"/>
        </w:rPr>
        <w:t xml:space="preserve">Disposición segura de medios</w:t>
      </w:r>
      <w:r>
        <w:rPr>
          <w:sz w:val="21"/>
          <w:szCs w:val="21"/>
        </w:rPr>
        <w:t xml:space="preserve">: discos duros/SSD dados de baja se destruyen físicamente o se borran con un método de sobrescritura certificado (ej. NIST SP 800-88) antes de salir de las instalaciones — nunca se revenden ni desechan con datos legibles.</w:t>
      </w:r>
    </w:p>
    <w:p>
      <w:pPr>
        <w:pStyle w:val="Heading3"/>
        <w:spacing w:after="180" w:before="320"/>
      </w:pPr>
      <w:r>
        <w:t xml:space="preserve">2.6 Política de cableado y etiquetado</w:t>
      </w:r>
    </w:p>
    <w:p>
      <w:pPr>
        <w:pStyle w:val="ListParagraph"/>
        <w:numPr>
          <w:ilvl w:val="0"/>
          <w:numId w:val="2"/>
        </w:numPr>
        <w:spacing w:after="80"/>
      </w:pPr>
      <w:r>
        <w:rPr>
          <w:sz w:val="21"/>
          <w:szCs w:val="21"/>
        </w:rPr>
        <w:t xml:space="preserve">Todo cableado sigue TIA/EIA-568-C (horizontal) y se etiqueta conforme TIA-606-B — ver esquema de nomenclatura en 04-Diseno-Fisico.md §4.5.</w:t>
      </w:r>
    </w:p>
    <w:p>
      <w:pPr>
        <w:pStyle w:val="ListParagraph"/>
        <w:numPr>
          <w:ilvl w:val="0"/>
          <w:numId w:val="2"/>
        </w:numPr>
        <w:spacing w:after="80"/>
      </w:pPr>
      <w:r>
        <w:rPr>
          <w:sz w:val="21"/>
          <w:szCs w:val="21"/>
        </w:rPr>
        <w:t xml:space="preserve">Prohibidos los empalmes fuera de patch panels o cajas de empalme certificadas.</w:t>
      </w:r>
    </w:p>
    <w:p>
      <w:pPr>
        <w:pStyle w:val="ListParagraph"/>
        <w:numPr>
          <w:ilvl w:val="0"/>
          <w:numId w:val="2"/>
        </w:numPr>
        <w:spacing w:after="80"/>
      </w:pPr>
      <w:r>
        <w:rPr>
          <w:sz w:val="21"/>
          <w:szCs w:val="21"/>
        </w:rPr>
        <w:t xml:space="preserve">Separación física mínima entre bandejas de datos y de energía eléctrica (evitar interferencia electromagnética) según TIA-569-D.</w:t>
      </w:r>
    </w:p>
    <w:p>
      <w:pPr>
        <w:pStyle w:val="Heading3"/>
        <w:spacing w:after="180" w:before="320"/>
      </w:pPr>
      <w:r>
        <w:t xml:space="preserve">2.7 Política de continuidad de energía</w:t>
      </w:r>
    </w:p>
    <w:p>
      <w:pPr>
        <w:pStyle w:val="ListParagraph"/>
        <w:numPr>
          <w:ilvl w:val="0"/>
          <w:numId w:val="2"/>
        </w:numPr>
        <w:spacing w:after="80"/>
      </w:pPr>
      <w:r>
        <w:rPr>
          <w:sz w:val="21"/>
          <w:szCs w:val="21"/>
        </w:rPr>
        <w:t xml:space="preserve">Ver detalle completo de dimensionamiento y redundancia 2N en 06-Data-Center-Tier4.md §3-4.</w:t>
      </w:r>
    </w:p>
    <w:p>
      <w:pPr>
        <w:pStyle w:val="ListParagraph"/>
        <w:numPr>
          <w:ilvl w:val="0"/>
          <w:numId w:val="2"/>
        </w:numPr>
        <w:spacing w:after="80"/>
      </w:pPr>
      <w:r>
        <w:rPr>
          <w:sz w:val="21"/>
          <w:szCs w:val="21"/>
        </w:rPr>
        <w:t xml:space="preserve">Pruebas de transferencia a planta eléctrica (ATS) programadas trimestralmente, en horario de bajo impacto, documentadas con resultado (éxito/falla y tiempo de transferencia real medido).</w:t>
      </w:r>
    </w:p>
    <w:p>
      <w:pPr>
        <w:pBdr>
          <w:bottom w:val="single" w:color="AAAAAA" w:sz="6" w:space="1"/>
        </w:pBdr>
        <w:spacing w:after="200"/>
      </w:pPr>
    </w:p>
    <w:p>
      <w:pPr>
        <w:pStyle w:val="Heading2"/>
        <w:spacing w:after="180" w:before="320"/>
      </w:pPr>
      <w:r>
        <w:t xml:space="preserve">3. Roles y responsabilidades de seguridad (RACI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Actividad</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Responsable</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Aprueba</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Consultado</w:t>
            </w:r>
          </w:p>
        </w:tc>
      </w:tr>
      <w:tr>
        <w:tc>
          <w:tcPr>
            <w:tcW w:type="dxa" w:w="2340"/>
            <w:tcMar>
              <w:top w:type="dxa" w:w="80"/>
              <w:left w:type="dxa" w:w="100"/>
              <w:bottom w:type="dxa" w:w="80"/>
              <w:right w:type="dxa" w:w="100"/>
            </w:tcMar>
            <w:vAlign w:val="center"/>
          </w:tcPr>
          <w:p>
            <w:r>
              <w:rPr>
                <w:b w:val="false"/>
                <w:bCs w:val="false"/>
                <w:sz w:val="19"/>
                <w:szCs w:val="19"/>
              </w:rPr>
              <w:t xml:space="preserve">Administración de firewall (R1)</w:t>
            </w:r>
          </w:p>
        </w:tc>
        <w:tc>
          <w:tcPr>
            <w:tcW w:type="dxa" w:w="2340"/>
            <w:tcMar>
              <w:top w:type="dxa" w:w="80"/>
              <w:left w:type="dxa" w:w="100"/>
              <w:bottom w:type="dxa" w:w="80"/>
              <w:right w:type="dxa" w:w="100"/>
            </w:tcMar>
            <w:vAlign w:val="center"/>
          </w:tcPr>
          <w:p>
            <w:r>
              <w:rPr>
                <w:b w:val="false"/>
                <w:bCs w:val="false"/>
                <w:sz w:val="19"/>
                <w:szCs w:val="19"/>
              </w:rPr>
              <w:t xml:space="preserve">Soporte I/T</w:t>
            </w:r>
          </w:p>
        </w:tc>
        <w:tc>
          <w:tcPr>
            <w:tcW w:type="dxa" w:w="2340"/>
            <w:tcMar>
              <w:top w:type="dxa" w:w="80"/>
              <w:left w:type="dxa" w:w="100"/>
              <w:bottom w:type="dxa" w:w="80"/>
              <w:right w:type="dxa" w:w="100"/>
            </w:tcMar>
            <w:vAlign w:val="center"/>
          </w:tcPr>
          <w:p>
            <w:r>
              <w:rPr>
                <w:b w:val="false"/>
                <w:bCs w:val="false"/>
                <w:sz w:val="19"/>
                <w:szCs w:val="19"/>
              </w:rPr>
              <w:t xml:space="preserve">Gerencia I/T</w:t>
            </w:r>
          </w:p>
        </w:tc>
        <w:tc>
          <w:tcPr>
            <w:tcW w:type="dxa" w:w="2340"/>
            <w:tcMar>
              <w:top w:type="dxa" w:w="80"/>
              <w:left w:type="dxa" w:w="100"/>
              <w:bottom w:type="dxa" w:w="80"/>
              <w:right w:type="dxa" w:w="100"/>
            </w:tcMar>
            <w:vAlign w:val="center"/>
          </w:tcPr>
          <w:p>
            <w:r>
              <w:rPr>
                <w:b w:val="false"/>
                <w:bCs w:val="false"/>
                <w:sz w:val="19"/>
                <w:szCs w:val="19"/>
              </w:rPr>
              <w:t xml:space="preserve">—</w:t>
            </w:r>
          </w:p>
        </w:tc>
      </w:tr>
      <w:tr>
        <w:tc>
          <w:tcPr>
            <w:tcW w:type="dxa" w:w="2340"/>
            <w:tcMar>
              <w:top w:type="dxa" w:w="80"/>
              <w:left w:type="dxa" w:w="100"/>
              <w:bottom w:type="dxa" w:w="80"/>
              <w:right w:type="dxa" w:w="100"/>
            </w:tcMar>
            <w:vAlign w:val="center"/>
          </w:tcPr>
          <w:p>
            <w:r>
              <w:rPr>
                <w:b w:val="false"/>
                <w:bCs w:val="false"/>
                <w:sz w:val="19"/>
                <w:szCs w:val="19"/>
              </w:rPr>
              <w:t xml:space="preserve">Revisión de accesos (semestral)</w:t>
            </w:r>
          </w:p>
        </w:tc>
        <w:tc>
          <w:tcPr>
            <w:tcW w:type="dxa" w:w="2340"/>
            <w:tcMar>
              <w:top w:type="dxa" w:w="80"/>
              <w:left w:type="dxa" w:w="100"/>
              <w:bottom w:type="dxa" w:w="80"/>
              <w:right w:type="dxa" w:w="100"/>
            </w:tcMar>
            <w:vAlign w:val="center"/>
          </w:tcPr>
          <w:p>
            <w:r>
              <w:rPr>
                <w:b w:val="false"/>
                <w:bCs w:val="false"/>
                <w:sz w:val="19"/>
                <w:szCs w:val="19"/>
              </w:rPr>
              <w:t xml:space="preserve">Soporte I/T</w:t>
            </w:r>
          </w:p>
        </w:tc>
        <w:tc>
          <w:tcPr>
            <w:tcW w:type="dxa" w:w="2340"/>
            <w:tcMar>
              <w:top w:type="dxa" w:w="80"/>
              <w:left w:type="dxa" w:w="100"/>
              <w:bottom w:type="dxa" w:w="80"/>
              <w:right w:type="dxa" w:w="100"/>
            </w:tcMar>
            <w:vAlign w:val="center"/>
          </w:tcPr>
          <w:p>
            <w:r>
              <w:rPr>
                <w:b w:val="false"/>
                <w:bCs w:val="false"/>
                <w:sz w:val="19"/>
                <w:szCs w:val="19"/>
              </w:rPr>
              <w:t xml:space="preserve">Gerencia I/T</w:t>
            </w:r>
          </w:p>
        </w:tc>
        <w:tc>
          <w:tcPr>
            <w:tcW w:type="dxa" w:w="2340"/>
            <w:tcMar>
              <w:top w:type="dxa" w:w="80"/>
              <w:left w:type="dxa" w:w="100"/>
              <w:bottom w:type="dxa" w:w="80"/>
              <w:right w:type="dxa" w:w="100"/>
            </w:tcMar>
            <w:vAlign w:val="center"/>
          </w:tcPr>
          <w:p>
            <w:r>
              <w:rPr>
                <w:b w:val="false"/>
                <w:bCs w:val="false"/>
                <w:sz w:val="19"/>
                <w:szCs w:val="19"/>
              </w:rPr>
              <w:t xml:space="preserve">Cada jefe de área</w:t>
            </w:r>
          </w:p>
        </w:tc>
      </w:tr>
      <w:tr>
        <w:tc>
          <w:tcPr>
            <w:tcW w:type="dxa" w:w="2340"/>
            <w:tcMar>
              <w:top w:type="dxa" w:w="80"/>
              <w:left w:type="dxa" w:w="100"/>
              <w:bottom w:type="dxa" w:w="80"/>
              <w:right w:type="dxa" w:w="100"/>
            </w:tcMar>
            <w:vAlign w:val="center"/>
          </w:tcPr>
          <w:p>
            <w:r>
              <w:rPr>
                <w:b w:val="false"/>
                <w:bCs w:val="false"/>
                <w:sz w:val="19"/>
                <w:szCs w:val="19"/>
              </w:rPr>
              <w:t xml:space="preserve">Respuesta a incidentes</w:t>
            </w:r>
          </w:p>
        </w:tc>
        <w:tc>
          <w:tcPr>
            <w:tcW w:type="dxa" w:w="2340"/>
            <w:tcMar>
              <w:top w:type="dxa" w:w="80"/>
              <w:left w:type="dxa" w:w="100"/>
              <w:bottom w:type="dxa" w:w="80"/>
              <w:right w:type="dxa" w:w="100"/>
            </w:tcMar>
            <w:vAlign w:val="center"/>
          </w:tcPr>
          <w:p>
            <w:r>
              <w:rPr>
                <w:b w:val="false"/>
                <w:bCs w:val="false"/>
                <w:sz w:val="19"/>
                <w:szCs w:val="19"/>
              </w:rPr>
              <w:t xml:space="preserve">Responsable de turno (Soporte I/T)</w:t>
            </w:r>
          </w:p>
        </w:tc>
        <w:tc>
          <w:tcPr>
            <w:tcW w:type="dxa" w:w="2340"/>
            <w:tcMar>
              <w:top w:type="dxa" w:w="80"/>
              <w:left w:type="dxa" w:w="100"/>
              <w:bottom w:type="dxa" w:w="80"/>
              <w:right w:type="dxa" w:w="100"/>
            </w:tcMar>
            <w:vAlign w:val="center"/>
          </w:tcPr>
          <w:p>
            <w:r>
              <w:rPr>
                <w:b w:val="false"/>
                <w:bCs w:val="false"/>
                <w:sz w:val="19"/>
                <w:szCs w:val="19"/>
              </w:rPr>
              <w:t xml:space="preserve">Gerencia I/T</w:t>
            </w:r>
          </w:p>
        </w:tc>
        <w:tc>
          <w:tcPr>
            <w:tcW w:type="dxa" w:w="2340"/>
            <w:tcMar>
              <w:top w:type="dxa" w:w="80"/>
              <w:left w:type="dxa" w:w="100"/>
              <w:bottom w:type="dxa" w:w="80"/>
              <w:right w:type="dxa" w:w="100"/>
            </w:tcMar>
            <w:vAlign w:val="center"/>
          </w:tcPr>
          <w:p>
            <w:r>
              <w:rPr>
                <w:b w:val="false"/>
                <w:bCs w:val="false"/>
                <w:sz w:val="19"/>
                <w:szCs w:val="19"/>
              </w:rPr>
              <w:t xml:space="preserve">Legal (si aplica)</w:t>
            </w:r>
          </w:p>
        </w:tc>
      </w:tr>
      <w:tr>
        <w:tc>
          <w:tcPr>
            <w:tcW w:type="dxa" w:w="2340"/>
            <w:tcMar>
              <w:top w:type="dxa" w:w="80"/>
              <w:left w:type="dxa" w:w="100"/>
              <w:bottom w:type="dxa" w:w="80"/>
              <w:right w:type="dxa" w:w="100"/>
            </w:tcMar>
            <w:vAlign w:val="center"/>
          </w:tcPr>
          <w:p>
            <w:r>
              <w:rPr>
                <w:b w:val="false"/>
                <w:bCs w:val="false"/>
                <w:sz w:val="19"/>
                <w:szCs w:val="19"/>
              </w:rPr>
              <w:t xml:space="preserve">Gestión de cambios de infraestructura</w:t>
            </w:r>
          </w:p>
        </w:tc>
        <w:tc>
          <w:tcPr>
            <w:tcW w:type="dxa" w:w="2340"/>
            <w:tcMar>
              <w:top w:type="dxa" w:w="80"/>
              <w:left w:type="dxa" w:w="100"/>
              <w:bottom w:type="dxa" w:w="80"/>
              <w:right w:type="dxa" w:w="100"/>
            </w:tcMar>
            <w:vAlign w:val="center"/>
          </w:tcPr>
          <w:p>
            <w:r>
              <w:rPr>
                <w:b w:val="false"/>
                <w:bCs w:val="false"/>
                <w:sz w:val="19"/>
                <w:szCs w:val="19"/>
              </w:rPr>
              <w:t xml:space="preserve">Quien propone el cambio</w:t>
            </w:r>
          </w:p>
        </w:tc>
        <w:tc>
          <w:tcPr>
            <w:tcW w:type="dxa" w:w="2340"/>
            <w:tcMar>
              <w:top w:type="dxa" w:w="80"/>
              <w:left w:type="dxa" w:w="100"/>
              <w:bottom w:type="dxa" w:w="80"/>
              <w:right w:type="dxa" w:w="100"/>
            </w:tcMar>
            <w:vAlign w:val="center"/>
          </w:tcPr>
          <w:p>
            <w:r>
              <w:rPr>
                <w:b w:val="false"/>
                <w:bCs w:val="false"/>
                <w:sz w:val="19"/>
                <w:szCs w:val="19"/>
              </w:rPr>
              <w:t xml:space="preserve">Custodio del ambiente (ver 11-Equipo-y-Responsabilidades.md)</w:t>
            </w:r>
          </w:p>
        </w:tc>
        <w:tc>
          <w:tcPr>
            <w:tcW w:type="dxa" w:w="2340"/>
            <w:tcMar>
              <w:top w:type="dxa" w:w="80"/>
              <w:left w:type="dxa" w:w="100"/>
              <w:bottom w:type="dxa" w:w="80"/>
              <w:right w:type="dxa" w:w="100"/>
            </w:tcMar>
            <w:vAlign w:val="center"/>
          </w:tcPr>
          <w:p>
            <w:r>
              <w:rPr>
                <w:b w:val="false"/>
                <w:bCs w:val="false"/>
                <w:sz w:val="19"/>
                <w:szCs w:val="19"/>
              </w:rPr>
              <w:t xml:space="preserve">Equipo técnico</w:t>
            </w:r>
          </w:p>
        </w:tc>
      </w:tr>
      <w:tr>
        <w:tc>
          <w:tcPr>
            <w:tcW w:type="dxa" w:w="2340"/>
            <w:tcMar>
              <w:top w:type="dxa" w:w="80"/>
              <w:left w:type="dxa" w:w="100"/>
              <w:bottom w:type="dxa" w:w="80"/>
              <w:right w:type="dxa" w:w="100"/>
            </w:tcMar>
            <w:vAlign w:val="center"/>
          </w:tcPr>
          <w:p>
            <w:r>
              <w:rPr>
                <w:b w:val="false"/>
                <w:bCs w:val="false"/>
                <w:sz w:val="19"/>
                <w:szCs w:val="19"/>
              </w:rPr>
              <w:t xml:space="preserve">Control de acceso físico al DC</w:t>
            </w:r>
          </w:p>
        </w:tc>
        <w:tc>
          <w:tcPr>
            <w:tcW w:type="dxa" w:w="2340"/>
            <w:tcMar>
              <w:top w:type="dxa" w:w="80"/>
              <w:left w:type="dxa" w:w="100"/>
              <w:bottom w:type="dxa" w:w="80"/>
              <w:right w:type="dxa" w:w="100"/>
            </w:tcMar>
            <w:vAlign w:val="center"/>
          </w:tcPr>
          <w:p>
            <w:r>
              <w:rPr>
                <w:b w:val="false"/>
                <w:bCs w:val="false"/>
                <w:sz w:val="19"/>
                <w:szCs w:val="19"/>
              </w:rPr>
              <w:t xml:space="preserve">Soporte I/T</w:t>
            </w:r>
          </w:p>
        </w:tc>
        <w:tc>
          <w:tcPr>
            <w:tcW w:type="dxa" w:w="2340"/>
            <w:tcMar>
              <w:top w:type="dxa" w:w="80"/>
              <w:left w:type="dxa" w:w="100"/>
              <w:bottom w:type="dxa" w:w="80"/>
              <w:right w:type="dxa" w:w="100"/>
            </w:tcMar>
            <w:vAlign w:val="center"/>
          </w:tcPr>
          <w:p>
            <w:r>
              <w:rPr>
                <w:b w:val="false"/>
                <w:bCs w:val="false"/>
                <w:sz w:val="19"/>
                <w:szCs w:val="19"/>
              </w:rPr>
              <w:t xml:space="preserve">Gerencia I/T</w:t>
            </w:r>
          </w:p>
        </w:tc>
        <w:tc>
          <w:tcPr>
            <w:tcW w:type="dxa" w:w="2340"/>
            <w:tcMar>
              <w:top w:type="dxa" w:w="80"/>
              <w:left w:type="dxa" w:w="100"/>
              <w:bottom w:type="dxa" w:w="80"/>
              <w:right w:type="dxa" w:w="100"/>
            </w:tcMar>
            <w:vAlign w:val="center"/>
          </w:tcPr>
          <w:p>
            <w:r>
              <w:rPr>
                <w:b w:val="false"/>
                <w:bCs w:val="false"/>
                <w:sz w:val="19"/>
                <w:szCs w:val="19"/>
              </w:rPr>
              <w:t xml:space="preserve">—</w:t>
            </w:r>
          </w:p>
        </w:tc>
      </w:tr>
      <w:tr>
        <w:tc>
          <w:tcPr>
            <w:tcW w:type="dxa" w:w="2340"/>
            <w:tcMar>
              <w:top w:type="dxa" w:w="80"/>
              <w:left w:type="dxa" w:w="100"/>
              <w:bottom w:type="dxa" w:w="80"/>
              <w:right w:type="dxa" w:w="100"/>
            </w:tcMar>
            <w:vAlign w:val="center"/>
          </w:tcPr>
          <w:p>
            <w:r>
              <w:rPr>
                <w:b w:val="false"/>
                <w:bCs w:val="false"/>
                <w:sz w:val="19"/>
                <w:szCs w:val="19"/>
              </w:rPr>
              <w:t xml:space="preserve">Revisión de video/bitácoras</w:t>
            </w:r>
          </w:p>
        </w:tc>
        <w:tc>
          <w:tcPr>
            <w:tcW w:type="dxa" w:w="2340"/>
            <w:tcMar>
              <w:top w:type="dxa" w:w="80"/>
              <w:left w:type="dxa" w:w="100"/>
              <w:bottom w:type="dxa" w:w="80"/>
              <w:right w:type="dxa" w:w="100"/>
            </w:tcMar>
            <w:vAlign w:val="center"/>
          </w:tcPr>
          <w:p>
            <w:r>
              <w:rPr>
                <w:b w:val="false"/>
                <w:bCs w:val="false"/>
                <w:sz w:val="19"/>
                <w:szCs w:val="19"/>
              </w:rPr>
              <w:t xml:space="preserve">Gerencia I/T</w:t>
            </w:r>
          </w:p>
        </w:tc>
        <w:tc>
          <w:tcPr>
            <w:tcW w:type="dxa" w:w="2340"/>
            <w:tcMar>
              <w:top w:type="dxa" w:w="80"/>
              <w:left w:type="dxa" w:w="100"/>
              <w:bottom w:type="dxa" w:w="80"/>
              <w:right w:type="dxa" w:w="100"/>
            </w:tcMar>
            <w:vAlign w:val="center"/>
          </w:tcPr>
          <w:p>
            <w:r>
              <w:rPr>
                <w:b w:val="false"/>
                <w:bCs w:val="false"/>
                <w:sz w:val="19"/>
                <w:szCs w:val="19"/>
              </w:rPr>
              <w:t xml:space="preserve">—</w:t>
            </w:r>
          </w:p>
        </w:tc>
        <w:tc>
          <w:tcPr>
            <w:tcW w:type="dxa" w:w="2340"/>
            <w:tcMar>
              <w:top w:type="dxa" w:w="80"/>
              <w:left w:type="dxa" w:w="100"/>
              <w:bottom w:type="dxa" w:w="80"/>
              <w:right w:type="dxa" w:w="100"/>
            </w:tcMar>
            <w:vAlign w:val="center"/>
          </w:tcPr>
          <w:p>
            <w:r>
              <w:rPr>
                <w:b w:val="false"/>
                <w:bCs w:val="false"/>
                <w:sz w:val="19"/>
                <w:szCs w:val="19"/>
              </w:rPr>
              <w:t xml:space="preserve">Soporte I/T</w:t>
            </w:r>
          </w:p>
        </w:tc>
      </w:tr>
    </w:tbl>
    <w:p>
      <w:pPr>
        <w:spacing w:after="200"/>
      </w:pPr>
    </w:p>
    <w:p>
      <w:pPr>
        <w:pStyle w:val="Heading2"/>
        <w:spacing w:after="180" w:before="320"/>
      </w:pPr>
      <w:r>
        <w:t xml:space="preserve">4. Cumplimiento y sanciones</w:t>
      </w:r>
    </w:p>
    <w:p>
      <w:pPr>
        <w:spacing w:after="160"/>
        <w:jc w:val="both"/>
      </w:pPr>
      <w:r>
        <w:rPr>
          <w:sz w:val="21"/>
          <w:szCs w:val="21"/>
        </w:rPr>
        <w:t xml:space="preserve">El incumplimiento de estas políticas se gradúa según impacto: desde llamada de atención documentada (ej. contraseña anotada en post-it) hasta suspensión de accesos y proceso disciplinario formal (ej. exfiltración deliberada de datos confidenciales, o desactivación intencional de un control de seguridad). Todo caso de incumplimiento con impacto en datos de terceros o clientes se evalúa además bajo la normativa de protección de datos aplicable en Guatemala.</w:t>
      </w:r>
    </w:p>
    <w:p>
      <w:pPr>
        <w:pStyle w:val="Heading2"/>
        <w:spacing w:after="180" w:before="320"/>
      </w:pPr>
      <w:r>
        <w:t xml:space="preserve">5. Revisión y vigencia</w:t>
      </w:r>
    </w:p>
    <w:p>
      <w:pPr>
        <w:spacing w:after="160"/>
        <w:jc w:val="both"/>
      </w:pPr>
      <w:r>
        <w:rPr>
          <w:sz w:val="21"/>
          <w:szCs w:val="21"/>
        </w:rPr>
        <w:t xml:space="preserve">Este documento se revisa como mínimo </w:t>
      </w:r>
      <w:r>
        <w:rPr>
          <w:b/>
          <w:bCs/>
          <w:sz w:val="21"/>
          <w:szCs w:val="21"/>
        </w:rPr>
        <w:t xml:space="preserve">una vez al año</w:t>
      </w:r>
      <w:r>
        <w:rPr>
          <w:sz w:val="21"/>
          <w:szCs w:val="21"/>
        </w:rPr>
        <w:t xml:space="preserve">, y de forma extraordinaria tras cualquier incidente de seguridad significativo o cambio mayor de infraestructura (ej. adopción de un nuevo Data Center, cambio de proveedor de VPN). Control de versiones del documento vía git, igual que el resto del proyecto — el historial de cambios de este archivo </w:t>
      </w:r>
      <w:r>
        <w:rPr>
          <w:b/>
          <w:bCs/>
          <w:sz w:val="21"/>
          <w:szCs w:val="21"/>
        </w:rPr>
        <w:t xml:space="preserve">es</w:t>
      </w:r>
      <w:r>
        <w:rPr>
          <w:sz w:val="21"/>
          <w:szCs w:val="21"/>
        </w:rPr>
        <w:t xml:space="preserve"> el historial de revisiones de la política.</w:t>
      </w:r>
    </w:p>
    <w:p>
      <w:pPr>
        <w:pStyle w:val="Heading1"/>
        <w:spacing w:after="180" w:before="480"/>
      </w:pPr>
      <w:r>
        <w:t xml:space="preserve">Diseño de Data Center — Tier 4 (según estándares)</w:t>
      </w:r>
    </w:p>
    <w:p>
      <w:pPr>
        <w:pStyle w:val="Heading2"/>
        <w:spacing w:after="180" w:before="320"/>
      </w:pPr>
      <w:r>
        <w:t xml:space="preserve">0. Estándares y marcos normativos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b/>
                <w:bCs/>
                <w:color w:val="FFFFFF"/>
                <w:sz w:val="19"/>
                <w:szCs w:val="19"/>
              </w:rPr>
              <w:t xml:space="preserve">Estándar / marco</w:t>
            </w:r>
          </w:p>
        </w:tc>
        <w:tc>
          <w:tcPr>
            <w:tcW w:type="dxa" w:w="4680"/>
            <w:shd w:fill="1F3864" w:color="auto" w:val="clear"/>
            <w:tcMar>
              <w:top w:type="dxa" w:w="80"/>
              <w:left w:type="dxa" w:w="100"/>
              <w:bottom w:type="dxa" w:w="80"/>
              <w:right w:type="dxa" w:w="100"/>
            </w:tcMar>
            <w:vAlign w:val="center"/>
          </w:tcPr>
          <w:p>
            <w:r>
              <w:rPr>
                <w:b/>
                <w:bCs/>
                <w:color w:val="FFFFFF"/>
                <w:sz w:val="19"/>
                <w:szCs w:val="19"/>
              </w:rPr>
              <w:t xml:space="preserve">Qué cubre en este diseño</w:t>
            </w:r>
          </w:p>
        </w:tc>
      </w:tr>
      <w:tr>
        <w:tc>
          <w:tcPr>
            <w:tcW w:type="dxa" w:w="4680"/>
            <w:tcMar>
              <w:top w:type="dxa" w:w="80"/>
              <w:left w:type="dxa" w:w="100"/>
              <w:bottom w:type="dxa" w:w="80"/>
              <w:right w:type="dxa" w:w="100"/>
            </w:tcMar>
            <w:vAlign w:val="center"/>
          </w:tcPr>
          <w:p>
            <w:r>
              <w:rPr>
                <w:b w:val="false"/>
                <w:bCs w:val="false"/>
                <w:sz w:val="19"/>
                <w:szCs w:val="19"/>
              </w:rPr>
              <w:t xml:space="preserve">Uptime Institute Tier Standard: Topology</w:t>
            </w:r>
          </w:p>
        </w:tc>
        <w:tc>
          <w:tcPr>
            <w:tcW w:type="dxa" w:w="4680"/>
            <w:tcMar>
              <w:top w:type="dxa" w:w="80"/>
              <w:left w:type="dxa" w:w="100"/>
              <w:bottom w:type="dxa" w:w="80"/>
              <w:right w:type="dxa" w:w="100"/>
            </w:tcMar>
            <w:vAlign w:val="center"/>
          </w:tcPr>
          <w:p>
            <w:r>
              <w:rPr>
                <w:b w:val="false"/>
                <w:bCs w:val="false"/>
                <w:sz w:val="19"/>
                <w:szCs w:val="19"/>
              </w:rPr>
              <w:t xml:space="preserve">Clasificación de disponibilidad (Tier I–IV) — define los criterios de redundancia y tolerancia a fallas que debe cumplir un Tier 4</w:t>
            </w:r>
          </w:p>
        </w:tc>
      </w:tr>
      <w:tr>
        <w:tc>
          <w:tcPr>
            <w:tcW w:type="dxa" w:w="4680"/>
            <w:tcMar>
              <w:top w:type="dxa" w:w="80"/>
              <w:left w:type="dxa" w:w="100"/>
              <w:bottom w:type="dxa" w:w="80"/>
              <w:right w:type="dxa" w:w="100"/>
            </w:tcMar>
            <w:vAlign w:val="center"/>
          </w:tcPr>
          <w:p>
            <w:r>
              <w:rPr>
                <w:b w:val="false"/>
                <w:bCs w:val="false"/>
                <w:sz w:val="19"/>
                <w:szCs w:val="19"/>
              </w:rPr>
              <w:t xml:space="preserve">ANSI/TIA-942-B</w:t>
            </w:r>
          </w:p>
        </w:tc>
        <w:tc>
          <w:tcPr>
            <w:tcW w:type="dxa" w:w="4680"/>
            <w:tcMar>
              <w:top w:type="dxa" w:w="80"/>
              <w:left w:type="dxa" w:w="100"/>
              <w:bottom w:type="dxa" w:w="80"/>
              <w:right w:type="dxa" w:w="100"/>
            </w:tcMar>
            <w:vAlign w:val="center"/>
          </w:tcPr>
          <w:p>
            <w:r>
              <w:rPr>
                <w:b w:val="false"/>
                <w:bCs w:val="false"/>
                <w:sz w:val="19"/>
                <w:szCs w:val="19"/>
              </w:rPr>
              <w:t xml:space="preserve">Infraestructura de telecomunicaciones para Data Centers — arquitectura, cableado, redundancia, clasificación equivalente a los Tiers de Uptime</w:t>
            </w:r>
          </w:p>
        </w:tc>
      </w:tr>
      <w:tr>
        <w:tc>
          <w:tcPr>
            <w:tcW w:type="dxa" w:w="4680"/>
            <w:tcMar>
              <w:top w:type="dxa" w:w="80"/>
              <w:left w:type="dxa" w:w="100"/>
              <w:bottom w:type="dxa" w:w="80"/>
              <w:right w:type="dxa" w:w="100"/>
            </w:tcMar>
            <w:vAlign w:val="center"/>
          </w:tcPr>
          <w:p>
            <w:r>
              <w:rPr>
                <w:b w:val="false"/>
                <w:bCs w:val="false"/>
                <w:sz w:val="19"/>
                <w:szCs w:val="19"/>
              </w:rPr>
              <w:t xml:space="preserve">ANSI/BICSI 002</w:t>
            </w:r>
          </w:p>
        </w:tc>
        <w:tc>
          <w:tcPr>
            <w:tcW w:type="dxa" w:w="4680"/>
            <w:tcMar>
              <w:top w:type="dxa" w:w="80"/>
              <w:left w:type="dxa" w:w="100"/>
              <w:bottom w:type="dxa" w:w="80"/>
              <w:right w:type="dxa" w:w="100"/>
            </w:tcMar>
            <w:vAlign w:val="center"/>
          </w:tcPr>
          <w:p>
            <w:r>
              <w:rPr>
                <w:b w:val="false"/>
                <w:bCs w:val="false"/>
                <w:sz w:val="19"/>
                <w:szCs w:val="19"/>
              </w:rPr>
              <w:t xml:space="preserve">Guía de mejores prácticas de diseño y construcción de Data Centers (complementa TIA-942)</w:t>
            </w:r>
          </w:p>
        </w:tc>
      </w:tr>
      <w:tr>
        <w:tc>
          <w:tcPr>
            <w:tcW w:type="dxa" w:w="4680"/>
            <w:tcMar>
              <w:top w:type="dxa" w:w="80"/>
              <w:left w:type="dxa" w:w="100"/>
              <w:bottom w:type="dxa" w:w="80"/>
              <w:right w:type="dxa" w:w="100"/>
            </w:tcMar>
            <w:vAlign w:val="center"/>
          </w:tcPr>
          <w:p>
            <w:r>
              <w:rPr>
                <w:b w:val="false"/>
                <w:bCs w:val="false"/>
                <w:sz w:val="19"/>
                <w:szCs w:val="19"/>
              </w:rPr>
              <w:t xml:space="preserve">NFPA 75 / NFPA 76</w:t>
            </w:r>
          </w:p>
        </w:tc>
        <w:tc>
          <w:tcPr>
            <w:tcW w:type="dxa" w:w="4680"/>
            <w:tcMar>
              <w:top w:type="dxa" w:w="80"/>
              <w:left w:type="dxa" w:w="100"/>
              <w:bottom w:type="dxa" w:w="80"/>
              <w:right w:type="dxa" w:w="100"/>
            </w:tcMar>
            <w:vAlign w:val="center"/>
          </w:tcPr>
          <w:p>
            <w:r>
              <w:rPr>
                <w:b w:val="false"/>
                <w:bCs w:val="false"/>
                <w:sz w:val="19"/>
                <w:szCs w:val="19"/>
              </w:rPr>
              <w:t xml:space="preserve">Protección contra incendio de equipo de tecnología de la información / instalaciones de telecomunicaciones</w:t>
            </w:r>
          </w:p>
        </w:tc>
      </w:tr>
      <w:tr>
        <w:tc>
          <w:tcPr>
            <w:tcW w:type="dxa" w:w="4680"/>
            <w:tcMar>
              <w:top w:type="dxa" w:w="80"/>
              <w:left w:type="dxa" w:w="100"/>
              <w:bottom w:type="dxa" w:w="80"/>
              <w:right w:type="dxa" w:w="100"/>
            </w:tcMar>
            <w:vAlign w:val="center"/>
          </w:tcPr>
          <w:p>
            <w:r>
              <w:rPr>
                <w:b w:val="false"/>
                <w:bCs w:val="false"/>
                <w:sz w:val="19"/>
                <w:szCs w:val="19"/>
              </w:rPr>
              <w:t xml:space="preserve">NFPA 2001</w:t>
            </w:r>
          </w:p>
        </w:tc>
        <w:tc>
          <w:tcPr>
            <w:tcW w:type="dxa" w:w="4680"/>
            <w:tcMar>
              <w:top w:type="dxa" w:w="80"/>
              <w:left w:type="dxa" w:w="100"/>
              <w:bottom w:type="dxa" w:w="80"/>
              <w:right w:type="dxa" w:w="100"/>
            </w:tcMar>
            <w:vAlign w:val="center"/>
          </w:tcPr>
          <w:p>
            <w:r>
              <w:rPr>
                <w:b w:val="false"/>
                <w:bCs w:val="false"/>
                <w:sz w:val="19"/>
                <w:szCs w:val="19"/>
              </w:rPr>
              <w:t xml:space="preserve">Sistemas de extinción con agente limpio (gaseoso)</w:t>
            </w:r>
          </w:p>
        </w:tc>
      </w:tr>
      <w:tr>
        <w:tc>
          <w:tcPr>
            <w:tcW w:type="dxa" w:w="4680"/>
            <w:tcMar>
              <w:top w:type="dxa" w:w="80"/>
              <w:left w:type="dxa" w:w="100"/>
              <w:bottom w:type="dxa" w:w="80"/>
              <w:right w:type="dxa" w:w="100"/>
            </w:tcMar>
            <w:vAlign w:val="center"/>
          </w:tcPr>
          <w:p>
            <w:r>
              <w:rPr>
                <w:b w:val="false"/>
                <w:bCs w:val="false"/>
                <w:sz w:val="19"/>
                <w:szCs w:val="19"/>
              </w:rPr>
              <w:t xml:space="preserve">ASHRAE TC9.9</w:t>
            </w:r>
          </w:p>
        </w:tc>
        <w:tc>
          <w:tcPr>
            <w:tcW w:type="dxa" w:w="4680"/>
            <w:tcMar>
              <w:top w:type="dxa" w:w="80"/>
              <w:left w:type="dxa" w:w="100"/>
              <w:bottom w:type="dxa" w:w="80"/>
              <w:right w:type="dxa" w:w="100"/>
            </w:tcMar>
            <w:vAlign w:val="center"/>
          </w:tcPr>
          <w:p>
            <w:r>
              <w:rPr>
                <w:b w:val="false"/>
                <w:bCs w:val="false"/>
                <w:sz w:val="19"/>
                <w:szCs w:val="19"/>
              </w:rPr>
              <w:t xml:space="preserve">Guías térmicas y de humedad para equipo de TI (rango recomendado y permitido de temperatura/humedad)</w:t>
            </w:r>
          </w:p>
        </w:tc>
      </w:tr>
      <w:tr>
        <w:tc>
          <w:tcPr>
            <w:tcW w:type="dxa" w:w="4680"/>
            <w:tcMar>
              <w:top w:type="dxa" w:w="80"/>
              <w:left w:type="dxa" w:w="100"/>
              <w:bottom w:type="dxa" w:w="80"/>
              <w:right w:type="dxa" w:w="100"/>
            </w:tcMar>
            <w:vAlign w:val="center"/>
          </w:tcPr>
          <w:p>
            <w:r>
              <w:rPr>
                <w:b w:val="false"/>
                <w:bCs w:val="false"/>
                <w:sz w:val="19"/>
                <w:szCs w:val="19"/>
              </w:rPr>
              <w:t xml:space="preserve">TIA-607-C / J-STD-607-A</w:t>
            </w:r>
          </w:p>
        </w:tc>
        <w:tc>
          <w:tcPr>
            <w:tcW w:type="dxa" w:w="4680"/>
            <w:tcMar>
              <w:top w:type="dxa" w:w="80"/>
              <w:left w:type="dxa" w:w="100"/>
              <w:bottom w:type="dxa" w:w="80"/>
              <w:right w:type="dxa" w:w="100"/>
            </w:tcMar>
            <w:vAlign w:val="center"/>
          </w:tcPr>
          <w:p>
            <w:r>
              <w:rPr>
                <w:b w:val="false"/>
                <w:bCs w:val="false"/>
                <w:sz w:val="19"/>
                <w:szCs w:val="19"/>
              </w:rPr>
              <w:t xml:space="preserve">Puesta a tierra y bonding de infraestructura de telecomunicaciones</w:t>
            </w:r>
          </w:p>
        </w:tc>
      </w:tr>
      <w:tr>
        <w:tc>
          <w:tcPr>
            <w:tcW w:type="dxa" w:w="4680"/>
            <w:tcMar>
              <w:top w:type="dxa" w:w="80"/>
              <w:left w:type="dxa" w:w="100"/>
              <w:bottom w:type="dxa" w:w="80"/>
              <w:right w:type="dxa" w:w="100"/>
            </w:tcMar>
            <w:vAlign w:val="center"/>
          </w:tcPr>
          <w:p>
            <w:r>
              <w:rPr>
                <w:b w:val="false"/>
                <w:bCs w:val="false"/>
                <w:sz w:val="19"/>
                <w:szCs w:val="19"/>
              </w:rPr>
              <w:t xml:space="preserve">IEEE 446 / NEC (o NOM homóloga en Guatemala)</w:t>
            </w:r>
          </w:p>
        </w:tc>
        <w:tc>
          <w:tcPr>
            <w:tcW w:type="dxa" w:w="4680"/>
            <w:tcMar>
              <w:top w:type="dxa" w:w="80"/>
              <w:left w:type="dxa" w:w="100"/>
              <w:bottom w:type="dxa" w:w="80"/>
              <w:right w:type="dxa" w:w="100"/>
            </w:tcMar>
            <w:vAlign w:val="center"/>
          </w:tcPr>
          <w:p>
            <w:r>
              <w:rPr>
                <w:b w:val="false"/>
                <w:bCs w:val="false"/>
                <w:sz w:val="19"/>
                <w:szCs w:val="19"/>
              </w:rPr>
              <w:t xml:space="preserve">Diseño de sistemas de energía de respaldo (UPS, planta eléctrica)</w:t>
            </w:r>
          </w:p>
        </w:tc>
      </w:tr>
    </w:tbl>
    <w:p>
      <w:pPr>
        <w:spacing w:after="200"/>
      </w:pPr>
    </w:p>
    <w:p>
      <w:pPr>
        <w:spacing w:after="160"/>
        <w:jc w:val="both"/>
      </w:pPr>
      <w:r>
        <w:rPr>
          <w:sz w:val="21"/>
          <w:szCs w:val="21"/>
        </w:rPr>
        <w:t xml:space="preserve">Este diseño se documenta a nivel de </w:t>
      </w:r>
      <w:r>
        <w:rPr>
          <w:b/>
          <w:bCs/>
          <w:sz w:val="21"/>
          <w:szCs w:val="21"/>
        </w:rPr>
        <w:t xml:space="preserve">ingeniería conceptual</w:t>
      </w:r>
      <w:r>
        <w:rPr>
          <w:sz w:val="21"/>
          <w:szCs w:val="21"/>
        </w:rPr>
        <w:t xml:space="preserve"> (dimensionamiento, criterios, memoria de cálculo) — la ingeniería de detalle final (planos eléctricos certificados, cálculo estructural del piso, memoria de cálculo del sistema contra incendio) requeriría la firma de un ingeniero colegiado activo en las especialidades correspondientes antes de construirse, como en cualquier proyecto real de esta naturaleza.</w:t>
      </w:r>
    </w:p>
    <w:p>
      <w:pPr>
        <w:pStyle w:val="Heading2"/>
        <w:spacing w:after="180" w:before="320"/>
      </w:pPr>
      <w:r>
        <w:t xml:space="preserve">1. Qué exige realmente un Tier 4 (y en qué se diferencia de un Tier 3)</w:t>
      </w:r>
    </w:p>
    <w:p>
      <w:pPr>
        <w:spacing w:after="160"/>
        <w:jc w:val="both"/>
      </w:pPr>
      <w:r>
        <w:rPr>
          <w:sz w:val="21"/>
          <w:szCs w:val="21"/>
        </w:rPr>
        <w:t xml:space="preserve">La confusión más común es pensar que "Tier 4 = más UPS". Lo que realmente distingue a Tier 4 según Uptime Institute son </w:t>
      </w:r>
      <w:r>
        <w:rPr>
          <w:b/>
          <w:bCs/>
          <w:sz w:val="21"/>
          <w:szCs w:val="21"/>
        </w:rPr>
        <w:t xml:space="preserve">dos criterios simultáneos</w:t>
      </w:r>
      <w:r>
        <w:rPr>
          <w:sz w:val="21"/>
          <w:szCs w:val="21"/>
        </w:rPr>
        <w:t xml:space="preserve">, no solo redundancia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b/>
                <w:bCs/>
                <w:color w:val="FFFFFF"/>
                <w:sz w:val="19"/>
                <w:szCs w:val="19"/>
              </w:rPr>
              <w:t xml:space="preserve">Criterio</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Tier III</w:t>
            </w:r>
          </w:p>
        </w:tc>
        <w:tc>
          <w:tcPr>
            <w:tcW w:type="dxa" w:w="3120"/>
            <w:shd w:fill="1F3864" w:color="auto" w:val="clear"/>
            <w:tcMar>
              <w:top w:type="dxa" w:w="80"/>
              <w:left w:type="dxa" w:w="100"/>
              <w:bottom w:type="dxa" w:w="80"/>
              <w:right w:type="dxa" w:w="100"/>
            </w:tcMar>
            <w:vAlign w:val="center"/>
          </w:tcPr>
          <w:p>
            <w:r>
              <w:rPr>
                <w:b/>
                <w:bCs/>
                <w:color w:val="FFFFFF"/>
                <w:sz w:val="19"/>
                <w:szCs w:val="19"/>
              </w:rPr>
              <w:t xml:space="preserve">Tier IV</w:t>
            </w:r>
          </w:p>
        </w:tc>
      </w:tr>
      <w:tr>
        <w:tc>
          <w:tcPr>
            <w:tcW w:type="dxa" w:w="3120"/>
            <w:tcMar>
              <w:top w:type="dxa" w:w="80"/>
              <w:left w:type="dxa" w:w="100"/>
              <w:bottom w:type="dxa" w:w="80"/>
              <w:right w:type="dxa" w:w="100"/>
            </w:tcMar>
            <w:vAlign w:val="center"/>
          </w:tcPr>
          <w:p>
            <w:r>
              <w:rPr>
                <w:b w:val="false"/>
                <w:bCs w:val="false"/>
                <w:sz w:val="19"/>
                <w:szCs w:val="19"/>
              </w:rPr>
              <w:t xml:space="preserve">Mantenimiento concurrente (poder dar mantenimiento a cualquier componente sin afectar la carga)</w:t>
            </w:r>
          </w:p>
        </w:tc>
        <w:tc>
          <w:tcPr>
            <w:tcW w:type="dxa" w:w="3120"/>
            <w:tcMar>
              <w:top w:type="dxa" w:w="80"/>
              <w:left w:type="dxa" w:w="100"/>
              <w:bottom w:type="dxa" w:w="80"/>
              <w:right w:type="dxa" w:w="100"/>
            </w:tcMar>
            <w:vAlign w:val="center"/>
          </w:tcPr>
          <w:p>
            <w:r>
              <w:rPr>
                <w:b w:val="false"/>
                <w:bCs w:val="false"/>
                <w:sz w:val="19"/>
                <w:szCs w:val="19"/>
              </w:rPr>
              <w:t xml:space="preserve">✅ Sí</w:t>
            </w:r>
          </w:p>
        </w:tc>
        <w:tc>
          <w:tcPr>
            <w:tcW w:type="dxa" w:w="3120"/>
            <w:tcMar>
              <w:top w:type="dxa" w:w="80"/>
              <w:left w:type="dxa" w:w="100"/>
              <w:bottom w:type="dxa" w:w="80"/>
              <w:right w:type="dxa" w:w="100"/>
            </w:tcMar>
            <w:vAlign w:val="center"/>
          </w:tcPr>
          <w:p>
            <w:r>
              <w:rPr>
                <w:b w:val="false"/>
                <w:bCs w:val="false"/>
                <w:sz w:val="19"/>
                <w:szCs w:val="19"/>
              </w:rPr>
              <w:t xml:space="preserve">✅ Sí</w:t>
            </w:r>
          </w:p>
        </w:tc>
      </w:tr>
      <w:tr>
        <w:tc>
          <w:tcPr>
            <w:tcW w:type="dxa" w:w="3120"/>
            <w:tcMar>
              <w:top w:type="dxa" w:w="80"/>
              <w:left w:type="dxa" w:w="100"/>
              <w:bottom w:type="dxa" w:w="80"/>
              <w:right w:type="dxa" w:w="100"/>
            </w:tcMar>
            <w:vAlign w:val="center"/>
          </w:tcPr>
          <w:p>
            <w:r>
              <w:rPr>
                <w:b w:val="false"/>
                <w:bCs w:val="false"/>
                <w:sz w:val="19"/>
                <w:szCs w:val="19"/>
              </w:rPr>
              <w:t xml:space="preserve">Tolerancia a fallas</w:t>
            </w:r>
            <w:r>
              <w:rPr>
                <w:b w:val="false"/>
                <w:bCs w:val="false"/>
                <w:sz w:val="19"/>
                <w:szCs w:val="19"/>
              </w:rPr>
              <w:t xml:space="preserve"> (una falla no planificada de cualquier componente, en cualquier momento, no debe afectar la carga)</w:t>
            </w:r>
          </w:p>
        </w:tc>
        <w:tc>
          <w:tcPr>
            <w:tcW w:type="dxa" w:w="3120"/>
            <w:tcMar>
              <w:top w:type="dxa" w:w="80"/>
              <w:left w:type="dxa" w:w="100"/>
              <w:bottom w:type="dxa" w:w="80"/>
              <w:right w:type="dxa" w:w="100"/>
            </w:tcMar>
            <w:vAlign w:val="center"/>
          </w:tcPr>
          <w:p>
            <w:r>
              <w:rPr>
                <w:b w:val="false"/>
                <w:bCs w:val="false"/>
                <w:sz w:val="19"/>
                <w:szCs w:val="19"/>
              </w:rPr>
              <w:t xml:space="preserve">❌ No garantizado</w:t>
            </w:r>
          </w:p>
        </w:tc>
        <w:tc>
          <w:tcPr>
            <w:tcW w:type="dxa" w:w="3120"/>
            <w:tcMar>
              <w:top w:type="dxa" w:w="80"/>
              <w:left w:type="dxa" w:w="100"/>
              <w:bottom w:type="dxa" w:w="80"/>
              <w:right w:type="dxa" w:w="100"/>
            </w:tcMar>
            <w:vAlign w:val="center"/>
          </w:tcPr>
          <w:p>
            <w:r>
              <w:rPr>
                <w:b w:val="false"/>
                <w:bCs w:val="false"/>
                <w:sz w:val="19"/>
                <w:szCs w:val="19"/>
              </w:rPr>
              <w:t xml:space="preserve">✅ </w:t>
            </w:r>
            <w:r>
              <w:rPr>
                <w:b w:val="false"/>
                <w:bCs w:val="false"/>
                <w:sz w:val="19"/>
                <w:szCs w:val="19"/>
              </w:rPr>
              <w:t xml:space="preserve">Sí — este es el criterio que distingue a Tier IV</w:t>
            </w:r>
          </w:p>
        </w:tc>
      </w:tr>
      <w:tr>
        <w:tc>
          <w:tcPr>
            <w:tcW w:type="dxa" w:w="3120"/>
            <w:tcMar>
              <w:top w:type="dxa" w:w="80"/>
              <w:left w:type="dxa" w:w="100"/>
              <w:bottom w:type="dxa" w:w="80"/>
              <w:right w:type="dxa" w:w="100"/>
            </w:tcMar>
            <w:vAlign w:val="center"/>
          </w:tcPr>
          <w:p>
            <w:r>
              <w:rPr>
                <w:b w:val="false"/>
                <w:bCs w:val="false"/>
                <w:sz w:val="19"/>
                <w:szCs w:val="19"/>
              </w:rPr>
              <w:t xml:space="preserve">Topología de distribución</w:t>
            </w:r>
          </w:p>
        </w:tc>
        <w:tc>
          <w:tcPr>
            <w:tcW w:type="dxa" w:w="3120"/>
            <w:tcMar>
              <w:top w:type="dxa" w:w="80"/>
              <w:left w:type="dxa" w:w="100"/>
              <w:bottom w:type="dxa" w:w="80"/>
              <w:right w:type="dxa" w:w="100"/>
            </w:tcMar>
            <w:vAlign w:val="center"/>
          </w:tcPr>
          <w:p>
            <w:r>
              <w:rPr>
                <w:b w:val="false"/>
                <w:bCs w:val="false"/>
                <w:sz w:val="19"/>
                <w:szCs w:val="19"/>
              </w:rPr>
              <w:t xml:space="preserve">Una ruta activa + una de respaldo</w:t>
            </w:r>
          </w:p>
        </w:tc>
        <w:tc>
          <w:tcPr>
            <w:tcW w:type="dxa" w:w="3120"/>
            <w:tcMar>
              <w:top w:type="dxa" w:w="80"/>
              <w:left w:type="dxa" w:w="100"/>
              <w:bottom w:type="dxa" w:w="80"/>
              <w:right w:type="dxa" w:w="100"/>
            </w:tcMar>
            <w:vAlign w:val="center"/>
          </w:tcPr>
          <w:p>
            <w:r>
              <w:rPr>
                <w:b w:val="false"/>
                <w:bCs w:val="false"/>
                <w:sz w:val="19"/>
                <w:szCs w:val="19"/>
              </w:rPr>
              <w:t xml:space="preserve">Múltiples rutas activas simultáneas e independientes</w:t>
            </w:r>
          </w:p>
        </w:tc>
      </w:tr>
      <w:tr>
        <w:tc>
          <w:tcPr>
            <w:tcW w:type="dxa" w:w="3120"/>
            <w:tcMar>
              <w:top w:type="dxa" w:w="80"/>
              <w:left w:type="dxa" w:w="100"/>
              <w:bottom w:type="dxa" w:w="80"/>
              <w:right w:type="dxa" w:w="100"/>
            </w:tcMar>
            <w:vAlign w:val="center"/>
          </w:tcPr>
          <w:p>
            <w:r>
              <w:rPr>
                <w:b w:val="false"/>
                <w:bCs w:val="false"/>
                <w:sz w:val="19"/>
                <w:szCs w:val="19"/>
              </w:rPr>
              <w:t xml:space="preserve">Compartimentación (fault containment)</w:t>
            </w:r>
          </w:p>
        </w:tc>
        <w:tc>
          <w:tcPr>
            <w:tcW w:type="dxa" w:w="3120"/>
            <w:tcMar>
              <w:top w:type="dxa" w:w="80"/>
              <w:left w:type="dxa" w:w="100"/>
              <w:bottom w:type="dxa" w:w="80"/>
              <w:right w:type="dxa" w:w="100"/>
            </w:tcMar>
            <w:vAlign w:val="center"/>
          </w:tcPr>
          <w:p>
            <w:r>
              <w:rPr>
                <w:b w:val="false"/>
                <w:bCs w:val="false"/>
                <w:sz w:val="19"/>
                <w:szCs w:val="19"/>
              </w:rPr>
              <w:t xml:space="preserve">No exigida</w:t>
            </w:r>
          </w:p>
        </w:tc>
        <w:tc>
          <w:tcPr>
            <w:tcW w:type="dxa" w:w="3120"/>
            <w:tcMar>
              <w:top w:type="dxa" w:w="80"/>
              <w:left w:type="dxa" w:w="100"/>
              <w:bottom w:type="dxa" w:w="80"/>
              <w:right w:type="dxa" w:w="100"/>
            </w:tcMar>
            <w:vAlign w:val="center"/>
          </w:tcPr>
          <w:p>
            <w:r>
              <w:rPr>
                <w:b w:val="false"/>
                <w:bCs w:val="false"/>
                <w:sz w:val="19"/>
                <w:szCs w:val="19"/>
              </w:rPr>
              <w:t xml:space="preserve">Exigida — una falla en una zona no debe propagarse a otra</w:t>
            </w:r>
          </w:p>
        </w:tc>
      </w:tr>
      <w:tr>
        <w:tc>
          <w:tcPr>
            <w:tcW w:type="dxa" w:w="3120"/>
            <w:tcMar>
              <w:top w:type="dxa" w:w="80"/>
              <w:left w:type="dxa" w:w="100"/>
              <w:bottom w:type="dxa" w:w="80"/>
              <w:right w:type="dxa" w:w="100"/>
            </w:tcMar>
            <w:vAlign w:val="center"/>
          </w:tcPr>
          <w:p>
            <w:r>
              <w:rPr>
                <w:b w:val="false"/>
                <w:bCs w:val="false"/>
                <w:sz w:val="19"/>
                <w:szCs w:val="19"/>
              </w:rPr>
              <w:t xml:space="preserve">Disponibilidad anual esperada</w:t>
            </w:r>
          </w:p>
        </w:tc>
        <w:tc>
          <w:tcPr>
            <w:tcW w:type="dxa" w:w="3120"/>
            <w:tcMar>
              <w:top w:type="dxa" w:w="80"/>
              <w:left w:type="dxa" w:w="100"/>
              <w:bottom w:type="dxa" w:w="80"/>
              <w:right w:type="dxa" w:w="100"/>
            </w:tcMar>
            <w:vAlign w:val="center"/>
          </w:tcPr>
          <w:p>
            <w:r>
              <w:rPr>
                <w:b w:val="false"/>
                <w:bCs w:val="false"/>
                <w:sz w:val="19"/>
                <w:szCs w:val="19"/>
              </w:rPr>
              <w:t xml:space="preserve">99.982% (≈1.6 h/año de inactividad)</w:t>
            </w:r>
          </w:p>
        </w:tc>
        <w:tc>
          <w:tcPr>
            <w:tcW w:type="dxa" w:w="3120"/>
            <w:tcMar>
              <w:top w:type="dxa" w:w="80"/>
              <w:left w:type="dxa" w:w="100"/>
              <w:bottom w:type="dxa" w:w="80"/>
              <w:right w:type="dxa" w:w="100"/>
            </w:tcMar>
            <w:vAlign w:val="center"/>
          </w:tcPr>
          <w:p>
            <w:r>
              <w:rPr>
                <w:b w:val="false"/>
                <w:bCs w:val="false"/>
                <w:sz w:val="19"/>
                <w:szCs w:val="19"/>
              </w:rPr>
              <w:t xml:space="preserve">99.995% (≈26.3 min/año)</w:t>
            </w:r>
          </w:p>
        </w:tc>
      </w:tr>
    </w:tbl>
    <w:p>
      <w:pPr>
        <w:spacing w:after="200"/>
      </w:pPr>
    </w:p>
    <w:p>
      <w:pPr>
        <w:spacing w:after="160"/>
        <w:jc w:val="both"/>
      </w:pPr>
      <w:r>
        <w:rPr>
          <w:sz w:val="21"/>
          <w:szCs w:val="21"/>
        </w:rPr>
        <w:t xml:space="preserve">En términos prácticos: en Tier III, si falla un componente mientras otro está en mantenimiento planificado, puede haber una interrupción. En Tier IV, el sistema debe sobrevivir una falla real </w:t>
      </w:r>
      <w:r>
        <w:rPr>
          <w:b/>
          <w:bCs/>
          <w:sz w:val="21"/>
          <w:szCs w:val="21"/>
        </w:rPr>
        <w:t xml:space="preserve">en cualquier momento</w:t>
      </w:r>
      <w:r>
        <w:rPr>
          <w:sz w:val="21"/>
          <w:szCs w:val="21"/>
        </w:rPr>
        <w:t xml:space="preserve">, incluso durante mantenimiento — por eso la redundancia tiene que ser </w:t>
      </w:r>
      <w:r>
        <w:rPr>
          <w:b/>
          <w:bCs/>
          <w:sz w:val="21"/>
          <w:szCs w:val="21"/>
        </w:rPr>
        <w:t xml:space="preserve">2N</w:t>
      </w:r>
      <w:r>
        <w:rPr>
          <w:sz w:val="21"/>
          <w:szCs w:val="21"/>
        </w:rPr>
        <w:t xml:space="preserve"> (dos sistemas completos, cada uno capaz de cargar el 100%) y no simplemente N+1 (un componente de respaldo compartido).</w:t>
      </w:r>
    </w:p>
    <w:p>
      <w:pPr>
        <w:pStyle w:val="Heading2"/>
        <w:spacing w:after="180" w:before="320"/>
      </w:pPr>
      <w:r>
        <w:t xml:space="preserve">2. Ubicación y compartimentación</w:t>
      </w:r>
    </w:p>
    <w:p>
      <w:pPr>
        <w:pStyle w:val="ListParagraph"/>
        <w:numPr>
          <w:ilvl w:val="0"/>
          <w:numId w:val="2"/>
        </w:numPr>
        <w:spacing w:after="80"/>
      </w:pPr>
      <w:r>
        <w:rPr>
          <w:sz w:val="21"/>
          <w:szCs w:val="21"/>
        </w:rPr>
        <w:t xml:space="preserve">El Data Center ocupa un espacio dedicado en el </w:t>
      </w:r>
      <w:r>
        <w:rPr>
          <w:b/>
          <w:bCs/>
          <w:sz w:val="21"/>
          <w:szCs w:val="21"/>
        </w:rPr>
        <w:t xml:space="preserve">Piso 2</w:t>
      </w:r>
      <w:r>
        <w:rPr>
          <w:sz w:val="21"/>
          <w:szCs w:val="21"/>
        </w:rPr>
        <w:t xml:space="preserve"> — deliberadamente </w:t>
      </w:r>
      <w:r>
        <w:rPr>
          <w:b/>
          <w:bCs/>
          <w:sz w:val="21"/>
          <w:szCs w:val="21"/>
        </w:rPr>
        <w:t xml:space="preserve">no</w:t>
      </w:r>
      <w:r>
        <w:rPr>
          <w:sz w:val="21"/>
          <w:szCs w:val="21"/>
        </w:rPr>
        <w:t xml:space="preserve"> en planta baja ni en sótano. Uptime Institute y BICSI 002 desaconsejan ambas ubicaciones para instalaciones críticas: la planta baja está más expuesta a inundación (escorrentía superficial, rotura de tubería municipal, cercanía a la calle) y a mayor tránsito/acceso no controlado (recepción, entregas); el sótano añade el riesgo de nivel freático y drenaje deficiente. El Piso 2 es el primer nivel elevado del edificio — reduce el riesgo de inundación sin llevar equipo pesado (rack 42U, UPS, futura planta eléctrica) más arriba de lo necesario.</w:t>
      </w:r>
    </w:p>
    <w:p>
      <w:pPr>
        <w:pStyle w:val="ListParagraph"/>
        <w:numPr>
          <w:ilvl w:val="0"/>
          <w:numId w:val="2"/>
        </w:numPr>
        <w:spacing w:after="80"/>
      </w:pPr>
      <w:r>
        <w:rPr>
          <w:sz w:val="21"/>
          <w:szCs w:val="21"/>
        </w:rPr>
        <w:t xml:space="preserve">Sin ventanas al exterior, sin tuberías de agua ajenas al propio sistema de extinción/enfriamiento pasando por el cielo o piso del cuarto (requisito común de TIA-942/BICSI 002 para reducir riesgo de daño por agua).</w:t>
      </w:r>
    </w:p>
    <w:p>
      <w:pPr>
        <w:pStyle w:val="ListParagraph"/>
        <w:numPr>
          <w:ilvl w:val="0"/>
          <w:numId w:val="2"/>
        </w:numPr>
        <w:spacing w:after="80"/>
      </w:pPr>
      <w:r>
        <w:rPr>
          <w:sz w:val="21"/>
          <w:szCs w:val="21"/>
        </w:rPr>
        <w:t xml:space="preserve">Muros con resistencia al fuego de al menos 1 hora (compartimentación — si hay un incendio en un área adyacente del edificio, el Data Center debe resistir su propagación el tiempo suficiente para actuar).</w:t>
      </w:r>
    </w:p>
    <w:p>
      <w:pPr>
        <w:pStyle w:val="ListParagraph"/>
        <w:numPr>
          <w:ilvl w:val="0"/>
          <w:numId w:val="2"/>
        </w:numPr>
        <w:spacing w:after="80"/>
      </w:pPr>
      <w:r>
        <w:rPr>
          <w:sz w:val="21"/>
          <w:szCs w:val="21"/>
        </w:rPr>
        <w:t xml:space="preserve">Acceso único controlado (ver §6), sin rutas alternas de entrada no monitoreadas.</w:t>
      </w:r>
    </w:p>
    <w:p>
      <w:pPr>
        <w:pStyle w:val="Heading2"/>
        <w:spacing w:after="180" w:before="320"/>
      </w:pPr>
      <w:r>
        <w:t xml:space="preserve">3. Energía — memoria de cálculo (2N)</w:t>
      </w:r>
    </w:p>
    <w:p>
      <w:pPr>
        <w:pStyle w:val="Heading3"/>
        <w:spacing w:after="180" w:before="320"/>
      </w:pPr>
      <w:r>
        <w:t xml:space="preserve">3.1 Estimación de carga IT crítica</w:t>
      </w:r>
    </w:p>
    <w:p>
      <w:pPr>
        <w:spacing w:after="160"/>
        <w:jc w:val="both"/>
      </w:pPr>
      <w:r>
        <w:rPr>
          <w:sz w:val="21"/>
          <w:szCs w:val="21"/>
        </w:rPr>
        <w:t xml:space="preserve">Para dimensionar el UPS hay que partir de una estimación realista de consumo del equipo que alimentará (ejemplo de memoria de cálculo para el rollout de producción — no para el laboratorio de demo, que consume una fracción de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vAlign w:val="center"/>
          </w:tcPr>
          <w:p>
            <w:r>
              <w:rPr>
                <w:b/>
                <w:bCs/>
                <w:color w:val="FFFFFF"/>
                <w:sz w:val="19"/>
                <w:szCs w:val="19"/>
              </w:rPr>
              <w:t xml:space="preserve">Equipo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Cantidad</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Consumo unitario estimado</w:t>
            </w:r>
          </w:p>
        </w:tc>
        <w:tc>
          <w:tcPr>
            <w:tcW w:type="dxa" w:w="2340"/>
            <w:shd w:fill="1F3864" w:color="auto" w:val="clear"/>
            <w:tcMar>
              <w:top w:type="dxa" w:w="80"/>
              <w:left w:type="dxa" w:w="100"/>
              <w:bottom w:type="dxa" w:w="80"/>
              <w:right w:type="dxa" w:w="100"/>
            </w:tcMar>
            <w:vAlign w:val="center"/>
          </w:tcPr>
          <w:p>
            <w:r>
              <w:rPr>
                <w:b/>
                <w:bCs/>
                <w:color w:val="FFFFFF"/>
                <w:sz w:val="19"/>
                <w:szCs w:val="19"/>
              </w:rPr>
              <w:t xml:space="preserve">Subtotal</w:t>
            </w:r>
          </w:p>
        </w:tc>
      </w:tr>
      <w:tr>
        <w:tc>
          <w:tcPr>
            <w:tcW w:type="dxa" w:w="2340"/>
            <w:tcMar>
              <w:top w:type="dxa" w:w="80"/>
              <w:left w:type="dxa" w:w="100"/>
              <w:bottom w:type="dxa" w:w="80"/>
              <w:right w:type="dxa" w:w="100"/>
            </w:tcMar>
            <w:vAlign w:val="center"/>
          </w:tcPr>
          <w:p>
            <w:r>
              <w:rPr>
                <w:b w:val="false"/>
                <w:bCs w:val="false"/>
                <w:sz w:val="19"/>
                <w:szCs w:val="19"/>
              </w:rPr>
              <w:t xml:space="preserve">Router Core (R1, redundante)</w:t>
            </w:r>
          </w:p>
        </w:tc>
        <w:tc>
          <w:tcPr>
            <w:tcW w:type="dxa" w:w="2340"/>
            <w:tcMar>
              <w:top w:type="dxa" w:w="80"/>
              <w:left w:type="dxa" w:w="100"/>
              <w:bottom w:type="dxa" w:w="80"/>
              <w:right w:type="dxa" w:w="100"/>
            </w:tcMar>
            <w:vAlign w:val="center"/>
          </w:tcPr>
          <w:p>
            <w:r>
              <w:rPr>
                <w:b w:val="false"/>
                <w:bCs w:val="false"/>
                <w:sz w:val="19"/>
                <w:szCs w:val="19"/>
              </w:rPr>
              <w:t xml:space="preserve">2</w:t>
            </w:r>
          </w:p>
        </w:tc>
        <w:tc>
          <w:tcPr>
            <w:tcW w:type="dxa" w:w="2340"/>
            <w:tcMar>
              <w:top w:type="dxa" w:w="80"/>
              <w:left w:type="dxa" w:w="100"/>
              <w:bottom w:type="dxa" w:w="80"/>
              <w:right w:type="dxa" w:w="100"/>
            </w:tcMar>
            <w:vAlign w:val="center"/>
          </w:tcPr>
          <w:p>
            <w:r>
              <w:rPr>
                <w:b w:val="false"/>
                <w:bCs w:val="false"/>
                <w:sz w:val="19"/>
                <w:szCs w:val="19"/>
              </w:rPr>
              <w:t xml:space="preserve">30 W</w:t>
            </w:r>
          </w:p>
        </w:tc>
        <w:tc>
          <w:tcPr>
            <w:tcW w:type="dxa" w:w="2340"/>
            <w:tcMar>
              <w:top w:type="dxa" w:w="80"/>
              <w:left w:type="dxa" w:w="100"/>
              <w:bottom w:type="dxa" w:w="80"/>
              <w:right w:type="dxa" w:w="100"/>
            </w:tcMar>
            <w:vAlign w:val="center"/>
          </w:tcPr>
          <w:p>
            <w:r>
              <w:rPr>
                <w:b w:val="false"/>
                <w:bCs w:val="false"/>
                <w:sz w:val="19"/>
                <w:szCs w:val="19"/>
              </w:rPr>
              <w:t xml:space="preserve">60 W</w:t>
            </w:r>
          </w:p>
        </w:tc>
      </w:tr>
      <w:tr>
        <w:tc>
          <w:tcPr>
            <w:tcW w:type="dxa" w:w="2340"/>
            <w:tcMar>
              <w:top w:type="dxa" w:w="80"/>
              <w:left w:type="dxa" w:w="100"/>
              <w:bottom w:type="dxa" w:w="80"/>
              <w:right w:type="dxa" w:w="100"/>
            </w:tcMar>
            <w:vAlign w:val="center"/>
          </w:tcPr>
          <w:p>
            <w:r>
              <w:rPr>
                <w:b w:val="false"/>
                <w:bCs w:val="false"/>
                <w:sz w:val="19"/>
                <w:szCs w:val="19"/>
              </w:rPr>
              <w:t xml:space="preserve">Switch de distribución</w:t>
            </w:r>
          </w:p>
        </w:tc>
        <w:tc>
          <w:tcPr>
            <w:tcW w:type="dxa" w:w="2340"/>
            <w:tcMar>
              <w:top w:type="dxa" w:w="80"/>
              <w:left w:type="dxa" w:w="100"/>
              <w:bottom w:type="dxa" w:w="80"/>
              <w:right w:type="dxa" w:w="100"/>
            </w:tcMar>
            <w:vAlign w:val="center"/>
          </w:tcPr>
          <w:p>
            <w:r>
              <w:rPr>
                <w:b w:val="false"/>
                <w:bCs w:val="false"/>
                <w:sz w:val="19"/>
                <w:szCs w:val="19"/>
              </w:rPr>
              <w:t xml:space="preserve">1</w:t>
            </w:r>
          </w:p>
        </w:tc>
        <w:tc>
          <w:tcPr>
            <w:tcW w:type="dxa" w:w="2340"/>
            <w:tcMar>
              <w:top w:type="dxa" w:w="80"/>
              <w:left w:type="dxa" w:w="100"/>
              <w:bottom w:type="dxa" w:w="80"/>
              <w:right w:type="dxa" w:w="100"/>
            </w:tcMar>
            <w:vAlign w:val="center"/>
          </w:tcPr>
          <w:p>
            <w:r>
              <w:rPr>
                <w:b w:val="false"/>
                <w:bCs w:val="false"/>
                <w:sz w:val="19"/>
                <w:szCs w:val="19"/>
              </w:rPr>
              <w:t xml:space="preserve">150 W</w:t>
            </w:r>
          </w:p>
        </w:tc>
        <w:tc>
          <w:tcPr>
            <w:tcW w:type="dxa" w:w="2340"/>
            <w:tcMar>
              <w:top w:type="dxa" w:w="80"/>
              <w:left w:type="dxa" w:w="100"/>
              <w:bottom w:type="dxa" w:w="80"/>
              <w:right w:type="dxa" w:w="100"/>
            </w:tcMar>
            <w:vAlign w:val="center"/>
          </w:tcPr>
          <w:p>
            <w:r>
              <w:rPr>
                <w:b w:val="false"/>
                <w:bCs w:val="false"/>
                <w:sz w:val="19"/>
                <w:szCs w:val="19"/>
              </w:rPr>
              <w:t xml:space="preserve">150 W</w:t>
            </w:r>
          </w:p>
        </w:tc>
      </w:tr>
      <w:tr>
        <w:tc>
          <w:tcPr>
            <w:tcW w:type="dxa" w:w="2340"/>
            <w:tcMar>
              <w:top w:type="dxa" w:w="80"/>
              <w:left w:type="dxa" w:w="100"/>
              <w:bottom w:type="dxa" w:w="80"/>
              <w:right w:type="dxa" w:w="100"/>
            </w:tcMar>
            <w:vAlign w:val="center"/>
          </w:tcPr>
          <w:p>
            <w:r>
              <w:rPr>
                <w:b w:val="false"/>
                <w:bCs w:val="false"/>
                <w:sz w:val="19"/>
                <w:szCs w:val="19"/>
              </w:rPr>
              <w:t xml:space="preserve">Switches de piso (IDF)</w:t>
            </w:r>
          </w:p>
        </w:tc>
        <w:tc>
          <w:tcPr>
            <w:tcW w:type="dxa" w:w="2340"/>
            <w:tcMar>
              <w:top w:type="dxa" w:w="80"/>
              <w:left w:type="dxa" w:w="100"/>
              <w:bottom w:type="dxa" w:w="80"/>
              <w:right w:type="dxa" w:w="100"/>
            </w:tcMar>
            <w:vAlign w:val="center"/>
          </w:tcPr>
          <w:p>
            <w:r>
              <w:rPr>
                <w:b w:val="false"/>
                <w:bCs w:val="false"/>
                <w:sz w:val="19"/>
                <w:szCs w:val="19"/>
              </w:rPr>
              <w:t xml:space="preserve">3</w:t>
            </w:r>
          </w:p>
        </w:tc>
        <w:tc>
          <w:tcPr>
            <w:tcW w:type="dxa" w:w="2340"/>
            <w:tcMar>
              <w:top w:type="dxa" w:w="80"/>
              <w:left w:type="dxa" w:w="100"/>
              <w:bottom w:type="dxa" w:w="80"/>
              <w:right w:type="dxa" w:w="100"/>
            </w:tcMar>
            <w:vAlign w:val="center"/>
          </w:tcPr>
          <w:p>
            <w:r>
              <w:rPr>
                <w:b w:val="false"/>
                <w:bCs w:val="false"/>
                <w:sz w:val="19"/>
                <w:szCs w:val="19"/>
              </w:rPr>
              <w:t xml:space="preserve">100 W</w:t>
            </w:r>
          </w:p>
        </w:tc>
        <w:tc>
          <w:tcPr>
            <w:tcW w:type="dxa" w:w="2340"/>
            <w:tcMar>
              <w:top w:type="dxa" w:w="80"/>
              <w:left w:type="dxa" w:w="100"/>
              <w:bottom w:type="dxa" w:w="80"/>
              <w:right w:type="dxa" w:w="100"/>
            </w:tcMar>
            <w:vAlign w:val="center"/>
          </w:tcPr>
          <w:p>
            <w:r>
              <w:rPr>
                <w:b w:val="false"/>
                <w:bCs w:val="false"/>
                <w:sz w:val="19"/>
                <w:szCs w:val="19"/>
              </w:rPr>
              <w:t xml:space="preserve">300 W</w:t>
            </w:r>
          </w:p>
        </w:tc>
      </w:tr>
      <w:tr>
        <w:tc>
          <w:tcPr>
            <w:tcW w:type="dxa" w:w="2340"/>
            <w:tcMar>
              <w:top w:type="dxa" w:w="80"/>
              <w:left w:type="dxa" w:w="100"/>
              <w:bottom w:type="dxa" w:w="80"/>
              <w:right w:type="dxa" w:w="100"/>
            </w:tcMar>
            <w:vAlign w:val="center"/>
          </w:tcPr>
          <w:p>
            <w:r>
              <w:rPr>
                <w:b w:val="false"/>
                <w:bCs w:val="false"/>
                <w:sz w:val="19"/>
                <w:szCs w:val="19"/>
              </w:rPr>
              <w:t xml:space="preserve">Servidores físicos (host de virtualización, redundantes)</w:t>
            </w:r>
          </w:p>
        </w:tc>
        <w:tc>
          <w:tcPr>
            <w:tcW w:type="dxa" w:w="2340"/>
            <w:tcMar>
              <w:top w:type="dxa" w:w="80"/>
              <w:left w:type="dxa" w:w="100"/>
              <w:bottom w:type="dxa" w:w="80"/>
              <w:right w:type="dxa" w:w="100"/>
            </w:tcMar>
            <w:vAlign w:val="center"/>
          </w:tcPr>
          <w:p>
            <w:r>
              <w:rPr>
                <w:b w:val="false"/>
                <w:bCs w:val="false"/>
                <w:sz w:val="19"/>
                <w:szCs w:val="19"/>
              </w:rPr>
              <w:t xml:space="preserve">3</w:t>
            </w:r>
          </w:p>
        </w:tc>
        <w:tc>
          <w:tcPr>
            <w:tcW w:type="dxa" w:w="2340"/>
            <w:tcMar>
              <w:top w:type="dxa" w:w="80"/>
              <w:left w:type="dxa" w:w="100"/>
              <w:bottom w:type="dxa" w:w="80"/>
              <w:right w:type="dxa" w:w="100"/>
            </w:tcMar>
            <w:vAlign w:val="center"/>
          </w:tcPr>
          <w:p>
            <w:r>
              <w:rPr>
                <w:b w:val="false"/>
                <w:bCs w:val="false"/>
                <w:sz w:val="19"/>
                <w:szCs w:val="19"/>
              </w:rPr>
              <w:t xml:space="preserve">450 W</w:t>
            </w:r>
          </w:p>
        </w:tc>
        <w:tc>
          <w:tcPr>
            <w:tcW w:type="dxa" w:w="2340"/>
            <w:tcMar>
              <w:top w:type="dxa" w:w="80"/>
              <w:left w:type="dxa" w:w="100"/>
              <w:bottom w:type="dxa" w:w="80"/>
              <w:right w:type="dxa" w:w="100"/>
            </w:tcMar>
            <w:vAlign w:val="center"/>
          </w:tcPr>
          <w:p>
            <w:r>
              <w:rPr>
                <w:b w:val="false"/>
                <w:bCs w:val="false"/>
                <w:sz w:val="19"/>
                <w:szCs w:val="19"/>
              </w:rPr>
              <w:t xml:space="preserve">1,350 W</w:t>
            </w:r>
          </w:p>
        </w:tc>
      </w:tr>
      <w:tr>
        <w:tc>
          <w:tcPr>
            <w:tcW w:type="dxa" w:w="2340"/>
            <w:tcMar>
              <w:top w:type="dxa" w:w="80"/>
              <w:left w:type="dxa" w:w="100"/>
              <w:bottom w:type="dxa" w:w="80"/>
              <w:right w:type="dxa" w:w="100"/>
            </w:tcMar>
            <w:vAlign w:val="center"/>
          </w:tcPr>
          <w:p>
            <w:r>
              <w:rPr>
                <w:b w:val="false"/>
                <w:bCs w:val="false"/>
                <w:sz w:val="19"/>
                <w:szCs w:val="19"/>
              </w:rPr>
              <w:t xml:space="preserve">Almacenamiento (NAS/SAN si aplica)</w:t>
            </w:r>
          </w:p>
        </w:tc>
        <w:tc>
          <w:tcPr>
            <w:tcW w:type="dxa" w:w="2340"/>
            <w:tcMar>
              <w:top w:type="dxa" w:w="80"/>
              <w:left w:type="dxa" w:w="100"/>
              <w:bottom w:type="dxa" w:w="80"/>
              <w:right w:type="dxa" w:w="100"/>
            </w:tcMar>
            <w:vAlign w:val="center"/>
          </w:tcPr>
          <w:p>
            <w:r>
              <w:rPr>
                <w:b w:val="false"/>
                <w:bCs w:val="false"/>
                <w:sz w:val="19"/>
                <w:szCs w:val="19"/>
              </w:rPr>
              <w:t xml:space="preserve">1</w:t>
            </w:r>
          </w:p>
        </w:tc>
        <w:tc>
          <w:tcPr>
            <w:tcW w:type="dxa" w:w="2340"/>
            <w:tcMar>
              <w:top w:type="dxa" w:w="80"/>
              <w:left w:type="dxa" w:w="100"/>
              <w:bottom w:type="dxa" w:w="80"/>
              <w:right w:type="dxa" w:w="100"/>
            </w:tcMar>
            <w:vAlign w:val="center"/>
          </w:tcPr>
          <w:p>
            <w:r>
              <w:rPr>
                <w:b w:val="false"/>
                <w:bCs w:val="false"/>
                <w:sz w:val="19"/>
                <w:szCs w:val="19"/>
              </w:rPr>
              <w:t xml:space="preserve">300 W</w:t>
            </w:r>
          </w:p>
        </w:tc>
        <w:tc>
          <w:tcPr>
            <w:tcW w:type="dxa" w:w="2340"/>
            <w:tcMar>
              <w:top w:type="dxa" w:w="80"/>
              <w:left w:type="dxa" w:w="100"/>
              <w:bottom w:type="dxa" w:w="80"/>
              <w:right w:type="dxa" w:w="100"/>
            </w:tcMar>
            <w:vAlign w:val="center"/>
          </w:tcPr>
          <w:p>
            <w:r>
              <w:rPr>
                <w:b w:val="false"/>
                <w:bCs w:val="false"/>
                <w:sz w:val="19"/>
                <w:szCs w:val="19"/>
              </w:rPr>
              <w:t xml:space="preserve">300 W</w:t>
            </w:r>
          </w:p>
        </w:tc>
      </w:tr>
      <w:tr>
        <w:tc>
          <w:tcPr>
            <w:tcW w:type="dxa" w:w="2340"/>
            <w:tcMar>
              <w:top w:type="dxa" w:w="80"/>
              <w:left w:type="dxa" w:w="100"/>
              <w:bottom w:type="dxa" w:w="80"/>
              <w:right w:type="dxa" w:w="100"/>
            </w:tcMar>
            <w:vAlign w:val="center"/>
          </w:tcPr>
          <w:p>
            <w:r>
              <w:rPr>
                <w:b w:val="false"/>
                <w:bCs w:val="false"/>
                <w:sz w:val="19"/>
                <w:szCs w:val="19"/>
              </w:rPr>
              <w:t xml:space="preserve">PBX/gateway de telefonía IP</w:t>
            </w:r>
          </w:p>
        </w:tc>
        <w:tc>
          <w:tcPr>
            <w:tcW w:type="dxa" w:w="2340"/>
            <w:tcMar>
              <w:top w:type="dxa" w:w="80"/>
              <w:left w:type="dxa" w:w="100"/>
              <w:bottom w:type="dxa" w:w="80"/>
              <w:right w:type="dxa" w:w="100"/>
            </w:tcMar>
            <w:vAlign w:val="center"/>
          </w:tcPr>
          <w:p>
            <w:r>
              <w:rPr>
                <w:b w:val="false"/>
                <w:bCs w:val="false"/>
                <w:sz w:val="19"/>
                <w:szCs w:val="19"/>
              </w:rPr>
              <w:t xml:space="preserve">1</w:t>
            </w:r>
          </w:p>
        </w:tc>
        <w:tc>
          <w:tcPr>
            <w:tcW w:type="dxa" w:w="2340"/>
            <w:tcMar>
              <w:top w:type="dxa" w:w="80"/>
              <w:left w:type="dxa" w:w="100"/>
              <w:bottom w:type="dxa" w:w="80"/>
              <w:right w:type="dxa" w:w="100"/>
            </w:tcMar>
            <w:vAlign w:val="center"/>
          </w:tcPr>
          <w:p>
            <w:r>
              <w:rPr>
                <w:b w:val="false"/>
                <w:bCs w:val="false"/>
                <w:sz w:val="19"/>
                <w:szCs w:val="19"/>
              </w:rPr>
              <w:t xml:space="preserve">50 W</w:t>
            </w:r>
          </w:p>
        </w:tc>
        <w:tc>
          <w:tcPr>
            <w:tcW w:type="dxa" w:w="2340"/>
            <w:tcMar>
              <w:top w:type="dxa" w:w="80"/>
              <w:left w:type="dxa" w:w="100"/>
              <w:bottom w:type="dxa" w:w="80"/>
              <w:right w:type="dxa" w:w="100"/>
            </w:tcMar>
            <w:vAlign w:val="center"/>
          </w:tcPr>
          <w:p>
            <w:r>
              <w:rPr>
                <w:b w:val="false"/>
                <w:bCs w:val="false"/>
                <w:sz w:val="19"/>
                <w:szCs w:val="19"/>
              </w:rPr>
              <w:t xml:space="preserve">50 W</w:t>
            </w:r>
          </w:p>
        </w:tc>
      </w:tr>
      <w:tr>
        <w:tc>
          <w:tcPr>
            <w:tcW w:type="dxa" w:w="2340"/>
            <w:tcMar>
              <w:top w:type="dxa" w:w="80"/>
              <w:left w:type="dxa" w:w="100"/>
              <w:bottom w:type="dxa" w:w="80"/>
              <w:right w:type="dxa" w:w="100"/>
            </w:tcMar>
            <w:vAlign w:val="center"/>
          </w:tcPr>
          <w:p>
            <w:r>
              <w:rPr>
                <w:b w:val="false"/>
                <w:bCs w:val="false"/>
                <w:sz w:val="19"/>
                <w:szCs w:val="19"/>
              </w:rPr>
              <w:t xml:space="preserve">Total carga IT crítica estimada</w:t>
            </w:r>
          </w:p>
        </w:tc>
        <w:tc>
          <w:tcPr>
            <w:tcW w:type="dxa" w:w="2340"/>
            <w:tcMar>
              <w:top w:type="dxa" w:w="80"/>
              <w:left w:type="dxa" w:w="100"/>
              <w:bottom w:type="dxa" w:w="80"/>
              <w:right w:type="dxa" w:w="100"/>
            </w:tcMar>
            <w:vAlign w:val="center"/>
          </w:tcPr>
          <w:p>
            <w:r>
              <w:rPr>
                <w:b w:val="false"/>
                <w:bCs w:val="false"/>
                <w:sz w:val="19"/>
                <w:szCs w:val="19"/>
              </w:rPr>
              <w:t xml:space="preserve"/>
            </w:r>
          </w:p>
        </w:tc>
        <w:tc>
          <w:tcPr>
            <w:tcW w:type="dxa" w:w="2340"/>
            <w:tcMar>
              <w:top w:type="dxa" w:w="80"/>
              <w:left w:type="dxa" w:w="100"/>
              <w:bottom w:type="dxa" w:w="80"/>
              <w:right w:type="dxa" w:w="100"/>
            </w:tcMar>
            <w:vAlign w:val="center"/>
          </w:tcPr>
          <w:p>
            <w:r>
              <w:rPr>
                <w:b w:val="false"/>
                <w:bCs w:val="false"/>
                <w:sz w:val="19"/>
                <w:szCs w:val="19"/>
              </w:rPr>
              <w:t xml:space="preserve"/>
            </w:r>
          </w:p>
        </w:tc>
        <w:tc>
          <w:tcPr>
            <w:tcW w:type="dxa" w:w="2340"/>
            <w:tcMar>
              <w:top w:type="dxa" w:w="80"/>
              <w:left w:type="dxa" w:w="100"/>
              <w:bottom w:type="dxa" w:w="80"/>
              <w:right w:type="dxa" w:w="100"/>
            </w:tcMar>
            <w:vAlign w:val="center"/>
          </w:tcPr>
          <w:p>
            <w:r>
              <w:rPr>
                <w:b w:val="false"/>
                <w:bCs w:val="false"/>
                <w:sz w:val="19"/>
                <w:szCs w:val="19"/>
              </w:rPr>
              <w:t xml:space="preserve">≈ 2,210 W</w:t>
            </w:r>
          </w:p>
        </w:tc>
      </w:tr>
    </w:tbl>
    <w:p>
      <w:pPr>
        <w:spacing w:after="200"/>
      </w:pPr>
    </w:p>
    <w:p>
      <w:pPr>
        <w:pStyle w:val="Heading3"/>
        <w:spacing w:after="180" w:before="320"/>
      </w:pPr>
      <w:r>
        <w:t xml:space="preserve">3.2 Cálculo de capacidad del UPS</w:t>
      </w:r>
    </w:p>
    <w:p>
      <w:pPr>
        <w:pStyle w:val="ListParagraph"/>
        <w:numPr>
          <w:ilvl w:val="0"/>
          <w:numId w:val="3"/>
        </w:numPr>
        <w:spacing w:after="80"/>
      </w:pPr>
      <w:r>
        <w:rPr>
          <w:sz w:val="21"/>
          <w:szCs w:val="21"/>
        </w:rPr>
        <w:t xml:space="preserve">Convertir a VA usando un factor de potencia típico de UPS moderno (0.9): </w:t>
      </w:r>
      <w:r>
        <w:rPr>
          <w:rFonts w:ascii="Consolas" w:cs="Consolas" w:eastAsia="Consolas" w:hAnsi="Consolas"/>
          <w:sz w:val="21"/>
          <w:szCs w:val="21"/>
        </w:rPr>
        <w:t xml:space="preserve">2,210 W ÷ 0.9 ≈ 2,456 VA</w:t>
      </w:r>
      <w:r>
        <w:rPr>
          <w:sz w:val="21"/>
          <w:szCs w:val="21"/>
        </w:rPr>
        <w:t xml:space="preserve">.</w:t>
      </w:r>
    </w:p>
    <w:p>
      <w:pPr>
        <w:pStyle w:val="ListParagraph"/>
        <w:numPr>
          <w:ilvl w:val="0"/>
          <w:numId w:val="3"/>
        </w:numPr>
        <w:spacing w:after="80"/>
      </w:pPr>
      <w:r>
        <w:rPr>
          <w:sz w:val="21"/>
          <w:szCs w:val="21"/>
        </w:rPr>
        <w:t xml:space="preserve">Aplicar margen de crecimiento/seguridad del 30% (estándar de la industria para no operar un UPS al límite, lo que reduce su vida útil): </w:t>
      </w:r>
      <w:r>
        <w:rPr>
          <w:rFonts w:ascii="Consolas" w:cs="Consolas" w:eastAsia="Consolas" w:hAnsi="Consolas"/>
          <w:sz w:val="21"/>
          <w:szCs w:val="21"/>
        </w:rPr>
        <w:t xml:space="preserve">2,456 × 1.3 ≈ 3,193 VA</w:t>
      </w:r>
      <w:r>
        <w:rPr>
          <w:sz w:val="21"/>
          <w:szCs w:val="21"/>
        </w:rPr>
        <w:t xml:space="preserve">.</w:t>
      </w:r>
    </w:p>
    <w:p>
      <w:pPr>
        <w:pStyle w:val="ListParagraph"/>
        <w:numPr>
          <w:ilvl w:val="0"/>
          <w:numId w:val="3"/>
        </w:numPr>
        <w:spacing w:after="80"/>
      </w:pPr>
      <w:r>
        <w:rPr>
          <w:sz w:val="21"/>
          <w:szCs w:val="21"/>
        </w:rPr>
        <w:t xml:space="preserve">Redondear al tamaño comercial disponible más próximo: </w:t>
      </w:r>
      <w:r>
        <w:rPr>
          <w:b/>
          <w:bCs/>
          <w:sz w:val="21"/>
          <w:szCs w:val="21"/>
        </w:rPr>
        <w:t xml:space="preserve">UPS de 3 kVA</w:t>
      </w:r>
      <w:r>
        <w:rPr>
          <w:sz w:val="21"/>
          <w:szCs w:val="21"/>
        </w:rPr>
        <w:t xml:space="preserve"> como unidad base.</w:t>
      </w:r>
    </w:p>
    <w:p>
      <w:pPr>
        <w:pStyle w:val="Heading3"/>
        <w:spacing w:after="180" w:before="320"/>
      </w:pPr>
      <w:r>
        <w:t xml:space="preserve">3.3 Aplicación del criterio 2N</w:t>
      </w:r>
    </w:p>
    <w:p>
      <w:pPr>
        <w:spacing w:after="160"/>
        <w:jc w:val="both"/>
      </w:pPr>
      <w:r>
        <w:rPr>
          <w:sz w:val="21"/>
          <w:szCs w:val="21"/>
        </w:rPr>
        <w:t xml:space="preserve">No se instala </w:t>
      </w:r>
      <w:r>
        <w:rPr>
          <w:b/>
          <w:bCs/>
          <w:sz w:val="21"/>
          <w:szCs w:val="21"/>
        </w:rPr>
        <w:t xml:space="preserve">un</w:t>
      </w:r>
      <w:r>
        <w:rPr>
          <w:sz w:val="21"/>
          <w:szCs w:val="21"/>
        </w:rPr>
        <w:t xml:space="preserve"> UPS de 3kVA — se instalan </w:t>
      </w:r>
      <w:r>
        <w:rPr>
          <w:b/>
          <w:bCs/>
          <w:sz w:val="21"/>
          <w:szCs w:val="21"/>
        </w:rPr>
        <w:t xml:space="preserve">dos UPS de 3kVA independientes</w:t>
      </w:r>
      <w:r>
        <w:rPr>
          <w:sz w:val="21"/>
          <w:szCs w:val="21"/>
        </w:rPr>
        <w:t xml:space="preserve"> (rama eléctrica A y rama B), cada uno capaz de sostener el 100% de la carga por sí solo. Cada equipo crítico (servidor, switch, router) debe tener </w:t>
      </w:r>
      <w:r>
        <w:rPr>
          <w:b/>
          <w:bCs/>
          <w:sz w:val="21"/>
          <w:szCs w:val="21"/>
        </w:rPr>
        <w:t xml:space="preserve">doble fuente de poder</w:t>
      </w:r>
      <w:r>
        <w:rPr>
          <w:sz w:val="21"/>
          <w:szCs w:val="21"/>
        </w:rPr>
        <w:t xml:space="preserve">, una conectada a cada rama, para que la falla de una rama completa (UPS, PDU o el propio breaker) no cause caída de servicio.</w:t>
      </w:r>
    </w:p>
    <w:p>
      <w:pPr>
        <w:pStyle w:val="ListParagraph"/>
        <w:numPr>
          <w:ilvl w:val="0"/>
          <w:numId w:val="2"/>
        </w:numPr>
        <w:spacing w:after="80"/>
      </w:pPr>
      <w:r>
        <w:rPr>
          <w:b/>
          <w:bCs/>
          <w:sz w:val="21"/>
          <w:szCs w:val="21"/>
        </w:rPr>
        <w:t xml:space="preserve">Topología</w:t>
      </w:r>
      <w:r>
        <w:rPr>
          <w:sz w:val="21"/>
          <w:szCs w:val="21"/>
        </w:rPr>
        <w:t xml:space="preserve">: 2 acometidas eléctricas independientes → 2 UPS on-line de doble conversión (aísla completamente la carga de las variaciones de la red eléctrica de entrada, a diferencia de un UPS line-interactive) → 2 PDU por rack (A/B) → doble fuente en cada equipo.</w:t>
      </w:r>
    </w:p>
    <w:p>
      <w:pPr>
        <w:pStyle w:val="ListParagraph"/>
        <w:numPr>
          <w:ilvl w:val="0"/>
          <w:numId w:val="2"/>
        </w:numPr>
        <w:spacing w:after="80"/>
      </w:pPr>
      <w:r>
        <w:rPr>
          <w:b/>
          <w:bCs/>
          <w:sz w:val="21"/>
          <w:szCs w:val="21"/>
        </w:rPr>
        <w:t xml:space="preserve">Autonomía de batería objetivo</w:t>
      </w:r>
      <w:r>
        <w:rPr>
          <w:sz w:val="21"/>
          <w:szCs w:val="21"/>
        </w:rPr>
        <w:t xml:space="preserve">: 15–30 minutos a plena carga — tiempo suficiente para que arranque la planta eléctrica (30–60 segundos típico de arranque automático) con margen amplio, no para operar indefinidamente sin generador.</w:t>
      </w:r>
    </w:p>
    <w:p>
      <w:pPr>
        <w:pStyle w:val="Heading3"/>
        <w:spacing w:after="180" w:before="320"/>
      </w:pPr>
      <w:r>
        <w:t xml:space="preserve">3.4 Planta eléctrica (generador)</w:t>
      </w:r>
    </w:p>
    <w:p>
      <w:pPr>
        <w:pStyle w:val="ListParagraph"/>
        <w:numPr>
          <w:ilvl w:val="0"/>
          <w:numId w:val="2"/>
        </w:numPr>
        <w:spacing w:after="80"/>
      </w:pPr>
      <w:r>
        <w:rPr>
          <w:sz w:val="21"/>
          <w:szCs w:val="21"/>
        </w:rPr>
        <w:t xml:space="preserve">Generador diésel con </w:t>
      </w:r>
      <w:r>
        <w:rPr>
          <w:b/>
          <w:bCs/>
          <w:sz w:val="21"/>
          <w:szCs w:val="21"/>
        </w:rPr>
        <w:t xml:space="preserve">ATS (Automatic Transfer Switch)</w:t>
      </w:r>
      <w:r>
        <w:rPr>
          <w:sz w:val="21"/>
          <w:szCs w:val="21"/>
        </w:rPr>
        <w:t xml:space="preserve"> que detecta la caída de la acometida comercial y transfiere la carga automáticamente — tiempo de transferencia típico 10–15 segundos, cubierto sin interrupción por la autonomía del UPS.</w:t>
      </w:r>
    </w:p>
    <w:p>
      <w:pPr>
        <w:pStyle w:val="ListParagraph"/>
        <w:numPr>
          <w:ilvl w:val="0"/>
          <w:numId w:val="2"/>
        </w:numPr>
        <w:spacing w:after="80"/>
      </w:pPr>
      <w:r>
        <w:rPr>
          <w:sz w:val="21"/>
          <w:szCs w:val="21"/>
        </w:rPr>
        <w:t xml:space="preserve">Dimensionado con margen sobre la carga total del edificio (no solo el Data Center — VoIP, iluminación de emergencia, HVAC del edificio dependen también de continuidad), lo cual excede el alcance de este documento de red y se remite a ingeniería eléctrica del edificio.</w:t>
      </w:r>
    </w:p>
    <w:p>
      <w:pPr>
        <w:pStyle w:val="ListParagraph"/>
        <w:numPr>
          <w:ilvl w:val="0"/>
          <w:numId w:val="2"/>
        </w:numPr>
        <w:spacing w:after="80"/>
      </w:pPr>
      <w:r>
        <w:rPr>
          <w:sz w:val="21"/>
          <w:szCs w:val="21"/>
        </w:rPr>
        <w:t xml:space="preserve">Autonomía de combustible objetivo: 8–24 horas continuas, con contrato de reabastecimiento de emergencia para eventos prolongados (frecuente en diseños Tier IV reales).</w:t>
      </w:r>
    </w:p>
    <w:p>
      <w:pPr>
        <w:pStyle w:val="Heading2"/>
        <w:spacing w:after="180" w:before="320"/>
      </w:pPr>
      <w:r>
        <w:t xml:space="preserve">4. Enfriamiento — memoria de cálculo (2N)</w:t>
      </w:r>
    </w:p>
    <w:p>
      <w:pPr>
        <w:pStyle w:val="Heading3"/>
        <w:spacing w:after="180" w:before="320"/>
      </w:pPr>
      <w:r>
        <w:t xml:space="preserve">4.1 Carga térmica</w:t>
      </w:r>
    </w:p>
    <w:p>
      <w:pPr>
        <w:spacing w:after="160"/>
        <w:jc w:val="both"/>
      </w:pPr>
      <w:r>
        <w:rPr>
          <w:sz w:val="21"/>
          <w:szCs w:val="21"/>
        </w:rPr>
        <w:t xml:space="preserve">Toda la energía eléctrica que consume el equipo de TI se convierte casi en su totalidad en calor. Conversión estándar: </w:t>
      </w:r>
      <w:r>
        <w:rPr>
          <w:b/>
          <w:bCs/>
          <w:sz w:val="21"/>
          <w:szCs w:val="21"/>
        </w:rPr>
        <w:t xml:space="preserve">1 W ≈ 3.412 BTU/hr</w:t>
      </w:r>
      <w:r>
        <w:rPr>
          <w:sz w:val="21"/>
          <w:szCs w:val="21"/>
        </w:rPr>
        <w:t xml:space="preserve">.</w:t>
      </w:r>
    </w:p>
    <w:p>
      <w:pPr>
        <w:spacing w:after="160"/>
        <w:jc w:val="both"/>
      </w:pPr>
      <w:r>
        <w:rPr>
          <w:rFonts w:ascii="Consolas" w:cs="Consolas" w:eastAsia="Consolas" w:hAnsi="Consolas"/>
          <w:sz w:val="21"/>
          <w:szCs w:val="21"/>
        </w:rPr>
        <w:t xml:space="preserve">2,210 W × 3.412 ≈ 7,541 BTU/hr</w:t>
      </w:r>
      <w:r>
        <w:rPr>
          <w:sz w:val="21"/>
          <w:szCs w:val="21"/>
        </w:rPr>
        <w:t xml:space="preserve"> solo de carga IT. A esto se le suma la ganancia térmica del propio cuarto (personas, iluminación, envolvente del edificio) — para un cuarto de Data Center pequeño (~15–20 m²) se estima un adicional de ~4,500–6,000 BTU/hr por estos factores.</w:t>
      </w:r>
    </w:p>
    <w:p>
      <w:pPr>
        <w:spacing w:after="160"/>
        <w:jc w:val="both"/>
      </w:pPr>
      <w:r>
        <w:rPr>
          <w:rFonts w:ascii="Consolas" w:cs="Consolas" w:eastAsia="Consolas" w:hAnsi="Consolas"/>
          <w:sz w:val="21"/>
          <w:szCs w:val="21"/>
        </w:rPr>
        <w:t xml:space="preserve">Total ≈ 12,000–13,500 BTU/hr</w:t>
      </w:r>
      <w:r>
        <w:rPr>
          <w:sz w:val="21"/>
          <w:szCs w:val="21"/>
        </w:rPr>
        <w:t xml:space="preserve">, equivalente a </w:t>
      </w:r>
      <w:r>
        <w:rPr>
          <w:b/>
          <w:bCs/>
          <w:sz w:val="21"/>
          <w:szCs w:val="21"/>
        </w:rPr>
        <w:t xml:space="preserve">1–1.15 toneladas de refrigeración</w:t>
      </w:r>
      <w:r>
        <w:rPr>
          <w:sz w:val="21"/>
          <w:szCs w:val="21"/>
        </w:rPr>
        <w:t xml:space="preserve"> (1 tonelada = 12,000 BTU/hr).</w:t>
      </w:r>
    </w:p>
    <w:p>
      <w:pPr>
        <w:pStyle w:val="Heading3"/>
        <w:spacing w:after="180" w:before="320"/>
      </w:pPr>
      <w:r>
        <w:t xml:space="preserve">4.2 Selección de equipo y redundancia</w:t>
      </w:r>
    </w:p>
    <w:p>
      <w:pPr>
        <w:pStyle w:val="ListParagraph"/>
        <w:numPr>
          <w:ilvl w:val="0"/>
          <w:numId w:val="2"/>
        </w:numPr>
        <w:spacing w:after="80"/>
      </w:pPr>
      <w:r>
        <w:rPr>
          <w:sz w:val="21"/>
          <w:szCs w:val="21"/>
        </w:rPr>
        <w:t xml:space="preserve">Se redondea hacia arriba a unidades comerciales disponibles: </w:t>
      </w:r>
      <w:r>
        <w:rPr>
          <w:b/>
          <w:bCs/>
          <w:sz w:val="21"/>
          <w:szCs w:val="21"/>
        </w:rPr>
        <w:t xml:space="preserve">2 unidades CRAC/CRAH de 2 toneladas cada una</w:t>
      </w:r>
      <w:r>
        <w:rPr>
          <w:sz w:val="21"/>
          <w:szCs w:val="21"/>
        </w:rPr>
        <w:t xml:space="preserve">, en configuración </w:t>
      </w:r>
      <w:r>
        <w:rPr>
          <w:b/>
          <w:bCs/>
          <w:sz w:val="21"/>
          <w:szCs w:val="21"/>
        </w:rPr>
        <w:t xml:space="preserve">2N</w:t>
      </w:r>
      <w:r>
        <w:rPr>
          <w:sz w:val="21"/>
          <w:szCs w:val="21"/>
        </w:rPr>
        <w:t xml:space="preserve"> (cada unidad sola cubre el 100% de la carga calculada, con margen).</w:t>
      </w:r>
    </w:p>
    <w:p>
      <w:pPr>
        <w:pStyle w:val="ListParagraph"/>
        <w:numPr>
          <w:ilvl w:val="0"/>
          <w:numId w:val="2"/>
        </w:numPr>
        <w:spacing w:after="80"/>
      </w:pPr>
      <w:r>
        <w:rPr>
          <w:b/>
          <w:bCs/>
          <w:sz w:val="21"/>
          <w:szCs w:val="21"/>
        </w:rPr>
        <w:t xml:space="preserve">Distribución en pasillo frío/pasillo caliente (cold/hot aisle containment)</w:t>
      </w:r>
      <w:r>
        <w:rPr>
          <w:sz w:val="21"/>
          <w:szCs w:val="21"/>
        </w:rPr>
        <w:t xml:space="preserve">: los racks se orientan enfrentados por su cara fría, con contención física (cortinas o paneles) para no mezclar el aire frío de suministro con el caliente de retorno — mejora sustancialmente la eficiencia (menos BTU desperdiciados) y es la práctica estándar de BICSI 002 para cualquier Data Center moderno, independientemente del Tier.</w:t>
      </w:r>
    </w:p>
    <w:p>
      <w:pPr>
        <w:pStyle w:val="ListParagraph"/>
        <w:numPr>
          <w:ilvl w:val="0"/>
          <w:numId w:val="2"/>
        </w:numPr>
        <w:spacing w:after="80"/>
      </w:pPr>
      <w:r>
        <w:rPr>
          <w:sz w:val="21"/>
          <w:szCs w:val="21"/>
        </w:rPr>
        <w:t xml:space="preserve">Rango objetivo de operación: </w:t>
      </w:r>
      <w:r>
        <w:rPr>
          <w:b/>
          <w:bCs/>
          <w:sz w:val="21"/>
          <w:szCs w:val="21"/>
        </w:rPr>
        <w:t xml:space="preserve">18–27 °C, 40–60% HR</w:t>
      </w:r>
      <w:r>
        <w:rPr>
          <w:sz w:val="21"/>
          <w:szCs w:val="21"/>
        </w:rPr>
        <w:t xml:space="preserve">, según las guías térmicas ASHRAE TC9.9 (clase A1, el rango recomendado para equipo empresarial estándar) — con alarma automática (Zabbix) ante desviación antes de que se vuelva crítico.</w:t>
      </w:r>
    </w:p>
    <w:p>
      <w:pPr>
        <w:pStyle w:val="Heading2"/>
        <w:spacing w:after="180" w:before="320"/>
      </w:pPr>
      <w:r>
        <w:t xml:space="preserve">5. Sistema de extinción de incendios</w:t>
      </w:r>
    </w:p>
    <w:p>
      <w:pPr>
        <w:pStyle w:val="ListParagraph"/>
        <w:numPr>
          <w:ilvl w:val="0"/>
          <w:numId w:val="2"/>
        </w:numPr>
        <w:spacing w:after="80"/>
      </w:pPr>
      <w:r>
        <w:rPr>
          <w:b/>
          <w:bCs/>
          <w:sz w:val="21"/>
          <w:szCs w:val="21"/>
        </w:rPr>
        <w:t xml:space="preserve">Detección temprana por aspiración (ASD — Aspirating Smoke Detection, ej. tecnología VESDA)</w:t>
      </w:r>
      <w:r>
        <w:rPr>
          <w:sz w:val="21"/>
          <w:szCs w:val="21"/>
        </w:rPr>
        <w:t xml:space="preserve">: el sistema aspira continuamente muestras de aire del cuarto y las analiza en un sensor central, detectando partículas de combustión </w:t>
      </w:r>
      <w:r>
        <w:rPr>
          <w:b/>
          <w:bCs/>
          <w:sz w:val="21"/>
          <w:szCs w:val="21"/>
        </w:rPr>
        <w:t xml:space="preserve">antes</w:t>
      </w:r>
      <w:r>
        <w:rPr>
          <w:sz w:val="21"/>
          <w:szCs w:val="21"/>
        </w:rPr>
        <w:t xml:space="preserve"> de que haya humo visible o suficiente para activar un detector puntual convencional — crítico en un cuarto con flujo de aire forzado del HVAC, que dispersa y diluye el humo rápidamente.</w:t>
      </w:r>
    </w:p>
    <w:p>
      <w:pPr>
        <w:pStyle w:val="ListParagraph"/>
        <w:numPr>
          <w:ilvl w:val="0"/>
          <w:numId w:val="2"/>
        </w:numPr>
        <w:spacing w:after="80"/>
      </w:pPr>
      <w:r>
        <w:rPr>
          <w:b/>
          <w:bCs/>
          <w:sz w:val="21"/>
          <w:szCs w:val="21"/>
        </w:rPr>
        <w:t xml:space="preserve">Agente extintor limpio gaseoso</w:t>
      </w:r>
      <w:r>
        <w:rPr>
          <w:sz w:val="21"/>
          <w:szCs w:val="21"/>
        </w:rPr>
        <w:t xml:space="preserve">, conforme </w:t>
      </w:r>
      <w:r>
        <w:rPr>
          <w:b/>
          <w:bCs/>
          <w:sz w:val="21"/>
          <w:szCs w:val="21"/>
        </w:rPr>
        <w:t xml:space="preserve">NFPA 2001</w:t>
      </w:r>
      <w:r>
        <w:rPr>
          <w:sz w:val="21"/>
          <w:szCs w:val="21"/>
        </w:rPr>
        <w:t xml:space="preserve">: se especifica </w:t>
      </w:r>
      <w:r>
        <w:rPr>
          <w:b/>
          <w:bCs/>
          <w:sz w:val="21"/>
          <w:szCs w:val="21"/>
        </w:rPr>
        <w:t xml:space="preserve">Novec 1230</w:t>
      </w:r>
      <w:r>
        <w:rPr>
          <w:sz w:val="21"/>
          <w:szCs w:val="21"/>
        </w:rPr>
        <w:t xml:space="preserve"> (concentración de diseño típica 4.5–5.9% v/v según la clase de riesgo) como primera opción por su perfil ambiental (bajo GWP) y de seguridad para el personal en concentración de diseño, con </w:t>
      </w:r>
      <w:r>
        <w:rPr>
          <w:b/>
          <w:bCs/>
          <w:sz w:val="21"/>
          <w:szCs w:val="21"/>
        </w:rPr>
        <w:t xml:space="preserve">FM-200</w:t>
      </w:r>
      <w:r>
        <w:rPr>
          <w:sz w:val="21"/>
          <w:szCs w:val="21"/>
        </w:rPr>
        <w:t xml:space="preserve"> (concentración típica ~7–8.5% v/v) como alternativa equivalente. </w:t>
      </w:r>
      <w:r>
        <w:rPr>
          <w:b/>
          <w:bCs/>
          <w:sz w:val="21"/>
          <w:szCs w:val="21"/>
        </w:rPr>
        <w:t xml:space="preserve">No se usa agua</w:t>
      </w:r>
      <w:r>
        <w:rPr>
          <w:sz w:val="21"/>
          <w:szCs w:val="21"/>
        </w:rPr>
        <w:t xml:space="preserve"> (dañaría irreversiblemente el equipo activo) </w:t>
      </w:r>
      <w:r>
        <w:rPr>
          <w:b/>
          <w:bCs/>
          <w:sz w:val="21"/>
          <w:szCs w:val="21"/>
        </w:rPr>
        <w:t xml:space="preserve">ni CO2 puro como agente de inundación total</w:t>
      </w:r>
      <w:r>
        <w:rPr>
          <w:sz w:val="21"/>
          <w:szCs w:val="21"/>
        </w:rPr>
        <w:t xml:space="preserve"> (desplaza el oxígeno a niveles peligrosos para cualquier persona presente).</w:t>
      </w:r>
    </w:p>
    <w:p>
      <w:pPr>
        <w:pStyle w:val="ListParagraph"/>
        <w:numPr>
          <w:ilvl w:val="0"/>
          <w:numId w:val="2"/>
        </w:numPr>
        <w:spacing w:after="80"/>
      </w:pPr>
      <w:r>
        <w:rPr>
          <w:sz w:val="21"/>
          <w:szCs w:val="21"/>
        </w:rPr>
        <w:t xml:space="preserve">Extintores portátiles de agente limpio o CO2 como respaldo manual en puntos de acceso, señalización de evacuación, y procedimiento documentado de despresurización/ventilación post-descarga antes de reingresar al cuarto.</w:t>
      </w:r>
    </w:p>
    <w:p>
      <w:pPr>
        <w:pStyle w:val="ListParagraph"/>
        <w:numPr>
          <w:ilvl w:val="0"/>
          <w:numId w:val="2"/>
        </w:numPr>
        <w:spacing w:after="80"/>
      </w:pPr>
      <w:r>
        <w:rPr>
          <w:sz w:val="21"/>
          <w:szCs w:val="21"/>
        </w:rPr>
        <w:t xml:space="preserve">Cumplimiento de </w:t>
      </w:r>
      <w:r>
        <w:rPr>
          <w:b/>
          <w:bCs/>
          <w:sz w:val="21"/>
          <w:szCs w:val="21"/>
        </w:rPr>
        <w:t xml:space="preserve">NFPA 75/76</w:t>
      </w:r>
      <w:r>
        <w:rPr>
          <w:sz w:val="21"/>
          <w:szCs w:val="21"/>
        </w:rPr>
        <w:t xml:space="preserve"> en cuanto a resistencia al fuego de la envolvente del cuarto (ver §2) y separación de cargas combustibles.</w:t>
      </w:r>
    </w:p>
    <w:p>
      <w:pPr>
        <w:pStyle w:val="Heading2"/>
        <w:spacing w:after="180" w:before="320"/>
      </w:pPr>
      <w:r>
        <w:t xml:space="preserve">6. Seguridad de acceso físico</w:t>
      </w:r>
    </w:p>
    <w:p>
      <w:pPr>
        <w:pStyle w:val="ListParagraph"/>
        <w:numPr>
          <w:ilvl w:val="0"/>
          <w:numId w:val="2"/>
        </w:numPr>
        <w:spacing w:after="80"/>
      </w:pPr>
      <w:r>
        <w:rPr>
          <w:b/>
          <w:bCs/>
          <w:sz w:val="21"/>
          <w:szCs w:val="21"/>
        </w:rPr>
        <w:t xml:space="preserve">Control de acceso multifactor</w:t>
      </w:r>
      <w:r>
        <w:rPr>
          <w:sz w:val="21"/>
          <w:szCs w:val="21"/>
        </w:rPr>
        <w:t xml:space="preserve">: tarjeta de proximidad + PIN como mínimo, con </w:t>
      </w:r>
      <w:r>
        <w:rPr>
          <w:b/>
          <w:bCs/>
          <w:sz w:val="21"/>
          <w:szCs w:val="21"/>
        </w:rPr>
        <w:t xml:space="preserve">biometría</w:t>
      </w:r>
      <w:r>
        <w:rPr>
          <w:sz w:val="21"/>
          <w:szCs w:val="21"/>
        </w:rPr>
        <w:t xml:space="preserve"> (huella o reconocimiento facial) como estándar objetivo del diseño de producción — es lo esperado en una instalación certificable como Tier IV, donde el acceso no autorizado es en sí mismo un riesgo de disponibilidad (sabotaje, error humano).</w:t>
      </w:r>
    </w:p>
    <w:p>
      <w:pPr>
        <w:pStyle w:val="ListParagraph"/>
        <w:numPr>
          <w:ilvl w:val="0"/>
          <w:numId w:val="2"/>
        </w:numPr>
        <w:spacing w:after="80"/>
      </w:pPr>
      <w:r>
        <w:rPr>
          <w:b/>
          <w:bCs/>
          <w:sz w:val="21"/>
          <w:szCs w:val="21"/>
        </w:rPr>
        <w:t xml:space="preserve">Antesala de acceso único (mantrap/interlocking doors)</w:t>
      </w:r>
      <w:r>
        <w:rPr>
          <w:sz w:val="21"/>
          <w:szCs w:val="21"/>
        </w:rPr>
        <w:t xml:space="preserve">: dos puertas en serie que nunca se abren simultáneamente, forzando el paso de una persona a la vez y evitando el </w:t>
      </w:r>
      <w:r>
        <w:rPr>
          <w:i/>
          <w:iCs/>
          <w:sz w:val="21"/>
          <w:szCs w:val="21"/>
        </w:rPr>
        <w:t xml:space="preserve">tailgating</w:t>
      </w:r>
      <w:r>
        <w:rPr>
          <w:sz w:val="21"/>
          <w:szCs w:val="21"/>
        </w:rPr>
        <w:t xml:space="preserve"> (que alguien no autorizado entre pegado a alguien que sí tiene acceso) — práctica típica en instalaciones Tier IV reales.</w:t>
      </w:r>
    </w:p>
    <w:p>
      <w:pPr>
        <w:pStyle w:val="ListParagraph"/>
        <w:numPr>
          <w:ilvl w:val="0"/>
          <w:numId w:val="2"/>
        </w:numPr>
        <w:spacing w:after="80"/>
      </w:pPr>
      <w:r>
        <w:rPr>
          <w:sz w:val="21"/>
          <w:szCs w:val="21"/>
        </w:rPr>
        <w:t xml:space="preserve">CCTV, bitácora de acceso y gestión de visitantes: ver 05-Politicas-Seguridad.md §2.</w:t>
      </w:r>
    </w:p>
    <w:p>
      <w:pPr>
        <w:pStyle w:val="Heading2"/>
        <w:spacing w:after="180" w:before="320"/>
      </w:pPr>
      <w:r>
        <w:t xml:space="preserve">7. Infraestructura estructural del cuarto</w:t>
      </w:r>
    </w:p>
    <w:p>
      <w:pPr>
        <w:pStyle w:val="ListParagraph"/>
        <w:numPr>
          <w:ilvl w:val="0"/>
          <w:numId w:val="2"/>
        </w:numPr>
        <w:spacing w:after="80"/>
      </w:pPr>
      <w:r>
        <w:rPr>
          <w:b/>
          <w:bCs/>
          <w:sz w:val="21"/>
          <w:szCs w:val="21"/>
        </w:rPr>
        <w:t xml:space="preserve">Piso elevado (raised floor)</w:t>
      </w:r>
      <w:r>
        <w:rPr>
          <w:sz w:val="21"/>
          <w:szCs w:val="21"/>
        </w:rPr>
        <w:t xml:space="preserve">: mínimo 60 cm de altura libre para distribución de aire frío y paso de cableado, con capacidad de carga puntual del orden de 1,000–1,250 kg/m² (rango típico exigido para racks cargados de equipo en un Data Center moderno) — cifra a confirmar con el fabricante de piso elevado elegido en la ingeniería de detalle.</w:t>
      </w:r>
    </w:p>
    <w:p>
      <w:pPr>
        <w:pStyle w:val="ListParagraph"/>
        <w:numPr>
          <w:ilvl w:val="0"/>
          <w:numId w:val="2"/>
        </w:numPr>
        <w:spacing w:after="80"/>
      </w:pPr>
      <w:r>
        <w:rPr>
          <w:sz w:val="21"/>
          <w:szCs w:val="21"/>
        </w:rPr>
        <w:t xml:space="preserve">Piso con acabado disipativo de estática (control ESD), baldosas perforadas dimensionadas y ubicadas frente a cada rack según el patrón de pasillo frío.</w:t>
      </w:r>
    </w:p>
    <w:p>
      <w:pPr>
        <w:pStyle w:val="ListParagraph"/>
        <w:numPr>
          <w:ilvl w:val="0"/>
          <w:numId w:val="2"/>
        </w:numPr>
        <w:spacing w:after="80"/>
      </w:pPr>
      <w:r>
        <w:rPr>
          <w:b/>
          <w:bCs/>
          <w:sz w:val="21"/>
          <w:szCs w:val="21"/>
        </w:rPr>
        <w:t xml:space="preserve">Puesta a tierra dedicada (TIA-607-C / J-STD-607-A)</w:t>
      </w:r>
      <w:r>
        <w:rPr>
          <w:sz w:val="21"/>
          <w:szCs w:val="21"/>
        </w:rPr>
        <w:t xml:space="preserve">: barra de tierra de telecomunicaciones (TGB) exclusiva del Data Center, separada de la tierra general del edificio pero bonded (enlazada) a ella en el punto único exigido por norma para evitar diferencias de potencial; resistencia objetivo </w:t>
      </w:r>
      <w:r>
        <w:rPr>
          <w:b/>
          <w:bCs/>
          <w:sz w:val="21"/>
          <w:szCs w:val="21"/>
        </w:rPr>
        <w:t xml:space="preserve">≤ 5 Ω</w:t>
      </w:r>
      <w:r>
        <w:rPr>
          <w:sz w:val="21"/>
          <w:szCs w:val="21"/>
        </w:rPr>
        <w:t xml:space="preserve">, verificada con telurómetro y remedida periódicamente (la resistencia de una puesta a tierra se degrada con el tiempo por corrosión/humedad del terreno). Conexiones de bonding preferentemente por soldadura exotérmica (tipo Cadweld) en vez de solo mecánicas, para minimizar el aumento de resistencia por corrosión en el punto de unión.</w:t>
      </w:r>
    </w:p>
    <w:p>
      <w:pPr>
        <w:pStyle w:val="ListParagraph"/>
        <w:numPr>
          <w:ilvl w:val="0"/>
          <w:numId w:val="2"/>
        </w:numPr>
        <w:spacing w:after="80"/>
      </w:pPr>
      <w:r>
        <w:rPr>
          <w:sz w:val="21"/>
          <w:szCs w:val="21"/>
        </w:rPr>
        <w:t xml:space="preserve">Protección contra sobretensión (TVSS) en la acometida eléctrica y, donde aplique, en las líneas de datos que salen del edificio.</w:t>
      </w:r>
    </w:p>
    <w:p>
      <w:pPr>
        <w:pStyle w:val="Heading2"/>
        <w:spacing w:after="180" w:before="320"/>
      </w:pPr>
      <w:r>
        <w:t xml:space="preserve">8. Aplicación al laboratorio de este proyecto (alcance real vs. diseño de producción)</w:t>
      </w:r>
    </w:p>
    <w:p>
      <w:pPr>
        <w:spacing w:after="160"/>
        <w:jc w:val="both"/>
      </w:pPr>
      <w:r>
        <w:rPr>
          <w:sz w:val="21"/>
          <w:szCs w:val="21"/>
        </w:rPr>
        <w:t xml:space="preserve">Construir un Data Center Tier 4 físico completo (2 UPS grandes, generador, 2 CRAC redundantes, mantrap biométrico) cuesta decenas de miles de quetzales y no es viable ni necesario para la demo académica. El entregable de esta fase es el </w:t>
      </w:r>
      <w:r>
        <w:rPr>
          <w:b/>
          <w:bCs/>
          <w:sz w:val="21"/>
          <w:szCs w:val="21"/>
        </w:rPr>
        <w:t xml:space="preserve">diseño de ingeniería completo</w:t>
      </w:r>
      <w:r>
        <w:rPr>
          <w:sz w:val="21"/>
          <w:szCs w:val="21"/>
        </w:rPr>
        <w:t xml:space="preserve"> (documento presente) — la tabla siguiente deja explícito qué se demuestra realmente en el laboratorio y qué queda como diseño documentado para cuando Virtual Solutions ejecute el proyecto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b/>
                <w:bCs/>
                <w:color w:val="FFFFFF"/>
                <w:sz w:val="19"/>
                <w:szCs w:val="19"/>
              </w:rPr>
              <w:t xml:space="preserve">Componente del diseño Tier 4</w:t>
            </w:r>
          </w:p>
        </w:tc>
        <w:tc>
          <w:tcPr>
            <w:tcW w:type="dxa" w:w="4680"/>
            <w:shd w:fill="1F3864" w:color="auto" w:val="clear"/>
            <w:tcMar>
              <w:top w:type="dxa" w:w="80"/>
              <w:left w:type="dxa" w:w="100"/>
              <w:bottom w:type="dxa" w:w="80"/>
              <w:right w:type="dxa" w:w="100"/>
            </w:tcMar>
            <w:vAlign w:val="center"/>
          </w:tcPr>
          <w:p>
            <w:r>
              <w:rPr>
                <w:b/>
                <w:bCs/>
                <w:color w:val="FFFFFF"/>
                <w:sz w:val="19"/>
                <w:szCs w:val="19"/>
              </w:rPr>
              <w:t xml:space="preserve">Tratamiento en el laboratorio de la Fase 4</w:t>
            </w:r>
          </w:p>
        </w:tc>
      </w:tr>
      <w:tr>
        <w:tc>
          <w:tcPr>
            <w:tcW w:type="dxa" w:w="4680"/>
            <w:tcMar>
              <w:top w:type="dxa" w:w="80"/>
              <w:left w:type="dxa" w:w="100"/>
              <w:bottom w:type="dxa" w:w="80"/>
              <w:right w:type="dxa" w:w="100"/>
            </w:tcMar>
            <w:vAlign w:val="center"/>
          </w:tcPr>
          <w:p>
            <w:r>
              <w:rPr>
                <w:b w:val="false"/>
                <w:bCs w:val="false"/>
                <w:sz w:val="19"/>
                <w:szCs w:val="19"/>
              </w:rPr>
              <w:t xml:space="preserve">Redundancia de energía 2N</w:t>
            </w:r>
          </w:p>
        </w:tc>
        <w:tc>
          <w:tcPr>
            <w:tcW w:type="dxa" w:w="4680"/>
            <w:tcMar>
              <w:top w:type="dxa" w:w="80"/>
              <w:left w:type="dxa" w:w="100"/>
              <w:bottom w:type="dxa" w:w="80"/>
              <w:right w:type="dxa" w:w="100"/>
            </w:tcMar>
            <w:vAlign w:val="center"/>
          </w:tcPr>
          <w:p>
            <w:r>
              <w:rPr>
                <w:b w:val="false"/>
                <w:bCs w:val="false"/>
                <w:sz w:val="19"/>
                <w:szCs w:val="19"/>
              </w:rPr>
              <w:t xml:space="preserve">1 UPS pequeño (line-interactive) protegiendo el servidor Proxmox y R1 — se documenta cómo escalaría a 2N en producción, no se construye</w:t>
            </w:r>
          </w:p>
        </w:tc>
      </w:tr>
      <w:tr>
        <w:tc>
          <w:tcPr>
            <w:tcW w:type="dxa" w:w="4680"/>
            <w:tcMar>
              <w:top w:type="dxa" w:w="80"/>
              <w:left w:type="dxa" w:w="100"/>
              <w:bottom w:type="dxa" w:w="80"/>
              <w:right w:type="dxa" w:w="100"/>
            </w:tcMar>
            <w:vAlign w:val="center"/>
          </w:tcPr>
          <w:p>
            <w:r>
              <w:rPr>
                <w:b w:val="false"/>
                <w:bCs w:val="false"/>
                <w:sz w:val="19"/>
                <w:szCs w:val="19"/>
              </w:rPr>
              <w:t xml:space="preserve">Redundancia de enfriamiento 2N</w:t>
            </w:r>
          </w:p>
        </w:tc>
        <w:tc>
          <w:tcPr>
            <w:tcW w:type="dxa" w:w="4680"/>
            <w:tcMar>
              <w:top w:type="dxa" w:w="80"/>
              <w:left w:type="dxa" w:w="100"/>
              <w:bottom w:type="dxa" w:w="80"/>
              <w:right w:type="dxa" w:w="100"/>
            </w:tcMar>
            <w:vAlign w:val="center"/>
          </w:tcPr>
          <w:p>
            <w:r>
              <w:rPr>
                <w:b w:val="false"/>
                <w:bCs w:val="false"/>
                <w:sz w:val="19"/>
                <w:szCs w:val="19"/>
              </w:rPr>
              <w:t xml:space="preserve">No aplica físicamente (laboratorio doméstico) — diseño documentado</w:t>
            </w:r>
          </w:p>
        </w:tc>
      </w:tr>
      <w:tr>
        <w:tc>
          <w:tcPr>
            <w:tcW w:type="dxa" w:w="4680"/>
            <w:tcMar>
              <w:top w:type="dxa" w:w="80"/>
              <w:left w:type="dxa" w:w="100"/>
              <w:bottom w:type="dxa" w:w="80"/>
              <w:right w:type="dxa" w:w="100"/>
            </w:tcMar>
            <w:vAlign w:val="center"/>
          </w:tcPr>
          <w:p>
            <w:r>
              <w:rPr>
                <w:b w:val="false"/>
                <w:bCs w:val="false"/>
                <w:sz w:val="19"/>
                <w:szCs w:val="19"/>
              </w:rPr>
              <w:t xml:space="preserve">Redundancia de conectividad WAN</w:t>
            </w:r>
          </w:p>
        </w:tc>
        <w:tc>
          <w:tcPr>
            <w:tcW w:type="dxa" w:w="4680"/>
            <w:tcMar>
              <w:top w:type="dxa" w:w="80"/>
              <w:left w:type="dxa" w:w="100"/>
              <w:bottom w:type="dxa" w:w="80"/>
              <w:right w:type="dxa" w:w="100"/>
            </w:tcMar>
            <w:vAlign w:val="center"/>
          </w:tcPr>
          <w:p>
            <w:r>
              <w:rPr>
                <w:b w:val="false"/>
                <w:bCs w:val="false"/>
                <w:sz w:val="19"/>
                <w:szCs w:val="19"/>
              </w:rPr>
              <w:t xml:space="preserve">Sí se implementa real</w:t>
            </w:r>
            <w:r>
              <w:rPr>
                <w:b w:val="false"/>
                <w:bCs w:val="false"/>
                <w:sz w:val="19"/>
                <w:szCs w:val="19"/>
              </w:rPr>
              <w:t xml:space="preserve">: 2 ISP con failover en R1</w:t>
            </w:r>
          </w:p>
        </w:tc>
      </w:tr>
      <w:tr>
        <w:tc>
          <w:tcPr>
            <w:tcW w:type="dxa" w:w="4680"/>
            <w:tcMar>
              <w:top w:type="dxa" w:w="80"/>
              <w:left w:type="dxa" w:w="100"/>
              <w:bottom w:type="dxa" w:w="80"/>
              <w:right w:type="dxa" w:w="100"/>
            </w:tcMar>
            <w:vAlign w:val="center"/>
          </w:tcPr>
          <w:p>
            <w:r>
              <w:rPr>
                <w:b w:val="false"/>
                <w:bCs w:val="false"/>
                <w:sz w:val="19"/>
                <w:szCs w:val="19"/>
              </w:rPr>
              <w:t xml:space="preserve">Redundancia de cómputo</w:t>
            </w:r>
          </w:p>
        </w:tc>
        <w:tc>
          <w:tcPr>
            <w:tcW w:type="dxa" w:w="4680"/>
            <w:tcMar>
              <w:top w:type="dxa" w:w="80"/>
              <w:left w:type="dxa" w:w="100"/>
              <w:bottom w:type="dxa" w:w="80"/>
              <w:right w:type="dxa" w:w="100"/>
            </w:tcMar>
            <w:vAlign w:val="center"/>
          </w:tcPr>
          <w:p>
            <w:r>
              <w:rPr>
                <w:b w:val="false"/>
                <w:bCs w:val="false"/>
                <w:sz w:val="19"/>
                <w:szCs w:val="19"/>
              </w:rPr>
              <w:t xml:space="preserve">Backups automatizados de VMs (Proxmox </w:t>
            </w:r>
            <w:r>
              <w:rPr>
                <w:rFonts w:ascii="Consolas" w:cs="Consolas" w:eastAsia="Consolas" w:hAnsi="Consolas"/>
                <w:b w:val="false"/>
                <w:bCs w:val="false"/>
                <w:sz w:val="19"/>
                <w:szCs w:val="19"/>
              </w:rPr>
              <w:t xml:space="preserve">vzdump</w:t>
            </w:r>
            <w:r>
              <w:rPr>
                <w:b w:val="false"/>
                <w:bCs w:val="false"/>
                <w:sz w:val="19"/>
                <w:szCs w:val="19"/>
              </w:rPr>
              <w:t xml:space="preserve">) como mitigación de tener 1 solo nodo físico</w:t>
            </w:r>
          </w:p>
        </w:tc>
      </w:tr>
      <w:tr>
        <w:tc>
          <w:tcPr>
            <w:tcW w:type="dxa" w:w="4680"/>
            <w:tcMar>
              <w:top w:type="dxa" w:w="80"/>
              <w:left w:type="dxa" w:w="100"/>
              <w:bottom w:type="dxa" w:w="80"/>
              <w:right w:type="dxa" w:w="100"/>
            </w:tcMar>
            <w:vAlign w:val="center"/>
          </w:tcPr>
          <w:p>
            <w:r>
              <w:rPr>
                <w:b w:val="false"/>
                <w:bCs w:val="false"/>
                <w:sz w:val="19"/>
                <w:szCs w:val="19"/>
              </w:rPr>
              <w:t xml:space="preserve">Control de acceso físico / mantrap</w:t>
            </w:r>
          </w:p>
        </w:tc>
        <w:tc>
          <w:tcPr>
            <w:tcW w:type="dxa" w:w="4680"/>
            <w:tcMar>
              <w:top w:type="dxa" w:w="80"/>
              <w:left w:type="dxa" w:w="100"/>
              <w:bottom w:type="dxa" w:w="80"/>
              <w:right w:type="dxa" w:w="100"/>
            </w:tcMar>
            <w:vAlign w:val="center"/>
          </w:tcPr>
          <w:p>
            <w:r>
              <w:rPr>
                <w:b w:val="false"/>
                <w:bCs w:val="false"/>
                <w:sz w:val="19"/>
                <w:szCs w:val="19"/>
              </w:rPr>
              <w:t xml:space="preserve">No aplica (laboratorio doméstico) — diseño documentado</w:t>
            </w:r>
          </w:p>
        </w:tc>
      </w:tr>
      <w:tr>
        <w:tc>
          <w:tcPr>
            <w:tcW w:type="dxa" w:w="4680"/>
            <w:tcMar>
              <w:top w:type="dxa" w:w="80"/>
              <w:left w:type="dxa" w:w="100"/>
              <w:bottom w:type="dxa" w:w="80"/>
              <w:right w:type="dxa" w:w="100"/>
            </w:tcMar>
            <w:vAlign w:val="center"/>
          </w:tcPr>
          <w:p>
            <w:r>
              <w:rPr>
                <w:b w:val="false"/>
                <w:bCs w:val="false"/>
                <w:sz w:val="19"/>
                <w:szCs w:val="19"/>
              </w:rPr>
              <w:t xml:space="preserve">Detección/extinción de incendio</w:t>
            </w:r>
          </w:p>
        </w:tc>
        <w:tc>
          <w:tcPr>
            <w:tcW w:type="dxa" w:w="4680"/>
            <w:tcMar>
              <w:top w:type="dxa" w:w="80"/>
              <w:left w:type="dxa" w:w="100"/>
              <w:bottom w:type="dxa" w:w="80"/>
              <w:right w:type="dxa" w:w="100"/>
            </w:tcMar>
            <w:vAlign w:val="center"/>
          </w:tcPr>
          <w:p>
            <w:r>
              <w:rPr>
                <w:b w:val="false"/>
                <w:bCs w:val="false"/>
                <w:sz w:val="19"/>
                <w:szCs w:val="19"/>
              </w:rPr>
              <w:t xml:space="preserve">No aplica (laboratorio doméstico) — diseño documentado</w:t>
            </w:r>
          </w:p>
        </w:tc>
      </w:tr>
    </w:tbl>
    <w:p>
      <w:pPr>
        <w:spacing w:after="200"/>
      </w:pPr>
    </w:p>
    <w:p>
      <w:pPr>
        <w:spacing w:after="160"/>
        <w:jc w:val="both"/>
      </w:pPr>
      <w:r>
        <w:rPr>
          <w:sz w:val="21"/>
          <w:szCs w:val="21"/>
        </w:rPr>
        <w:t xml:space="preserve">Esta distinción se deja explícita para que, ante el catedrático, quede claro qué se implementó realmente (código, VMs, red funcionando) y qué se entregó como diseño de ingeniería con memoria de cálculo — que es exactamente lo que pide el enunciado en este punto ("Diseño de Data Center según estándares"), sin exigir su construcción física.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Virtual Solutions — Fase 1: Diseño de Red Corporativa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Calibri" w:cs="Calibri" w:eastAsia="Calibri" w:hAnsi="Calibri"/>
      <w:b/>
      <w:bCs/>
      <w:color w:val="1F3864"/>
      <w:sz w:val="30"/>
      <w:szCs w:val="30"/>
    </w:rPr>
  </w:style>
  <w:style w:type="paragraph" w:styleId="Heading2">
    <w:name w:val="Heading 2"/>
    <w:basedOn w:val="Normal"/>
    <w:next w:val="Normal"/>
    <w:qFormat/>
    <w:pPr>
      <w:keepNext/>
      <w:spacing w:after="160" w:before="320"/>
    </w:pPr>
    <w:rPr>
      <w:rFonts w:ascii="Calibri" w:cs="Calibri" w:eastAsia="Calibri" w:hAnsi="Calibri"/>
      <w:b/>
      <w:bCs/>
      <w:color w:val="2E5395"/>
      <w:sz w:val="25"/>
      <w:szCs w:val="25"/>
    </w:rPr>
  </w:style>
  <w:style w:type="paragraph" w:styleId="Heading3">
    <w:name w:val="Heading 3"/>
    <w:basedOn w:val="Normal"/>
    <w:next w:val="Normal"/>
    <w:qFormat/>
    <w:pPr>
      <w:keepNext/>
      <w:spacing w:after="120" w:before="260"/>
    </w:pPr>
    <w:rPr>
      <w:rFonts w:ascii="Calibri" w:cs="Calibri" w:eastAsia="Calibri" w:hAnsi="Calibri"/>
      <w:b/>
      <w:bCs/>
      <w:color w:val="2E5395"/>
      <w:sz w:val="22"/>
      <w:szCs w:val="22"/>
    </w:rPr>
  </w:style>
  <w:style w:type="paragraph" w:styleId="Heading4">
    <w:name w:val="Heading 4"/>
    <w:basedOn w:val="Normal"/>
    <w:next w:val="Normal"/>
    <w:qFormat/>
    <w:pPr>
      <w:keepNext/>
      <w:spacing w:after="100" w:before="200"/>
    </w:pPr>
    <w:rPr>
      <w:rFonts w:ascii="Calibri" w:cs="Calibri" w:eastAsia="Calibri" w:hAnsi="Calibri"/>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b0e4db932b63a3866fc1b4aa06552a455383e8.png"/><Relationship Id="rId10" Type="http://schemas.openxmlformats.org/officeDocument/2006/relationships/image" Target="media/376cee081da213b2ba7357f5ff0bbc5212deb037.png"/><Relationship Id="rId11" Type="http://schemas.openxmlformats.org/officeDocument/2006/relationships/image" Target="media/23d118a8c83eed86e53fbec5f812214239ca2c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2026-08-22T04:47:38.018Z</dcterms:created>
  <dcterms:modified xsi:type="dcterms:W3CDTF">2026-08-22T04:47:38.023Z</dcterms:modified>
</cp:coreProperties>
</file>

<file path=docProps/custom.xml><?xml version="1.0" encoding="utf-8"?>
<Properties xmlns="http://schemas.openxmlformats.org/officeDocument/2006/custom-properties" xmlns:vt="http://schemas.openxmlformats.org/officeDocument/2006/docPropsVTypes"/>
</file>