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3. Same-data external baseline comparison</w:t>
      </w:r>
    </w:p>
    <w:p>
      <w:r>
        <w:t>Five-fold MAE mean ± sample SD. Lower is better. All methods share the current reconstructed data, target-specific labels and grouped outer folds.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Property</w:t>
            </w:r>
          </w:p>
        </w:tc>
        <w:tc>
          <w:tcPr>
            <w:tcW w:type="dxa" w:w="1234"/>
          </w:tcPr>
          <w:p>
            <w:r>
              <w:t>Poly-Prophet recomputed</w:t>
            </w:r>
          </w:p>
        </w:tc>
        <w:tc>
          <w:tcPr>
            <w:tcW w:type="dxa" w:w="1234"/>
          </w:tcPr>
          <w:p>
            <w:r>
              <w:t>Mean predictor</w:t>
            </w:r>
          </w:p>
        </w:tc>
        <w:tc>
          <w:tcPr>
            <w:tcW w:type="dxa" w:w="1234"/>
          </w:tcPr>
          <w:p>
            <w:r>
              <w:t>Morgan-Ridge</w:t>
            </w:r>
          </w:p>
        </w:tc>
        <w:tc>
          <w:tcPr>
            <w:tcW w:type="dxa" w:w="1234"/>
          </w:tcPr>
          <w:p>
            <w:r>
              <w:t>Morgan-RF</w:t>
            </w:r>
          </w:p>
        </w:tc>
        <w:tc>
          <w:tcPr>
            <w:tcW w:type="dxa" w:w="1234"/>
          </w:tcPr>
          <w:p>
            <w:r>
              <w:t>Chen 2021 RNN (transferred)</w:t>
            </w:r>
          </w:p>
        </w:tc>
        <w:tc>
          <w:tcPr>
            <w:tcW w:type="dxa" w:w="1234"/>
          </w:tcPr>
          <w:p>
            <w:r>
              <w:t>Zhang 2024 PU-GN (adapted)</w:t>
            </w:r>
          </w:p>
        </w:tc>
      </w:tr>
      <w:tr>
        <w:tc>
          <w:tcPr>
            <w:tcW w:type="dxa" w:w="1234"/>
          </w:tcPr>
          <w:p>
            <w:r>
              <w:t>Tg</w:t>
            </w:r>
          </w:p>
        </w:tc>
        <w:tc>
          <w:tcPr>
            <w:tcW w:type="dxa" w:w="1234"/>
          </w:tcPr>
          <w:p>
            <w:r>
              <w:t>53.4416 ± 4.79267</w:t>
            </w:r>
          </w:p>
        </w:tc>
        <w:tc>
          <w:tcPr>
            <w:tcW w:type="dxa" w:w="1234"/>
          </w:tcPr>
          <w:p>
            <w:r>
              <w:t>88.1043 ± 1.18048</w:t>
            </w:r>
          </w:p>
        </w:tc>
        <w:tc>
          <w:tcPr>
            <w:tcW w:type="dxa" w:w="1234"/>
          </w:tcPr>
          <w:p>
            <w:r>
              <w:t>55.3644 ± 1.98369</w:t>
            </w:r>
          </w:p>
        </w:tc>
        <w:tc>
          <w:tcPr>
            <w:tcW w:type="dxa" w:w="1234"/>
          </w:tcPr>
          <w:p>
            <w:r>
              <w:t>81.4634 ± 1.0399</w:t>
            </w:r>
          </w:p>
        </w:tc>
        <w:tc>
          <w:tcPr>
            <w:tcW w:type="dxa" w:w="1234"/>
          </w:tcPr>
          <w:p>
            <w:r>
              <w:t>52.6316 ± 2.63499</w:t>
            </w:r>
          </w:p>
        </w:tc>
        <w:tc>
          <w:tcPr>
            <w:tcW w:type="dxa" w:w="1234"/>
          </w:tcPr>
          <w:p>
            <w:r>
              <w:t>66.3929 ± 14.6393</w:t>
            </w:r>
          </w:p>
        </w:tc>
      </w:tr>
      <w:tr>
        <w:tc>
          <w:tcPr>
            <w:tcW w:type="dxa" w:w="1234"/>
          </w:tcPr>
          <w:p>
            <w:r>
              <w:t>FFV</w:t>
            </w:r>
          </w:p>
        </w:tc>
        <w:tc>
          <w:tcPr>
            <w:tcW w:type="dxa" w:w="1234"/>
          </w:tcPr>
          <w:p>
            <w:r>
              <w:t>0.00506851 ± 0.000312352</w:t>
            </w:r>
          </w:p>
        </w:tc>
        <w:tc>
          <w:tcPr>
            <w:tcW w:type="dxa" w:w="1234"/>
          </w:tcPr>
          <w:p>
            <w:r>
              <w:t>0.0205689 ± 0.000264578</w:t>
            </w:r>
          </w:p>
        </w:tc>
        <w:tc>
          <w:tcPr>
            <w:tcW w:type="dxa" w:w="1234"/>
          </w:tcPr>
          <w:p>
            <w:r>
              <w:t>0.00990288 ± 0.00021127</w:t>
            </w:r>
          </w:p>
        </w:tc>
        <w:tc>
          <w:tcPr>
            <w:tcW w:type="dxa" w:w="1234"/>
          </w:tcPr>
          <w:p>
            <w:r>
              <w:t>0.0154917 ± 0.000343747</w:t>
            </w:r>
          </w:p>
        </w:tc>
        <w:tc>
          <w:tcPr>
            <w:tcW w:type="dxa" w:w="1234"/>
          </w:tcPr>
          <w:p>
            <w:r>
              <w:t>0.00809984 ± 0.000308511</w:t>
            </w:r>
          </w:p>
        </w:tc>
        <w:tc>
          <w:tcPr>
            <w:tcW w:type="dxa" w:w="1234"/>
          </w:tcPr>
          <w:p>
            <w:r>
              <w:t>0.0122433 ± 0.000477035</w:t>
            </w:r>
          </w:p>
        </w:tc>
      </w:tr>
      <w:tr>
        <w:tc>
          <w:tcPr>
            <w:tcW w:type="dxa" w:w="1234"/>
          </w:tcPr>
          <w:p>
            <w:r>
              <w:t>Tc</w:t>
            </w:r>
          </w:p>
        </w:tc>
        <w:tc>
          <w:tcPr>
            <w:tcW w:type="dxa" w:w="1234"/>
          </w:tcPr>
          <w:p>
            <w:r>
              <w:t>0.0310845 ± 0.00290648</w:t>
            </w:r>
          </w:p>
        </w:tc>
        <w:tc>
          <w:tcPr>
            <w:tcW w:type="dxa" w:w="1234"/>
          </w:tcPr>
          <w:p>
            <w:r>
              <w:t>0.0773953 ± 0.00392048</w:t>
            </w:r>
          </w:p>
        </w:tc>
        <w:tc>
          <w:tcPr>
            <w:tcW w:type="dxa" w:w="1234"/>
          </w:tcPr>
          <w:p>
            <w:r>
              <w:t>0.0381504 ± 0.00339242</w:t>
            </w:r>
          </w:p>
        </w:tc>
        <w:tc>
          <w:tcPr>
            <w:tcW w:type="dxa" w:w="1234"/>
          </w:tcPr>
          <w:p>
            <w:r>
              <w:t>0.0647182 ± 0.00377153</w:t>
            </w:r>
          </w:p>
        </w:tc>
        <w:tc>
          <w:tcPr>
            <w:tcW w:type="dxa" w:w="1234"/>
          </w:tcPr>
          <w:p>
            <w:r>
              <w:t>0.0372754 ± 0.00688223</w:t>
            </w:r>
          </w:p>
        </w:tc>
        <w:tc>
          <w:tcPr>
            <w:tcW w:type="dxa" w:w="1234"/>
          </w:tcPr>
          <w:p>
            <w:r>
              <w:t>0.0441656 ± 0.00461336</w:t>
            </w:r>
          </w:p>
        </w:tc>
      </w:tr>
      <w:tr>
        <w:tc>
          <w:tcPr>
            <w:tcW w:type="dxa" w:w="1234"/>
          </w:tcPr>
          <w:p>
            <w:r>
              <w:t>Density</w:t>
            </w:r>
          </w:p>
        </w:tc>
        <w:tc>
          <w:tcPr>
            <w:tcW w:type="dxa" w:w="1234"/>
          </w:tcPr>
          <w:p>
            <w:r>
              <w:t>0.0283528 ± 0.00375812</w:t>
            </w:r>
          </w:p>
        </w:tc>
        <w:tc>
          <w:tcPr>
            <w:tcW w:type="dxa" w:w="1234"/>
          </w:tcPr>
          <w:p>
            <w:r>
              <w:t>0.109455 ± 0.004762</w:t>
            </w:r>
          </w:p>
        </w:tc>
        <w:tc>
          <w:tcPr>
            <w:tcW w:type="dxa" w:w="1234"/>
          </w:tcPr>
          <w:p>
            <w:r>
              <w:t>0.0531116 ± 0.00562407</w:t>
            </w:r>
          </w:p>
        </w:tc>
        <w:tc>
          <w:tcPr>
            <w:tcW w:type="dxa" w:w="1234"/>
          </w:tcPr>
          <w:p>
            <w:r>
              <w:t>0.103837 ± 0.00427553</w:t>
            </w:r>
          </w:p>
        </w:tc>
        <w:tc>
          <w:tcPr>
            <w:tcW w:type="dxa" w:w="1234"/>
          </w:tcPr>
          <w:p>
            <w:r>
              <w:t>0.0380184 ± 0.0109614</w:t>
            </w:r>
          </w:p>
        </w:tc>
        <w:tc>
          <w:tcPr>
            <w:tcW w:type="dxa" w:w="1234"/>
          </w:tcPr>
          <w:p>
            <w:r>
              <w:t>0.0679547 ± 0.0167819</w:t>
            </w:r>
          </w:p>
        </w:tc>
      </w:tr>
      <w:tr>
        <w:tc>
          <w:tcPr>
            <w:tcW w:type="dxa" w:w="1234"/>
          </w:tcPr>
          <w:p>
            <w:r>
              <w:t>Rg</w:t>
            </w:r>
          </w:p>
        </w:tc>
        <w:tc>
          <w:tcPr>
            <w:tcW w:type="dxa" w:w="1234"/>
          </w:tcPr>
          <w:p>
            <w:r>
              <w:t>1.40207 ± 0.143844</w:t>
            </w:r>
          </w:p>
        </w:tc>
        <w:tc>
          <w:tcPr>
            <w:tcW w:type="dxa" w:w="1234"/>
          </w:tcPr>
          <w:p>
            <w:r>
              <w:t>3.96293 ± 0.0557593</w:t>
            </w:r>
          </w:p>
        </w:tc>
        <w:tc>
          <w:tcPr>
            <w:tcW w:type="dxa" w:w="1234"/>
          </w:tcPr>
          <w:p>
            <w:r>
              <w:t>1.66112 ± 0.224365</w:t>
            </w:r>
          </w:p>
        </w:tc>
        <w:tc>
          <w:tcPr>
            <w:tcW w:type="dxa" w:w="1234"/>
          </w:tcPr>
          <w:p>
            <w:r>
              <w:t>3.56111 ± 0.090577</w:t>
            </w:r>
          </w:p>
        </w:tc>
        <w:tc>
          <w:tcPr>
            <w:tcW w:type="dxa" w:w="1234"/>
          </w:tcPr>
          <w:p>
            <w:r>
              <w:t>1.89917 ± 0.182123</w:t>
            </w:r>
          </w:p>
        </w:tc>
        <w:tc>
          <w:tcPr>
            <w:tcW w:type="dxa" w:w="1234"/>
          </w:tcPr>
          <w:p>
            <w:r>
              <w:t>2.21468 ± 0.178176</w:t>
            </w:r>
          </w:p>
        </w:tc>
      </w:tr>
    </w:tbl>
    <w:p>
      <w:r>
        <w:t>Chen et al. (2021), DOI 10.3390/polym13111898: downloaded original model factory, published optimal architecture, Keras 3 torch backend; training-only vocabulary and target scaling; nested early stopping and outer refit. Tg is the original task; the other four targets are method transfers.</w:t>
      </w:r>
    </w:p>
    <w:p>
      <w:r>
        <w:t>Zhang et al. (2024), DOI 10.1021/acs.jctc.3c01385: author-team Polymer-Unit Graph code adapted to current regression tasks. PURS decomposition failed for 2236/8972 structures, which use a whole-repeat-unit MACCS node. Rates vary by target and are detailed in the protocol and conversion audit. This is exploratory adapted author code, not exact paper reproduction.</w:t>
      </w:r>
    </w:p>
    <w:p>
      <w:r>
        <w:t>RF uses a restricted search (leaf sizes 50,200) and is preliminary. Methods have different documented training budgets. Paired bootstrap confidence intervals describe conditional OOF error differences with fixed trained models; they do not cover retraining randomness or corrected multiple testing and are not proof of algorithm-wide significance.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