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CU11 — Notificar Disponibilidad al Paciente</w:t>
      </w:r>
    </w:p>
    <w:p>
      <w:pPr>
        <w:pStyle w:val="Meta"/>
      </w:pPr>
      <w:r>
        <w:t>Versión 2.0  •  26 de octubre de 2026  •  Alineado a matriz V3 y decisiones confirmadas  •  Estado: base documentada con pendientes explícitos</w:t>
      </w:r>
    </w:p>
    <w:p>
      <w:pPr>
        <w:pStyle w:val="Heading1"/>
      </w:pPr>
      <w:r>
        <w:t>1. Identificación y alcance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7324D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997"/>
            <w:shd w:fill="17324D"/>
          </w:tcPr>
          <w:p>
            <w:r>
              <w:rPr>
                <w:b/>
                <w:color w:val="FFFFFF"/>
                <w:sz w:val="16"/>
              </w:rPr>
              <w:t>Definición</w:t>
            </w:r>
          </w:p>
        </w:tc>
      </w:tr>
      <w:tr>
        <w:trPr>
          <w:cantSplit/>
        </w:trPr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BUC</w:t>
            </w:r>
          </w:p>
        </w:tc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BUC03 — Elaboración de Orden de Trabajo</w:t>
            </w:r>
          </w:p>
        </w:tc>
      </w:tr>
      <w:tr>
        <w:trPr>
          <w:cantSplit/>
        </w:trPr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Caso de uso</w:t>
            </w:r>
          </w:p>
        </w:tc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CU11 — Notificar Disponibilidad al Paciente</w:t>
            </w:r>
          </w:p>
        </w:tc>
      </w:tr>
      <w:tr>
        <w:trPr>
          <w:cantSplit/>
        </w:trPr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Tipo</w:t>
            </w:r>
          </w:p>
        </w:tc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Esencial y secundario</w:t>
            </w:r>
          </w:p>
        </w:tc>
      </w:tr>
      <w:tr>
        <w:trPr>
          <w:cantSplit/>
        </w:trPr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Actor principal</w:t>
            </w:r>
          </w:p>
        </w:tc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Vendedor</w:t>
            </w:r>
          </w:p>
        </w:tc>
      </w:tr>
      <w:tr>
        <w:trPr>
          <w:cantSplit/>
        </w:trPr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Actores / interacciones secundarios</w:t>
            </w:r>
          </w:p>
        </w:tc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Sistema realiza envío automático solo si existe integración habilitada y aprobada; paciente es receptor</w:t>
            </w:r>
          </w:p>
        </w:tc>
      </w:tr>
      <w:tr>
        <w:trPr>
          <w:cantSplit/>
        </w:trPr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Referencias</w:t>
            </w:r>
          </w:p>
        </w:tc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RF-63, RF-64; transición a «Listo para entrega» sin código RF</w:t>
            </w:r>
          </w:p>
        </w:tc>
      </w:tr>
      <w:tr>
        <w:trPr>
          <w:cantSplit/>
        </w:trPr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Fuente</w:t>
            </w:r>
          </w:p>
        </w:tc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3. Plantilla de requerimientos V3 (7).xlsx, hoja «2. REQ FUNCIONALES», filas 48–59; documentos previos BUC03 en Google Drive; decisiones del equipo del 26/10/2026.</w:t>
            </w:r>
          </w:p>
        </w:tc>
      </w:tr>
    </w:tbl>
    <w:p/>
    <w:p>
      <w:r>
        <w:t>Comunicar al paciente que el pedido está listo, ya sea mediante intervención manual del vendedor o mediante un mecanismo automático configurado, guardando trazabilidad del resultado.</w:t>
      </w:r>
    </w:p>
    <w:p>
      <w:pPr>
        <w:pStyle w:val="Heading1"/>
      </w:pPr>
      <w:r>
        <w:t>2. Reglas de negocio relacionadas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7324D"/>
          </w:tcPr>
          <w:p>
            <w:r>
              <w:rPr>
                <w:b/>
                <w:color w:val="FFFFFF"/>
                <w:sz w:val="16"/>
              </w:rPr>
              <w:t>Código de trabajo</w:t>
            </w:r>
          </w:p>
        </w:tc>
        <w:tc>
          <w:tcPr>
            <w:tcW w:type="dxa" w:w="4997"/>
            <w:shd w:fill="17324D"/>
          </w:tcPr>
          <w:p>
            <w:r>
              <w:rPr>
                <w:b/>
                <w:color w:val="FFFFFF"/>
                <w:sz w:val="16"/>
              </w:rPr>
              <w:t>Regla / origen</w:t>
            </w:r>
          </w:p>
        </w:tc>
      </w:tr>
      <w:tr>
        <w:trPr>
          <w:cantSplit/>
        </w:trPr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RN-BUC03-07</w:t>
            </w:r>
          </w:p>
        </w:tc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Solo un control de calidad aprobado permite establecer «Listo para entrega».  [Origen: Fila 56 sin RF + decisión confirmada]</w:t>
            </w:r>
          </w:p>
        </w:tc>
      </w:tr>
      <w:tr>
        <w:trPr>
          <w:cantSplit/>
        </w:trPr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RN-BUC03-08</w:t>
            </w:r>
          </w:p>
        </w:tc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Se admiten notificaciones manuales y automáticas por WhatsApp; debe persistirse el intento o la constancia, sin equiparar intento con entrega efectiva del mensaje.  [Origen: RF-63–64 + decisión confirmada]</w:t>
            </w:r>
          </w:p>
        </w:tc>
      </w:tr>
      <w:tr>
        <w:trPr>
          <w:cantSplit/>
        </w:trPr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RN-BUC03-09</w:t>
            </w:r>
          </w:p>
        </w:tc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Una notificación manual no se registra como enviada/realizada sin confirmación del vendedor.  [Origen: Control de integridad propuesto; pendiente de ratificar]</w:t>
            </w:r>
          </w:p>
        </w:tc>
      </w:tr>
    </w:tbl>
    <w:p/>
    <w:p>
      <w:pPr>
        <w:pStyle w:val="Heading1"/>
      </w:pPr>
      <w:r>
        <w:t>3. Requerimientos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7324D"/>
          </w:tcPr>
          <w:p>
            <w:r>
              <w:rPr>
                <w:b/>
                <w:color w:val="FFFFFF"/>
                <w:sz w:val="16"/>
              </w:rPr>
              <w:t>Código matriz</w:t>
            </w:r>
          </w:p>
        </w:tc>
        <w:tc>
          <w:tcPr>
            <w:tcW w:type="dxa" w:w="4997"/>
            <w:shd w:fill="17324D"/>
          </w:tcPr>
          <w:p>
            <w:r>
              <w:rPr>
                <w:b/>
                <w:color w:val="FFFFFF"/>
                <w:sz w:val="16"/>
              </w:rPr>
              <w:t>Descripción normalizada desde la matriz</w:t>
            </w:r>
          </w:p>
        </w:tc>
      </w:tr>
      <w:tr>
        <w:trPr>
          <w:cantSplit/>
        </w:trPr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SIN CÓDIGO</w:t>
            </w:r>
          </w:p>
        </w:tc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Actualizar el pedido a «Listo para entrega» después de aprobar el control de calidad.</w:t>
            </w:r>
          </w:p>
        </w:tc>
      </w:tr>
      <w:tr>
        <w:trPr>
          <w:cantSplit/>
        </w:trPr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RF-63</w:t>
            </w:r>
          </w:p>
        </w:tc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Permitir mandar una notificación vía WhatsApp al cliente.</w:t>
            </w:r>
          </w:p>
        </w:tc>
      </w:tr>
      <w:tr>
        <w:trPr>
          <w:cantSplit/>
        </w:trPr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RF-64</w:t>
            </w:r>
          </w:p>
        </w:tc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Registrar que se notificó al cliente.</w:t>
            </w:r>
          </w:p>
        </w:tc>
      </w:tr>
    </w:tbl>
    <w:p/>
    <w:p>
      <w:pPr>
        <w:pStyle w:val="Heading1"/>
      </w:pPr>
      <w:r>
        <w:t>4. Precondiciones</w:t>
      </w:r>
    </w:p>
    <w:p>
      <w:r>
        <w:t>1. Pedido con control de calidad aprobado.</w:t>
      </w:r>
    </w:p>
    <w:p>
      <w:r>
        <w:t>2. El sistema lo identifica como «Listo para entrega» (transición automática posterior a aprobación conforme a fila 56, aún sin código).</w:t>
      </w:r>
    </w:p>
    <w:p>
      <w:r>
        <w:t>3. Existe un medio de contacto válido para el canal elegido, o se informa la imposibilidad de notificar.</w:t>
      </w:r>
    </w:p>
    <w:p>
      <w:r>
        <w:t>4. Para la modalidad automática, integración/credenciales y autorización previamente configuradas; proveedor no definido.</w:t>
      </w:r>
    </w:p>
    <w:p>
      <w:pPr>
        <w:pStyle w:val="Heading1"/>
      </w:pPr>
      <w:r>
        <w:t>5. Postcondiciones</w:t>
      </w:r>
    </w:p>
    <w:p>
      <w:r>
        <w:t>1. Se conserva estado «Listo para entrega» independientemente del resultado de mensajería.</w:t>
      </w:r>
    </w:p>
    <w:p>
      <w:r>
        <w:t>2. Registro de modalidad manual/automática, fecha/hora, responsable o proceso ejecutor, resultado reportado y canal WhatsApp.</w:t>
      </w:r>
    </w:p>
    <w:p>
      <w:r>
        <w:t>3. Un intento fallido no debe registrarse falsamente como mensaje entregado; la confirmación de lectura no se presume.</w:t>
      </w:r>
    </w:p>
    <w:p>
      <w:pPr>
        <w:pStyle w:val="Heading1"/>
      </w:pPr>
      <w:r>
        <w:t>6. Flujo normal de eventos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498"/>
            <w:shd w:fill="17324D"/>
          </w:tcPr>
          <w:p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2498"/>
            <w:shd w:fill="17324D"/>
          </w:tcPr>
          <w:p>
            <w:r>
              <w:rPr>
                <w:b/>
                <w:color w:val="FFFFFF"/>
                <w:sz w:val="16"/>
              </w:rPr>
              <w:t>Acción del actor / disparador</w:t>
            </w:r>
          </w:p>
        </w:tc>
        <w:tc>
          <w:tcPr>
            <w:tcW w:type="dxa" w:w="2498"/>
            <w:shd w:fill="17324D"/>
          </w:tcPr>
          <w:p>
            <w:r>
              <w:rPr>
                <w:b/>
                <w:color w:val="FFFFFF"/>
                <w:sz w:val="16"/>
              </w:rPr>
              <w:t>Respuesta del sistema</w:t>
            </w:r>
          </w:p>
        </w:tc>
        <w:tc>
          <w:tcPr>
            <w:tcW w:type="dxa" w:w="2498"/>
            <w:shd w:fill="17324D"/>
          </w:tcPr>
          <w:p>
            <w:r>
              <w:rPr>
                <w:b/>
                <w:color w:val="FFFFFF"/>
                <w:sz w:val="16"/>
              </w:rPr>
              <w:t>Rastreo</w:t>
            </w:r>
          </w:p>
        </w:tc>
      </w:tr>
      <w:tr>
        <w:trPr>
          <w:cantSplit/>
        </w:trPr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1</w:t>
            </w:r>
          </w:p>
        </w:tc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CU10 finaliza con control aprobado.</w:t>
            </w:r>
          </w:p>
        </w:tc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El sistema actualiza el pedido a «Listo para entrega» (requisito sin código), habilitando CU11.</w:t>
            </w:r>
          </w:p>
        </w:tc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Fila 56 sin código</w:t>
            </w:r>
          </w:p>
        </w:tc>
      </w:tr>
      <w:tr>
        <w:trPr>
          <w:cantSplit/>
        </w:trPr>
        <w:tc>
          <w:tcPr>
            <w:tcW w:type="dxa" w:w="2498"/>
          </w:tcPr>
          <w:p>
            <w:pPr>
              <w:spacing w:after="40"/>
            </w:pPr>
            <w:r>
              <w:rPr>
                <w:sz w:val="15"/>
              </w:rPr>
              <w:t>2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5"/>
              </w:rPr>
              <w:t>Vendedor consulta los pedidos listos y selecciona uno.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5"/>
              </w:rPr>
              <w:t>Muestra paciente, contacto disponible, estado de notificación y controles de acceso.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5"/>
              </w:rPr>
              <w:t>RF-63/64</w:t>
            </w:r>
          </w:p>
        </w:tc>
      </w:tr>
      <w:tr>
        <w:trPr>
          <w:cantSplit/>
        </w:trPr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3</w:t>
            </w:r>
          </w:p>
        </w:tc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Vendedor elige modalidad de comunicación manual o automática habilitada.</w:t>
            </w:r>
          </w:p>
        </w:tc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Muestra opciones disponibles según la configuración y ejecuta SF11-01 o SF11-02.</w:t>
            </w:r>
          </w:p>
        </w:tc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RF-63/64</w:t>
            </w:r>
          </w:p>
        </w:tc>
      </w:tr>
      <w:tr>
        <w:trPr>
          <w:cantSplit/>
        </w:trPr>
        <w:tc>
          <w:tcPr>
            <w:tcW w:type="dxa" w:w="2498"/>
          </w:tcPr>
          <w:p>
            <w:pPr>
              <w:spacing w:after="40"/>
            </w:pPr>
            <w:r>
              <w:rPr>
                <w:sz w:val="15"/>
              </w:rPr>
              <w:t>4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5"/>
              </w:rPr>
              <w:t>Vendedor verifica el resultado o confirma la gestión manual efectuada.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5"/>
              </w:rPr>
              <w:t>Ejecuta SF11-03; guarda evento de notificación y su estado real comprobable.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5"/>
              </w:rPr>
              <w:t>RF-64</w:t>
            </w:r>
          </w:p>
        </w:tc>
      </w:tr>
      <w:tr>
        <w:trPr>
          <w:cantSplit/>
        </w:trPr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5</w:t>
            </w:r>
          </w:p>
        </w:tc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Vendedor vuelve al listado.</w:t>
            </w:r>
          </w:p>
        </w:tc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Muestra el pedido disponible y el historial de intentos/constancias.</w:t>
            </w:r>
          </w:p>
        </w:tc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RF-64</w:t>
            </w:r>
          </w:p>
        </w:tc>
      </w:tr>
    </w:tbl>
    <w:p/>
    <w:p>
      <w:pPr>
        <w:pStyle w:val="Heading1"/>
      </w:pPr>
      <w:r>
        <w:t>7. Subflujos</w:t>
      </w:r>
    </w:p>
    <w:p>
      <w:pPr>
        <w:pStyle w:val="Heading2"/>
      </w:pPr>
      <w:r>
        <w:t>SF11-01 — Notificación manual por WhatsApp</w:t>
      </w:r>
    </w:p>
    <w:p>
      <w:r>
        <w:t>1. El vendedor revisa número y contenido a comunicar, y realiza el contacto mediante canal WhatsApp aprobado.</w:t>
      </w:r>
    </w:p>
    <w:p>
      <w:r>
        <w:t>2. El sistema puede ayudar a preparar el mensaje, sin asumir que abrir una ventana o enlace equivale a envío exitoso.</w:t>
      </w:r>
    </w:p>
    <w:p>
      <w:r>
        <w:t>3. El vendedor confirma explícitamente que realizó la notificación; se registra el evento como manual, con observación si corresponde.</w:t>
      </w:r>
    </w:p>
    <w:p>
      <w:pPr>
        <w:pStyle w:val="Heading2"/>
      </w:pPr>
      <w:r>
        <w:t>SF11-02 — Notificación automática por WhatsApp</w:t>
      </w:r>
    </w:p>
    <w:p>
      <w:r>
        <w:t>1. Una acción habilitada inicia el intento automático según el disparador que el equipo defina (pendiente).</w:t>
      </w:r>
    </w:p>
    <w:p>
      <w:r>
        <w:t>2. El backend llama a la integración de mensajería solo si está configurada y obtiene la respuesta técnica disponible.</w:t>
      </w:r>
    </w:p>
    <w:p>
      <w:r>
        <w:t>3. Se guarda intento, referencia de envío si existe y estado recibido (por ejemplo: pendiente, aceptado, fallido); NO se asume «entregado» ni «leído» sin confirmación externa.</w:t>
      </w:r>
    </w:p>
    <w:p>
      <w:pPr>
        <w:pStyle w:val="Heading2"/>
      </w:pPr>
      <w:r>
        <w:t>SF11-03 — Registrar y consultar constancia</w:t>
      </w:r>
    </w:p>
    <w:p>
      <w:r>
        <w:t>1. Verificar modalidad, pedido, número/canal y evidencia disponible del contacto.</w:t>
      </w:r>
    </w:p>
    <w:p>
      <w:r>
        <w:t>2. Persistir fecha/hora, actor o proceso responsable y resultado de forma auditable.</w:t>
      </w:r>
    </w:p>
    <w:p>
      <w:r>
        <w:t>3. Mostrar al vendedor el resultado y permitir identificar fallas sin duplicar constancias como si fueran envíos nuevos.</w:t>
      </w:r>
    </w:p>
    <w:p>
      <w:pPr>
        <w:pStyle w:val="Heading1"/>
      </w:pPr>
      <w:r>
        <w:t>8. Flujos alternativos y excepciones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7324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331"/>
            <w:shd w:fill="17324D"/>
          </w:tcPr>
          <w:p>
            <w:r>
              <w:rPr>
                <w:b/>
                <w:color w:val="FFFFFF"/>
                <w:sz w:val="16"/>
              </w:rPr>
              <w:t>Condición</w:t>
            </w:r>
          </w:p>
        </w:tc>
        <w:tc>
          <w:tcPr>
            <w:tcW w:type="dxa" w:w="3331"/>
            <w:shd w:fill="17324D"/>
          </w:tcPr>
          <w:p>
            <w:r>
              <w:rPr>
                <w:b/>
                <w:color w:val="FFFFFF"/>
                <w:sz w:val="16"/>
              </w:rPr>
              <w:t>Comportamiento esperado</w:t>
            </w:r>
          </w:p>
        </w:tc>
      </w:tr>
      <w:tr>
        <w:trPr>
          <w:cantSplit/>
        </w:trPr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FA11-01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Control no aprobado o pedido no listo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Bloquear notificación de disponibilidad.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FA11-02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Falta teléfono/WhatsApp utilizable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Mostrar advertencia, conservar pedido listo y registrar incidencia, no envío exitoso.</w:t>
            </w:r>
          </w:p>
        </w:tc>
      </w:tr>
      <w:tr>
        <w:trPr>
          <w:cantSplit/>
        </w:trPr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FA11-03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Integración automática no configurada o error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Registrar pendiente/fallido; permitir modalidad manual sin afirmar envío automático exitoso.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FA11-04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El vendedor no confirma notificación manual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No dar el evento por notificado; no inferir envío por abrir enlace.</w:t>
            </w:r>
          </w:p>
        </w:tc>
      </w:tr>
      <w:tr>
        <w:trPr>
          <w:cantSplit/>
        </w:trPr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FA11-05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Existe notificación previa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Advertir o mostrar historial; política de reenvíos aún pendiente.</w:t>
            </w:r>
          </w:p>
        </w:tc>
      </w:tr>
    </w:tbl>
    <w:p/>
    <w:p>
      <w:pPr>
        <w:pStyle w:val="Heading1"/>
      </w:pPr>
      <w:r>
        <w:t>9. Criterios de aceptación verificables</w:t>
      </w:r>
    </w:p>
    <w:p>
      <w:r>
        <w:t>1. Un pedido no aprobado no aparece como disponible para notificar.</w:t>
      </w:r>
    </w:p>
    <w:p>
      <w:r>
        <w:t>2. Se distinguen modalidades manual/automática y estados de intento.</w:t>
      </w:r>
    </w:p>
    <w:p>
      <w:r>
        <w:t>3. Si falla API o falta número, el pedido sigue «Listo para entrega» y se reporta falla de notificación.</w:t>
      </w:r>
    </w:p>
    <w:p>
      <w:r>
        <w:t>4. La modalidad manual requiere confirmación para constar como efectuada.</w:t>
      </w:r>
    </w:p>
    <w:p>
      <w:r>
        <w:t>5. No se documenta SMS como canal confirmado en esta versión.</w:t>
      </w:r>
    </w:p>
    <w:p>
      <w:pPr>
        <w:pStyle w:val="Heading1"/>
      </w:pPr>
      <w:r>
        <w:t>10. Integraciones y límites del caso</w:t>
      </w:r>
    </w:p>
    <w:p>
      <w:r>
        <w:t>CU10 aprobó; datos de contacto del paciente; WhatsApp manual; eventual proveedor/API externa por decidir; seguridad y auditoría.</w:t>
      </w:r>
    </w:p>
    <w:p>
      <w:pPr>
        <w:pStyle w:val="Heading1"/>
      </w:pPr>
      <w:r>
        <w:t>11. Restricciones no funcionales / seguridad</w:t>
      </w:r>
    </w:p>
    <w:p>
      <w:r>
        <w:t>1. Requiere sesión autenticada y permiso asociado al actor autorizado; no confiar en validación exclusiva del frontend.</w:t>
      </w:r>
    </w:p>
    <w:p>
      <w:r>
        <w:t>2. Acciones sensibles deben permitir reconstruir quién realizó qué operación y cuándo; esquema técnico de auditoría por corroborar contra DDL.</w:t>
      </w:r>
    </w:p>
    <w:p>
      <w:r>
        <w:t>3. No imponer el objetivo histórico de 3 segundos como requisito normativo hasta corroborar su vigencia en la matriz RNF actual.</w:t>
      </w:r>
    </w:p>
    <w:p>
      <w:r>
        <w:t>4. Las operaciones que modifican estado deben ser consistentes: si falla el registro, no se anuncia una transición exitosa.</w:t>
      </w:r>
    </w:p>
    <w:p>
      <w:pPr>
        <w:pStyle w:val="Heading1"/>
      </w:pPr>
      <w:r>
        <w:t>12. Checklist de consistencia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7324D"/>
          </w:tcPr>
          <w:p>
            <w:r>
              <w:rPr>
                <w:b/>
                <w:color w:val="FFFFFF"/>
                <w:sz w:val="16"/>
              </w:rPr>
              <w:t>Ítem</w:t>
            </w:r>
          </w:p>
        </w:tc>
        <w:tc>
          <w:tcPr>
            <w:tcW w:type="dxa" w:w="3331"/>
            <w:shd w:fill="17324D"/>
          </w:tcPr>
          <w:p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3331"/>
            <w:shd w:fill="17324D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1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Nombre verbo + objeto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Documentado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2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Actores y permisos coherentes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Documentado</w:t>
            </w:r>
          </w:p>
        </w:tc>
      </w:tr>
      <w:tr>
        <w:trPr>
          <w:cantSplit/>
        </w:trPr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3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Pre/postcondiciones explícitas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Documentado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4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Flujo principal trazado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Documentado</w:t>
            </w:r>
          </w:p>
        </w:tc>
      </w:tr>
      <w:tr>
        <w:trPr>
          <w:cantSplit/>
        </w:trPr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5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Alternativos y subflujos identificados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Documentado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6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RF asociados a matriz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Documentado</w:t>
            </w:r>
          </w:p>
        </w:tc>
      </w:tr>
      <w:tr>
        <w:trPr>
          <w:cantSplit/>
        </w:trPr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7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Casos de error y criterios comprobables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Documentado</w:t>
            </w:r>
          </w:p>
        </w:tc>
      </w:tr>
    </w:tbl>
    <w:p/>
    <w:p>
      <w:pPr>
        <w:pStyle w:val="Heading1"/>
      </w:pPr>
      <w:r>
        <w:t>13. Pendientes y observaciones</w:t>
      </w:r>
    </w:p>
    <w:p>
      <w:r>
        <w:t>P-01. Falta asignar código RF a la transición «Listo para entrega» (fila 56) y vincularla oficialmente al CU correspondiente. Acción documental: No se creó identificador definitivo.</w:t>
      </w:r>
    </w:p>
    <w:p>
      <w:r>
        <w:t>P-03. No se ha identificado proveedor de WhatsApp, API, costos, plantillas ni evidencia de entrega; tampoco se definió disparador automático. Acción documental: La documentación contempla ambos canales operativos, pero no promete automatización lista.</w:t>
      </w:r>
    </w:p>
    <w:p>
      <w:r>
        <w:t>P-07. No está definido si enviar notificación es obligatorio antes de entregar, o si se permite reenvío, ni cómo identificar duplicados. Acción documental: No se bloquea la entrega por falta de notificación.</w:t>
      </w:r>
    </w:p>
    <w:p>
      <w:pPr>
        <w:pStyle w:val="Meta"/>
      </w:pPr>
      <w:r>
        <w:t>Prototipo histórico de referencia: https://www.figma.com/design/evyHf4riGduIWpYBgxTKtp/Prototipo-Geo-VIsion  (requiere contrastar pantallas con versión actual).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5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  <w:jc w:val="right"/>
    </w:pPr>
    <w:r>
      <w:t xml:space="preserve">Versión 2.0 · 26 de octubre de 2026     ·  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</w:pPr>
    <w:r>
      <w:t>GEO VISIÓN  |  BUC03  |  ELABORACIÓN DE ORDEN DE TRABAJO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732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rPr>
      <w:rFonts w:ascii="Aptos" w:hAnsi="Aptos"/>
      <w:color w:val="53647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