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CU9 — Generar Orden de Trabajo</w:t>
      </w:r>
    </w:p>
    <w:p>
      <w:pPr>
        <w:pStyle w:val="Meta"/>
      </w:pPr>
      <w:r>
        <w:t>Versión 2.0  •  26 de octubre de 2026  •  Alineado a matriz V3 y decisiones confirmadas  •  Estado: base documentada con pendientes explícitos</w:t>
      </w:r>
    </w:p>
    <w:p>
      <w:pPr>
        <w:pStyle w:val="Heading1"/>
      </w:pPr>
      <w:r>
        <w:t>1. Identificación y alcance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7324D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97"/>
            <w:shd w:fill="17324D"/>
          </w:tcPr>
          <w:p>
            <w:r>
              <w:rPr>
                <w:b/>
                <w:color w:val="FFFFFF"/>
                <w:sz w:val="16"/>
              </w:rPr>
              <w:t>Definición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BUC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BUC03 — Elaboración de Orden de Trabajo</w:t>
            </w:r>
          </w:p>
        </w:tc>
      </w:tr>
      <w:tr>
        <w:trPr>
          <w:cantSplit/>
        </w:trPr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Caso de uso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CU9 — Generar Orden de Trabajo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Tipo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Esencial y primario</w:t>
            </w:r>
          </w:p>
        </w:tc>
      </w:tr>
      <w:tr>
        <w:trPr>
          <w:cantSplit/>
        </w:trPr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Actor principal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Dueño / Técnico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Actores / interacciones secundarios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Vendedor durante envío/recepción; laboratorio externo sin acceso directo confirmado</w:t>
            </w:r>
          </w:p>
        </w:tc>
      </w:tr>
      <w:tr>
        <w:trPr>
          <w:cantSplit/>
        </w:trPr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Referencias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RF-55, RF-56, RF-57, RF-58 y RF-59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Fuente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3. Plantilla de requerimientos V3 (7).xlsx, hoja «2. REQ FUNCIONALES», filas 48–59; documentos previos BUC03 en Google Drive; decisiones del equipo del 26/10/2026.</w:t>
            </w:r>
          </w:p>
        </w:tc>
      </w:tr>
    </w:tbl>
    <w:p/>
    <w:p>
      <w:r>
        <w:t>Gestionar la generación de la OT desde un pedido pendiente, su envío al laboratorio externo y la recepción del producto terminado, sin confundir estos hitos con una sola transacción.</w:t>
      </w:r>
    </w:p>
    <w:p>
      <w:pPr>
        <w:pStyle w:val="Heading1"/>
      </w:pPr>
      <w:r>
        <w:t>2. Reglas de negocio relacionadas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7324D"/>
          </w:tcPr>
          <w:p>
            <w:r>
              <w:rPr>
                <w:b/>
                <w:color w:val="FFFFFF"/>
                <w:sz w:val="16"/>
              </w:rPr>
              <w:t>Código de trabajo</w:t>
            </w:r>
          </w:p>
        </w:tc>
        <w:tc>
          <w:tcPr>
            <w:tcW w:type="dxa" w:w="4997"/>
            <w:shd w:fill="17324D"/>
          </w:tcPr>
          <w:p>
            <w:r>
              <w:rPr>
                <w:b/>
                <w:color w:val="FFFFFF"/>
                <w:sz w:val="16"/>
              </w:rPr>
              <w:t>Regla / origen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RN-BUC03-01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La OT se genera a partir de un pedido elegible «Pendiente de OT», con receta, datos del paciente y especificaciones ópticas disponibles.  [Origen: Matriz RF-55–56 + documento previo]</w:t>
            </w:r>
          </w:p>
        </w:tc>
      </w:tr>
      <w:tr>
        <w:trPr>
          <w:cantSplit/>
        </w:trPr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RN-BUC03-02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No registrar un envío sin OT existente ni confirmar recepción sin envío registrado.  [Origen: Documento previo CU9]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RN-BUC03-03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El envío de OT y montura al laboratorio debe quedar registrado; después se refleja «Enviado a Laboratorio».  [Origen: Matriz RF-57–58]</w:t>
            </w:r>
          </w:p>
        </w:tc>
      </w:tr>
      <w:tr>
        <w:trPr>
          <w:cantSplit/>
        </w:trPr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RN-BUC03-04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La recepción del lente armado se registra antes de iniciar control de calidad.  [Origen: Matriz RF-59 + documento previo]</w:t>
            </w:r>
          </w:p>
        </w:tc>
      </w:tr>
    </w:tbl>
    <w:p/>
    <w:p>
      <w:pPr>
        <w:pStyle w:val="Heading1"/>
      </w:pPr>
      <w:r>
        <w:t>3. 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7324D"/>
          </w:tcPr>
          <w:p>
            <w:r>
              <w:rPr>
                <w:b/>
                <w:color w:val="FFFFFF"/>
                <w:sz w:val="16"/>
              </w:rPr>
              <w:t>Código matriz</w:t>
            </w:r>
          </w:p>
        </w:tc>
        <w:tc>
          <w:tcPr>
            <w:tcW w:type="dxa" w:w="4997"/>
            <w:shd w:fill="17324D"/>
          </w:tcPr>
          <w:p>
            <w:r>
              <w:rPr>
                <w:b/>
                <w:color w:val="FFFFFF"/>
                <w:sz w:val="16"/>
              </w:rPr>
              <w:t>Descripción normalizada desde la matriz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RF-55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Visualizar y filtrar pedidos con estado «Pendiente de OT».</w:t>
            </w:r>
          </w:p>
        </w:tc>
      </w:tr>
      <w:tr>
        <w:trPr>
          <w:cantSplit/>
        </w:trPr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RF-56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Generar una OT con datos del paciente, receta, medidas y especificaciones del lente.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RF-57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Registrar la salida de la montura y la OT hacia el laboratorio externo.</w:t>
            </w:r>
          </w:p>
        </w:tc>
      </w:tr>
      <w:tr>
        <w:trPr>
          <w:cantSplit/>
        </w:trPr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RF-58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Cambiar el estado del pedido a «Enviado a Laboratorio».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RF-59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Registrar la recepción del lente armado devuelto por el laboratorio.</w:t>
            </w:r>
          </w:p>
        </w:tc>
      </w:tr>
    </w:tbl>
    <w:p/>
    <w:p>
      <w:pPr>
        <w:pStyle w:val="Heading1"/>
      </w:pPr>
      <w:r>
        <w:t>4. Precondiciones</w:t>
      </w:r>
    </w:p>
    <w:p>
      <w:r>
        <w:t>1. Usuario autenticado con permiso operativo de órdenes de trabajo.</w:t>
      </w:r>
    </w:p>
    <w:p>
      <w:r>
        <w:t>2. Pedido identificable en estado de negocio «Pendiente de OT».</w:t>
      </w:r>
    </w:p>
    <w:p>
      <w:r>
        <w:t>3. Datos de paciente, receta, medidas y especificaciones requeridas disponibles para revisión.</w:t>
      </w:r>
    </w:p>
    <w:p>
      <w:r>
        <w:t>4. Condición «venta con receta confirmada» figura en documento previo; su definición exacta requiere validación con ventas.</w:t>
      </w:r>
    </w:p>
    <w:p>
      <w:pPr>
        <w:pStyle w:val="Heading1"/>
      </w:pPr>
      <w:r>
        <w:t>5. Postcondiciones</w:t>
      </w:r>
    </w:p>
    <w:p>
      <w:r>
        <w:t>1. Al generar: OT vinculada al pedido, con responsable y constancia de creación.</w:t>
      </w:r>
    </w:p>
    <w:p>
      <w:r>
        <w:t>2. Al enviar: registro de salida de OT/montura y estado de pedido «Enviado a Laboratorio».</w:t>
      </w:r>
    </w:p>
    <w:p>
      <w:r>
        <w:t>3. Al recepcionar: constancia de recepción del lente armado, quedando habilitado el siguiente control de calidad.</w:t>
      </w:r>
    </w:p>
    <w:p>
      <w:r>
        <w:t>4. Si se cancela o falla un hito, no debe registrarse como realizado.</w:t>
      </w:r>
    </w:p>
    <w:p>
      <w:pPr>
        <w:pStyle w:val="Heading1"/>
      </w:pPr>
      <w:r>
        <w:t>6. Flujo normal de eventos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shd w:fill="17324D"/>
          </w:tcPr>
          <w:p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2498"/>
            <w:shd w:fill="17324D"/>
          </w:tcPr>
          <w:p>
            <w:r>
              <w:rPr>
                <w:b/>
                <w:color w:val="FFFFFF"/>
                <w:sz w:val="16"/>
              </w:rPr>
              <w:t>Acción del actor / disparador</w:t>
            </w:r>
          </w:p>
        </w:tc>
        <w:tc>
          <w:tcPr>
            <w:tcW w:type="dxa" w:w="2498"/>
            <w:shd w:fill="17324D"/>
          </w:tcPr>
          <w:p>
            <w:r>
              <w:rPr>
                <w:b/>
                <w:color w:val="FFFFFF"/>
                <w:sz w:val="16"/>
              </w:rPr>
              <w:t>Respuesta del sistema</w:t>
            </w:r>
          </w:p>
        </w:tc>
        <w:tc>
          <w:tcPr>
            <w:tcW w:type="dxa" w:w="2498"/>
            <w:shd w:fill="17324D"/>
          </w:tcPr>
          <w:p>
            <w:r>
              <w:rPr>
                <w:b/>
                <w:color w:val="FFFFFF"/>
                <w:sz w:val="16"/>
              </w:rPr>
              <w:t>Rastreo</w:t>
            </w:r>
          </w:p>
        </w:tc>
      </w:tr>
      <w:tr>
        <w:trPr>
          <w:cantSplit/>
        </w:trPr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1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Dueño/técnico ingresa a elaboración de OT.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El sistema lista pedidos elegibles y permite filtrar por «Pendiente de OT».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RF-55</w:t>
            </w:r>
          </w:p>
        </w:tc>
      </w:tr>
      <w:tr>
        <w:trPr>
          <w:cantSplit/>
        </w:trPr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2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Selecciona un pedido.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Muestra paciente, venta/pedido, receta, medidas y especificaciones.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RF-55/56</w:t>
            </w:r>
          </w:p>
        </w:tc>
      </w:tr>
      <w:tr>
        <w:trPr>
          <w:cantSplit/>
        </w:trPr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3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Revisa datos de la OT y solicita generación.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Ejecuta SF9-01 y verifica que no exista una OT activa incompatible.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RF-56</w:t>
            </w:r>
          </w:p>
        </w:tc>
      </w:tr>
      <w:tr>
        <w:trPr>
          <w:cantSplit/>
        </w:trPr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4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Confirma la generación.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Crea la OT asociada al pedido y muestra identificador y resumen.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RF-56</w:t>
            </w:r>
          </w:p>
        </w:tc>
      </w:tr>
      <w:tr>
        <w:trPr>
          <w:cantSplit/>
        </w:trPr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5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Cuando corresponda, dueño/técnico o vendedor registra salida al laboratorio.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Ejecuta SF9-02 (envío); guarda evento y actualiza «Enviado a Laboratorio».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RF-57/58</w:t>
            </w:r>
          </w:p>
        </w:tc>
      </w:tr>
      <w:tr>
        <w:trPr>
          <w:cantSplit/>
        </w:trPr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6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Cuando retorna el lente, dueño/técnico o vendedor registra recepción.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Ejecuta SF9-03 (recepción); mantiene trazabilidad y habilita CU10.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RF-59</w:t>
            </w:r>
          </w:p>
        </w:tc>
      </w:tr>
    </w:tbl>
    <w:p/>
    <w:p>
      <w:pPr>
        <w:pStyle w:val="Heading1"/>
      </w:pPr>
      <w:r>
        <w:t>7. Subflujos</w:t>
      </w:r>
    </w:p>
    <w:p>
      <w:pPr>
        <w:pStyle w:val="Heading2"/>
      </w:pPr>
      <w:r>
        <w:t>SF9-01 — Validación de datos para generar OT</w:t>
      </w:r>
    </w:p>
    <w:p>
      <w:r>
        <w:t>1. El sistema verifica pedido elegible y que exista información necesaria de paciente, receta y especificación óptica.</w:t>
      </w:r>
    </w:p>
    <w:p>
      <w:r>
        <w:t>2. Ante datos ausentes, informa cuáles faltan y no genera una OT incompleta.</w:t>
      </w:r>
    </w:p>
    <w:p>
      <w:r>
        <w:t>3. Cuando los datos son válidos, habilita confirmación, registrando autor y relación OT–pedido.</w:t>
      </w:r>
    </w:p>
    <w:p>
      <w:pPr>
        <w:pStyle w:val="Heading2"/>
      </w:pPr>
      <w:r>
        <w:t>SF9-02 — Registrar envío al laboratorio</w:t>
      </w:r>
    </w:p>
    <w:p>
      <w:r>
        <w:t>1. El operador abre una OT ya generada y solicita registrar salida al laboratorio externo.</w:t>
      </w:r>
    </w:p>
    <w:p>
      <w:r>
        <w:t>2. El sistema valida que el estado del pedido admita envío y solicita los datos de salida definidos por el formulario.</w:t>
      </w:r>
    </w:p>
    <w:p>
      <w:r>
        <w:t>3. El operador confirma salida de la OT y montura; el sistema registra evento y establece «Enviado a Laboratorio».</w:t>
      </w:r>
    </w:p>
    <w:p>
      <w:r>
        <w:t>4. El diseño de datos concretos de transportista, fecha estimada, documento de remisión queda pendiente de confirmar.</w:t>
      </w:r>
    </w:p>
    <w:p>
      <w:pPr>
        <w:pStyle w:val="Heading2"/>
      </w:pPr>
      <w:r>
        <w:t>SF9-03 — Registrar recepción de lente armado</w:t>
      </w:r>
    </w:p>
    <w:p>
      <w:r>
        <w:t>1. El operador localiza una OT efectivamente enviada.</w:t>
      </w:r>
    </w:p>
    <w:p>
      <w:r>
        <w:t>2. Confirma que el laboratorio externo devolvió el producto y registra la recepción.</w:t>
      </w:r>
    </w:p>
    <w:p>
      <w:r>
        <w:t>3. El sistema guarda la constancia de recepción y muestra el pedido como pendiente de control de calidad, sin aprobarlo automáticamente.</w:t>
      </w:r>
    </w:p>
    <w:p>
      <w:pPr>
        <w:pStyle w:val="Heading1"/>
      </w:pPr>
      <w:r>
        <w:t>8. Flujos alternativos y excepciones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7324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331"/>
            <w:shd w:fill="17324D"/>
          </w:tcPr>
          <w:p>
            <w:r>
              <w:rPr>
                <w:b/>
                <w:color w:val="FFFFFF"/>
                <w:sz w:val="16"/>
              </w:rPr>
              <w:t>Condición</w:t>
            </w:r>
          </w:p>
        </w:tc>
        <w:tc>
          <w:tcPr>
            <w:tcW w:type="dxa" w:w="3331"/>
            <w:shd w:fill="17324D"/>
          </w:tcPr>
          <w:p>
            <w:r>
              <w:rPr>
                <w:b/>
                <w:color w:val="FFFFFF"/>
                <w:sz w:val="16"/>
              </w:rPr>
              <w:t>Comportamiento esperado</w:t>
            </w:r>
          </w:p>
        </w:tc>
      </w:tr>
      <w:tr>
        <w:trPr>
          <w:cantSplit/>
        </w:trPr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FA9-01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No se seleccionó pedido o no está pendiente de OT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Bloquear generación y mostrar la condición incumplida.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FA9-02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Faltan receta, medidas o especificaciones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No persistir OT; indicar datos faltantes.</w:t>
            </w:r>
          </w:p>
        </w:tc>
      </w:tr>
      <w:tr>
        <w:trPr>
          <w:cantSplit/>
        </w:trPr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FA9-03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Se intenta duplicar una OT incompatible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Prevenir duplicación y permitir consultar la OT existente; definición de reemisión pendiente.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FA9-04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Se intenta enviar OT aún no generada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Bloquear envío sin modificar estado.</w:t>
            </w:r>
          </w:p>
        </w:tc>
      </w:tr>
      <w:tr>
        <w:trPr>
          <w:cantSplit/>
        </w:trPr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FA9-05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Se intenta recepcionar sin envío previo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Bloquear recepción y mostrar estado actual.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FA9-06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Usuario no autorizado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Denegar operación; no revelar ni modificar información restringida.</w:t>
            </w:r>
          </w:p>
        </w:tc>
      </w:tr>
    </w:tbl>
    <w:p/>
    <w:p>
      <w:pPr>
        <w:pStyle w:val="Heading1"/>
      </w:pPr>
      <w:r>
        <w:t>9. Criterios de aceptación verificables</w:t>
      </w:r>
    </w:p>
    <w:p>
      <w:r>
        <w:t>1. Un pedido pendiente y completo produce una única OT referenciada por el pedido, con responsable.</w:t>
      </w:r>
    </w:p>
    <w:p>
      <w:r>
        <w:t>2. Los datos faltantes impiden generar OT, y muestran mensajes concretos.</w:t>
      </w:r>
    </w:p>
    <w:p>
      <w:r>
        <w:t>3. El envío registra salida y cambia el estado a «Enviado a Laboratorio».</w:t>
      </w:r>
    </w:p>
    <w:p>
      <w:r>
        <w:t>4. La recepción solo procede cuando existe envío; no se ejecuta control automáticamente.</w:t>
      </w:r>
    </w:p>
    <w:p>
      <w:pPr>
        <w:pStyle w:val="Heading1"/>
      </w:pPr>
      <w:r>
        <w:t>10. Integraciones y límites del caso</w:t>
      </w:r>
    </w:p>
    <w:p>
      <w:r>
        <w:t>Ventas con receta/pedido; paciente y receta; catálogos de laboratorio y productos; seguridad y auditoría. No se impone nombre físico de tabla.</w:t>
      </w:r>
    </w:p>
    <w:p>
      <w:pPr>
        <w:pStyle w:val="Heading1"/>
      </w:pPr>
      <w:r>
        <w:t>11. Restricciones no funcionales / seguridad</w:t>
      </w:r>
    </w:p>
    <w:p>
      <w:r>
        <w:t>1. Requiere sesión autenticada y permiso asociado al actor autorizado; no confiar en validación exclusiva del frontend.</w:t>
      </w:r>
    </w:p>
    <w:p>
      <w:r>
        <w:t>2. Acciones sensibles deben permitir reconstruir quién realizó qué operación y cuándo; esquema técnico de auditoría por corroborar contra DDL.</w:t>
      </w:r>
    </w:p>
    <w:p>
      <w:r>
        <w:t>3. No imponer el objetivo histórico de 3 segundos como requisito normativo hasta corroborar su vigencia en la matriz RNF actual.</w:t>
      </w:r>
    </w:p>
    <w:p>
      <w:r>
        <w:t>4. Las operaciones que modifican estado deben ser consistentes: si falla el registro, no se anuncia una transición exitosa.</w:t>
      </w:r>
    </w:p>
    <w:p>
      <w:pPr>
        <w:pStyle w:val="Heading1"/>
      </w:pPr>
      <w:r>
        <w:t>12. Checklist de consistencia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7324D"/>
          </w:tcPr>
          <w:p>
            <w:r>
              <w:rPr>
                <w:b/>
                <w:color w:val="FFFFFF"/>
                <w:sz w:val="16"/>
              </w:rPr>
              <w:t>Ítem</w:t>
            </w:r>
          </w:p>
        </w:tc>
        <w:tc>
          <w:tcPr>
            <w:tcW w:type="dxa" w:w="3331"/>
            <w:shd w:fill="17324D"/>
          </w:tcPr>
          <w:p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3331"/>
            <w:shd w:fill="17324D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1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Nombre verbo + objeto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Documentado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2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Actores y permisos coherentes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Documentado</w:t>
            </w:r>
          </w:p>
        </w:tc>
      </w:tr>
      <w:tr>
        <w:trPr>
          <w:cantSplit/>
        </w:trPr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3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Pre/postcondiciones explícitas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Documentado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4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Flujo principal trazado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Documentado</w:t>
            </w:r>
          </w:p>
        </w:tc>
      </w:tr>
      <w:tr>
        <w:trPr>
          <w:cantSplit/>
        </w:trPr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5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Alternativos y subflujos identificados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Documentado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6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RF asociados a matriz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Documentado</w:t>
            </w:r>
          </w:p>
        </w:tc>
      </w:tr>
      <w:tr>
        <w:trPr>
          <w:cantSplit/>
        </w:trPr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7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Casos de error y criterios comprobables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Documentado</w:t>
            </w:r>
          </w:p>
        </w:tc>
      </w:tr>
    </w:tbl>
    <w:p/>
    <w:p>
      <w:pPr>
        <w:pStyle w:val="Heading1"/>
      </w:pPr>
      <w:r>
        <w:t>13. Pendientes y observaciones</w:t>
      </w:r>
    </w:p>
    <w:p>
      <w:r>
        <w:t>P-05. No consta el DDL definitivo completo en los archivos revisados en esta ejecución. Acción documental: Entidades y columnas propuestas no se presentan como tablas existentes.</w:t>
      </w:r>
    </w:p>
    <w:p>
      <w:r>
        <w:t>P-08. La plantilla anota «Vendedor» como actor en RF-55 y RF-60–62, en conflicto con responsables del negocio y con la decisión del equipo. Acción documental: Se adopta dueño/técnico para órdenes y calidad; vendedor para notificación y entrega.</w:t>
      </w:r>
    </w:p>
    <w:p>
      <w:r>
        <w:t>P-09. No hay confirmación de la equivalencia exacta entre estados visibles y el catálogo de estados del DDL. Acción documental: Nombres de negocio; pendientes de mapear a persistencia.</w:t>
      </w:r>
    </w:p>
    <w:p>
      <w:pPr>
        <w:pStyle w:val="Meta"/>
      </w:pPr>
      <w:r>
        <w:t>Prototipo histórico de referencia: https://www.figma.com/design/evyHf4riGduIWpYBgxTKtp/Prototipo-Geo-VIsion  (requiere contrastar pantallas con versión actual).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5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  <w:jc w:val="right"/>
    </w:pPr>
    <w:r>
      <w:t xml:space="preserve">Versión 2.0 · 26 de octubre de 2026     · 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</w:pPr>
    <w:r>
      <w:t>GEO VISIÓN  |  BUC03  |  ELABORACIÓN DE ORDEN DE TRABAJO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732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rFonts w:ascii="Aptos" w:hAnsi="Aptos"/>
      <w:color w:val="53647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