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CU12 — Registrar Entrega de Pedido</w:t>
      </w:r>
    </w:p>
    <w:p>
      <w:pPr>
        <w:pStyle w:val="Meta"/>
      </w:pPr>
      <w:r>
        <w:t>Versión 2.0  •  26 de octubre de 2026  •  Alineado a matriz V3 y decisiones confirmadas  •  Estado: base documentada con pendientes explícitos</w:t>
      </w:r>
    </w:p>
    <w:p>
      <w:pPr>
        <w:pStyle w:val="Heading1"/>
      </w:pPr>
      <w:r>
        <w:t>1. Identificación y alcance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BUC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BUC03 — Elaboración de Orden de Trabajo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Caso de uso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CU12 — Registrar Entrega de Pedido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Tipo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Esencial y primario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Actor principal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Vendedor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Actores / interacciones secundarios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Paciente/cliente recoge el pedido; módulo de ventas/pagos informa el saldo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Referencias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RF-65 (consulta); registro y saldo cero: decisión confirmada, RF nuevo pendiente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Fuente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3. Plantilla de requerimientos V3 (7).xlsx, hoja «2. REQ FUNCIONALES», filas 48–59; documentos previos BUC03 en Google Drive; decisiones del equipo del 26/10/2026.</w:t>
            </w:r>
          </w:p>
        </w:tc>
      </w:tr>
    </w:tbl>
    <w:p/>
    <w:p>
      <w:r>
        <w:t>Confirmar la entrega física de un pedido terminado solo si su control de calidad está aprobado, el pedido está listo y no tiene saldo pendiente.</w:t>
      </w:r>
    </w:p>
    <w:p>
      <w:pPr>
        <w:pStyle w:val="Heading1"/>
      </w:pPr>
      <w:r>
        <w:t>2. Reglas de negocio relacionadas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Código de trabajo</w:t>
            </w:r>
          </w:p>
        </w:tc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Regla / origen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RN-BUC03-07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Solo un control de calidad aprobado permite establecer «Listo para entrega».  [Origen: Fila 56 sin RF + decisión confirmada]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RN-BUC03-10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Solo un vendedor autorizado registra la entrega, previa consulta del estado.  [Origen: RF-65 + decisión confirmada]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RN-BUC03-11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La entrega solo se confirma con saldo cero y control de calidad aprobado.  [Origen: Decisión confirmada + hoja «3. REGLAS DE NEGOCIO», filas 26–27]</w:t>
            </w:r>
          </w:p>
        </w:tc>
      </w:tr>
      <w:tr>
        <w:trPr>
          <w:cantSplit/>
        </w:trPr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RN-BUC03-12</w:t>
            </w:r>
          </w:p>
        </w:tc>
        <w:tc>
          <w:tcPr>
            <w:tcW w:type="dxa" w:w="4997"/>
          </w:tcPr>
          <w:p>
            <w:pPr>
              <w:spacing w:after="40"/>
            </w:pPr>
            <w:r>
              <w:rPr>
                <w:sz w:val="15"/>
              </w:rPr>
              <w:t>Después de confirmar la entrega, se registra la fecha/hora y el responsable, evitando una segunda entrega del mismo pedido.  [Origen: Documento previo CU12; prevención de duplicidad propuesta]</w:t>
            </w:r>
          </w:p>
        </w:tc>
      </w:tr>
    </w:tbl>
    <w:p/>
    <w:p>
      <w:pPr>
        <w:pStyle w:val="Heading1"/>
      </w:pPr>
      <w:r>
        <w:t>3. 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Código matriz</w:t>
            </w:r>
          </w:p>
        </w:tc>
        <w:tc>
          <w:tcPr>
            <w:tcW w:type="dxa" w:w="4997"/>
            <w:shd w:fill="17324D"/>
          </w:tcPr>
          <w:p>
            <w:r>
              <w:rPr>
                <w:b/>
                <w:color w:val="FFFFFF"/>
                <w:sz w:val="16"/>
              </w:rPr>
              <w:t>Descripción normalizada desde la matriz</w:t>
            </w:r>
          </w:p>
        </w:tc>
      </w:tr>
      <w:tr>
        <w:trPr>
          <w:cantSplit/>
        </w:trPr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RF-65</w:t>
            </w:r>
          </w:p>
        </w:tc>
        <w:tc>
          <w:tcPr>
            <w:tcW w:type="dxa" w:w="4997"/>
            <w:shd w:fill="F5F9FA"/>
          </w:tcPr>
          <w:p>
            <w:pPr>
              <w:spacing w:after="40"/>
            </w:pPr>
            <w:r>
              <w:rPr>
                <w:sz w:val="15"/>
              </w:rPr>
              <w:t>Permitir al vendedor consultar el estado del pedido antes de entregarlo.</w:t>
            </w:r>
          </w:p>
        </w:tc>
      </w:tr>
    </w:tbl>
    <w:p/>
    <w:p>
      <w:pPr>
        <w:pStyle w:val="Heading1"/>
      </w:pPr>
      <w:r>
        <w:t>4. Precondiciones</w:t>
      </w:r>
    </w:p>
    <w:p>
      <w:r>
        <w:t>1. Usuario autenticado con permiso de vendedor/entrega.</w:t>
      </w:r>
    </w:p>
    <w:p>
      <w:r>
        <w:t>2. Pedido existente, con control de calidad aprobado y estado «Listo para entrega».</w:t>
      </w:r>
    </w:p>
    <w:p>
      <w:r>
        <w:t>3. El importe pendiente consultado en el sistema de pagos es igual a cero.</w:t>
      </w:r>
    </w:p>
    <w:p>
      <w:r>
        <w:t>4. Se realiza la entrega física del producto al paciente o receptor autorizado; reglas de entrega por tercero por confirmar.</w:t>
      </w:r>
    </w:p>
    <w:p>
      <w:pPr>
        <w:pStyle w:val="Heading1"/>
      </w:pPr>
      <w:r>
        <w:t>5. Postcondiciones</w:t>
      </w:r>
    </w:p>
    <w:p>
      <w:r>
        <w:t>1. El pedido queda «Entregado» solo después de validación y confirmación explícita de entrega.</w:t>
      </w:r>
    </w:p>
    <w:p>
      <w:r>
        <w:t>2. Se registra fecha/hora, responsable e identificación de la OT/pedido.</w:t>
      </w:r>
    </w:p>
    <w:p>
      <w:r>
        <w:t>3. No se permite una segunda confirmación del mismo pedido entregado; si hay deuda, permanece «Listo para entrega» y se informa saldo.</w:t>
      </w:r>
    </w:p>
    <w:p>
      <w:pPr>
        <w:pStyle w:val="Heading1"/>
      </w:pPr>
      <w:r>
        <w:t>6. Flujo normal de eventos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Paso</w:t>
            </w:r>
          </w:p>
        </w:tc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Acción del actor / disparador</w:t>
            </w:r>
          </w:p>
        </w:tc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Respuesta del sistema</w:t>
            </w:r>
          </w:p>
        </w:tc>
        <w:tc>
          <w:tcPr>
            <w:tcW w:type="dxa" w:w="2498"/>
            <w:shd w:fill="17324D"/>
          </w:tcPr>
          <w:p>
            <w:r>
              <w:rPr>
                <w:b/>
                <w:color w:val="FFFFFF"/>
                <w:sz w:val="16"/>
              </w:rPr>
              <w:t>Rastreo</w:t>
            </w:r>
          </w:p>
        </w:tc>
      </w:tr>
      <w:tr>
        <w:trPr>
          <w:cantSplit/>
        </w:trPr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1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Paciente solicita recoger su pedido; vendedor abre la pantalla de entrega.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El sistema permite búsqueda por código de pedido o identificador del paciente según pantalla implementada.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RF-65</w:t>
            </w:r>
          </w:p>
        </w:tc>
      </w:tr>
      <w:tr>
        <w:trPr>
          <w:cantSplit/>
        </w:trPr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2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Vendedor selecciona el pedido hallado.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Muestra OT, estado de pedido, resultado de control y saldo pendiente.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RF-65 + decisión</w:t>
            </w:r>
          </w:p>
        </w:tc>
      </w:tr>
      <w:tr>
        <w:trPr>
          <w:cantSplit/>
        </w:trPr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3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Vendedor solicita validar entrega.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Ejecuta SF12-01: verifica control aprobado, estado listo y saldo cero en fuente de pagos.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Decisión confirmada</w:t>
            </w:r>
          </w:p>
        </w:tc>
      </w:tr>
      <w:tr>
        <w:trPr>
          <w:cantSplit/>
        </w:trPr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4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Vendedor realiza entrega física y confirma el registro.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Ejecuta SF12-02: persiste fecha, hora, empleado responsable y estado «Entregado».</w:t>
            </w:r>
          </w:p>
        </w:tc>
        <w:tc>
          <w:tcPr>
            <w:tcW w:type="dxa" w:w="2498"/>
          </w:tcPr>
          <w:p>
            <w:pPr>
              <w:spacing w:after="40"/>
            </w:pPr>
            <w:r>
              <w:rPr>
                <w:sz w:val="15"/>
              </w:rPr>
              <w:t>Brecha RF-65</w:t>
            </w:r>
          </w:p>
        </w:tc>
      </w:tr>
      <w:tr>
        <w:trPr>
          <w:cantSplit/>
        </w:trPr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5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Vendedor consulta confirmación.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Muestra el pedido como entregado y su constancia.</w:t>
            </w:r>
          </w:p>
        </w:tc>
        <w:tc>
          <w:tcPr>
            <w:tcW w:type="dxa" w:w="2498"/>
            <w:shd w:fill="F5F9FA"/>
          </w:tcPr>
          <w:p>
            <w:pPr>
              <w:spacing w:after="40"/>
            </w:pPr>
            <w:r>
              <w:rPr>
                <w:sz w:val="15"/>
              </w:rPr>
              <w:t>Decisión confirmada</w:t>
            </w:r>
          </w:p>
        </w:tc>
      </w:tr>
    </w:tbl>
    <w:p/>
    <w:p>
      <w:pPr>
        <w:pStyle w:val="Heading1"/>
      </w:pPr>
      <w:r>
        <w:t>7. Subflujos</w:t>
      </w:r>
    </w:p>
    <w:p>
      <w:pPr>
        <w:pStyle w:val="Heading2"/>
      </w:pPr>
      <w:r>
        <w:t>SF12-01 — Validar estado y saldo</w:t>
      </w:r>
    </w:p>
    <w:p>
      <w:r>
        <w:t>1. Consultar estado vigente del pedido y control de calidad asociado, no datos obsoletos de la pantalla.</w:t>
      </w:r>
    </w:p>
    <w:p>
      <w:r>
        <w:t>2. Consultar saldo pendiente calculado por ventas/pagos; exigir que sea exactamente cero según regla confirmada.</w:t>
      </w:r>
    </w:p>
    <w:p>
      <w:r>
        <w:t>3. Si falta aprobación, el estado no es listo, hay deuda o no se obtiene el saldo fiable, bloquear entrega e informar causa.</w:t>
      </w:r>
    </w:p>
    <w:p>
      <w:pPr>
        <w:pStyle w:val="Heading2"/>
      </w:pPr>
      <w:r>
        <w:t>SF12-02 — Registrar entrega</w:t>
      </w:r>
    </w:p>
    <w:p>
      <w:r>
        <w:t>1. El vendedor declara que hizo la entrega física del pedido al receptor correspondiente.</w:t>
      </w:r>
    </w:p>
    <w:p>
      <w:r>
        <w:t>2. El sistema vuelve a validar estado/saldo en el momento de la operación para evitar cambios concurrentes.</w:t>
      </w:r>
    </w:p>
    <w:p>
      <w:r>
        <w:t>3. El sistema confirma «Entregado» y registra hora, fecha, responsable y relación con OT/pedido.</w:t>
      </w:r>
    </w:p>
    <w:p>
      <w:pPr>
        <w:pStyle w:val="Heading1"/>
      </w:pPr>
      <w:r>
        <w:t>8. Flujos alternativos y excepciones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Condición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Comportamiento esperado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FA12-01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Saldo pendiente mayor que cero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No registrar entrega; mostrar saldo a regularizar en ventas/pagos.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FA12-02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Control de calidad no aprobado o pedido no listo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Bloquear entrega y mostrar estado exacto.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FA12-03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Pedido inexistente o búsqueda sin resultado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Mostrar aviso y permitir nueva búsqueda.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FA12-04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El vendedor cancela o no confirma entrega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Mantener estado y no grabar entrega.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FA12-05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Pedido ya entregado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Mostrar comprobante o historial; bloquear duplicado.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FA12-06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No puede verificarse saldo actualizado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No permitir entrega hasta obtener saldo fiable.</w:t>
            </w:r>
          </w:p>
        </w:tc>
      </w:tr>
    </w:tbl>
    <w:p/>
    <w:p>
      <w:pPr>
        <w:pStyle w:val="Heading1"/>
      </w:pPr>
      <w:r>
        <w:t>9. Criterios de aceptación verificables</w:t>
      </w:r>
    </w:p>
    <w:p>
      <w:r>
        <w:t>1. Un pedido listo, con calidad aprobada y saldo cero puede marcarse «Entregado» por el vendedor.</w:t>
      </w:r>
    </w:p>
    <w:p>
      <w:r>
        <w:t>2. Con cualquier saldo pendiente, se bloquea la entrega sin modificar el pedido.</w:t>
      </w:r>
    </w:p>
    <w:p>
      <w:r>
        <w:t>3. Con control rechazado o pendiente, se bloquea aunque saldo sea cero.</w:t>
      </w:r>
    </w:p>
    <w:p>
      <w:r>
        <w:t>4. Se guardan responsable, fecha/hora y vínculo con la OT/pedido.</w:t>
      </w:r>
    </w:p>
    <w:p>
      <w:r>
        <w:t>5. No se permite registrar la entrega dos veces.</w:t>
      </w:r>
    </w:p>
    <w:p>
      <w:r>
        <w:t>6. El hecho de haber notificado no sustituye el saldo cero ni el control aprobado.</w:t>
      </w:r>
    </w:p>
    <w:p>
      <w:pPr>
        <w:pStyle w:val="Heading1"/>
      </w:pPr>
      <w:r>
        <w:t>10. Integraciones y límites del caso</w:t>
      </w:r>
    </w:p>
    <w:p>
      <w:r>
        <w:t>CU10 y estado listo; CU11 como proceso relacionado (sin asumir que notificación es condición de entrega); ventas/pagos como fuente de saldo; seguridad y auditoría.</w:t>
      </w:r>
    </w:p>
    <w:p>
      <w:pPr>
        <w:pStyle w:val="Heading1"/>
      </w:pPr>
      <w:r>
        <w:t>11. Restricciones no funcionales / seguridad</w:t>
      </w:r>
    </w:p>
    <w:p>
      <w:r>
        <w:t>1. Requiere sesión autenticada y permiso asociado al actor autorizado; no confiar en validación exclusiva del frontend.</w:t>
      </w:r>
    </w:p>
    <w:p>
      <w:r>
        <w:t>2. Acciones sensibles deben permitir reconstruir quién realizó qué operación y cuándo; esquema técnico de auditoría por corroborar contra DDL.</w:t>
      </w:r>
    </w:p>
    <w:p>
      <w:r>
        <w:t>3. No imponer el objetivo histórico de 3 segundos como requisito normativo hasta corroborar su vigencia en la matriz RNF actual.</w:t>
      </w:r>
    </w:p>
    <w:p>
      <w:r>
        <w:t>4. Las operaciones que modifican estado deben ser consistentes: si falla el registro, no se anuncia una transición exitosa.</w:t>
      </w:r>
    </w:p>
    <w:p>
      <w:pPr>
        <w:pStyle w:val="Heading1"/>
      </w:pPr>
      <w:r>
        <w:t>12. Checklist de consistencia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Ítem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3331"/>
            <w:shd w:fill="17324D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1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Nombre verbo + objeto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2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Actores y permisos coherentes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3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Pre/postcondiciones explícitas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4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Flujo principal trazado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5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Alternativos y subflujos identificados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6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RF asociados a matriz</w:t>
            </w:r>
          </w:p>
        </w:tc>
        <w:tc>
          <w:tcPr>
            <w:tcW w:type="dxa" w:w="3331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  <w:tr>
        <w:trPr>
          <w:cantSplit/>
        </w:trPr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7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Casos de error y criterios comprobables</w:t>
            </w:r>
          </w:p>
        </w:tc>
        <w:tc>
          <w:tcPr>
            <w:tcW w:type="dxa" w:w="3331"/>
            <w:shd w:fill="F5F9FA"/>
          </w:tcPr>
          <w:p>
            <w:pPr>
              <w:spacing w:after="40"/>
            </w:pPr>
            <w:r>
              <w:rPr>
                <w:sz w:val="15"/>
              </w:rPr>
              <w:t>Documentado</w:t>
            </w:r>
          </w:p>
        </w:tc>
      </w:tr>
    </w:tbl>
    <w:p/>
    <w:p>
      <w:pPr>
        <w:pStyle w:val="Heading1"/>
      </w:pPr>
      <w:r>
        <w:t>13. Pendientes y observaciones</w:t>
      </w:r>
    </w:p>
    <w:p>
      <w:r>
        <w:t>P-02. RF-65 solo exige consulta de estado; la capacidad explícita «Registrar entrega» y la condición de saldo cero requieren RF formal. Acción documental: Se documenta como decisión confirmada y brecha de matriz.</w:t>
      </w:r>
    </w:p>
    <w:p>
      <w:r>
        <w:t>P-06. No está determinado el comportamiento ante abonos pendientes, anulaciones, devoluciones o entregas parciales; saldo cero sí es regla confirmada. Acción documental: Quedan fuera de casos aprobados hasta definición.</w:t>
      </w:r>
    </w:p>
    <w:p>
      <w:r>
        <w:t>P-07. No está definido si enviar notificación es obligatorio antes de entregar, o si se permite reenvío, ni cómo identificar duplicados. Acción documental: No se bloquea la entrega por falta de notificación.</w:t>
      </w:r>
    </w:p>
    <w:p>
      <w:pPr>
        <w:pStyle w:val="Meta"/>
      </w:pPr>
      <w:r>
        <w:t>Prototipo histórico de referencia: https://www.figma.com/design/evyHf4riGduIWpYBgxTKtp/Prototipo-Geo-VIsion  (requiere contrastar pantallas con versión actual).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50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  <w:jc w:val="right"/>
    </w:pPr>
    <w:r>
      <w:t xml:space="preserve">Versión 2.0 · 26 de octubre de 2026     ·  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eta"/>
    </w:pPr>
    <w:r>
      <w:t>GEO VISIÓN  |  BUC03  |  ELABORACIÓN DE ORDEN DE TRABAJO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7324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rPr>
      <w:rFonts w:ascii="Aptos" w:hAnsi="Aptos"/>
      <w:color w:val="53647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