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BUC03 — Contexto integral del módulo</w:t>
      </w:r>
    </w:p>
    <w:p>
      <w:pPr>
        <w:pStyle w:val="Meta"/>
      </w:pPr>
      <w:r>
        <w:t>Versión 2.0  •  26 de octubre de 2026  •  Alineado a matriz V3 y decisiones confirmadas  •  Estado: base documentada con pendientes explícitos</w:t>
      </w:r>
    </w:p>
    <w:p>
      <w:pPr>
        <w:pStyle w:val="Heading1"/>
      </w:pPr>
      <w:r>
        <w:t>1. Identidad del módulo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24D"/>
          </w:tcPr>
          <w:p>
            <w:r>
              <w:rPr>
                <w:b/>
                <w:color w:val="FFFFFF"/>
                <w:sz w:val="16"/>
              </w:rPr>
              <w:t>Atributo</w:t>
            </w:r>
          </w:p>
        </w:tc>
        <w:tc>
          <w:tcPr>
            <w:tcW w:type="dxa" w:w="4997"/>
            <w:shd w:fill="17324D"/>
          </w:tcPr>
          <w:p>
            <w:r>
              <w:rPr>
                <w:b/>
                <w:color w:val="FFFFFF"/>
                <w:sz w:val="16"/>
              </w:rPr>
              <w:t>Definición</w:t>
            </w:r>
          </w:p>
        </w:tc>
      </w:tr>
      <w:tr>
        <w:trPr>
          <w:cantSplit/>
        </w:trPr>
        <w:tc>
          <w:tcPr>
            <w:tcW w:type="dxa" w:w="4997"/>
            <w:shd w:fill="F5F9FA"/>
          </w:tcPr>
          <w:p>
            <w:pPr>
              <w:spacing w:after="40"/>
            </w:pPr>
            <w:r>
              <w:rPr>
                <w:sz w:val="15"/>
              </w:rPr>
              <w:t>Proyecto</w:t>
            </w:r>
          </w:p>
        </w:tc>
        <w:tc>
          <w:tcPr>
            <w:tcW w:type="dxa" w:w="4997"/>
            <w:shd w:fill="F5F9FA"/>
          </w:tcPr>
          <w:p>
            <w:pPr>
              <w:spacing w:after="40"/>
            </w:pPr>
            <w:r>
              <w:rPr>
                <w:sz w:val="15"/>
              </w:rPr>
              <w:t>Sistema de Ventas y Gestión — Óptica Geo Visión</w:t>
            </w:r>
          </w:p>
        </w:tc>
      </w:tr>
      <w:tr>
        <w:trPr>
          <w:cantSplit/>
        </w:trPr>
        <w:tc>
          <w:tcPr>
            <w:tcW w:type="dxa" w:w="4997"/>
          </w:tcPr>
          <w:p>
            <w:pPr>
              <w:spacing w:after="40"/>
            </w:pPr>
            <w:r>
              <w:rPr>
                <w:sz w:val="15"/>
              </w:rPr>
              <w:t>Identificador</w:t>
            </w:r>
          </w:p>
        </w:tc>
        <w:tc>
          <w:tcPr>
            <w:tcW w:type="dxa" w:w="4997"/>
          </w:tcPr>
          <w:p>
            <w:pPr>
              <w:spacing w:after="40"/>
            </w:pPr>
            <w:r>
              <w:rPr>
                <w:sz w:val="15"/>
              </w:rPr>
              <w:t>BUC03</w:t>
            </w:r>
          </w:p>
        </w:tc>
      </w:tr>
      <w:tr>
        <w:trPr>
          <w:cantSplit/>
        </w:trPr>
        <w:tc>
          <w:tcPr>
            <w:tcW w:type="dxa" w:w="4997"/>
            <w:shd w:fill="F5F9FA"/>
          </w:tcPr>
          <w:p>
            <w:pPr>
              <w:spacing w:after="40"/>
            </w:pPr>
            <w:r>
              <w:rPr>
                <w:sz w:val="15"/>
              </w:rPr>
              <w:t>Nuevo nombre oficial</w:t>
            </w:r>
          </w:p>
        </w:tc>
        <w:tc>
          <w:tcPr>
            <w:tcW w:type="dxa" w:w="4997"/>
            <w:shd w:fill="F5F9FA"/>
          </w:tcPr>
          <w:p>
            <w:pPr>
              <w:spacing w:after="40"/>
            </w:pPr>
            <w:r>
              <w:rPr>
                <w:sz w:val="15"/>
              </w:rPr>
              <w:t>Elaboración de Orden de Trabajo</w:t>
            </w:r>
          </w:p>
        </w:tc>
      </w:tr>
      <w:tr>
        <w:trPr>
          <w:cantSplit/>
        </w:trPr>
        <w:tc>
          <w:tcPr>
            <w:tcW w:type="dxa" w:w="4997"/>
          </w:tcPr>
          <w:p>
            <w:pPr>
              <w:spacing w:after="40"/>
            </w:pPr>
            <w:r>
              <w:rPr>
                <w:sz w:val="15"/>
              </w:rPr>
              <w:t>Proceso asociado</w:t>
            </w:r>
          </w:p>
        </w:tc>
        <w:tc>
          <w:tcPr>
            <w:tcW w:type="dxa" w:w="4997"/>
          </w:tcPr>
          <w:p>
            <w:pPr>
              <w:spacing w:after="40"/>
            </w:pPr>
            <w:r>
              <w:rPr>
                <w:sz w:val="15"/>
              </w:rPr>
              <w:t>CUN 3 — Hacer orden de trabajo (redacción de matriz V3)</w:t>
            </w:r>
          </w:p>
        </w:tc>
      </w:tr>
      <w:tr>
        <w:trPr>
          <w:cantSplit/>
        </w:trPr>
        <w:tc>
          <w:tcPr>
            <w:tcW w:type="dxa" w:w="4997"/>
            <w:shd w:fill="F5F9FA"/>
          </w:tcPr>
          <w:p>
            <w:pPr>
              <w:spacing w:after="40"/>
            </w:pPr>
            <w:r>
              <w:rPr>
                <w:sz w:val="15"/>
              </w:rPr>
              <w:t>Casos de uso oficiales</w:t>
            </w:r>
          </w:p>
        </w:tc>
        <w:tc>
          <w:tcPr>
            <w:tcW w:type="dxa" w:w="4997"/>
            <w:shd w:fill="F5F9FA"/>
          </w:tcPr>
          <w:p>
            <w:pPr>
              <w:spacing w:after="40"/>
            </w:pPr>
            <w:r>
              <w:rPr>
                <w:sz w:val="15"/>
              </w:rPr>
              <w:t>CU9, CU10, CU11, CU12</w:t>
            </w:r>
          </w:p>
        </w:tc>
      </w:tr>
      <w:tr>
        <w:trPr>
          <w:cantSplit/>
        </w:trPr>
        <w:tc>
          <w:tcPr>
            <w:tcW w:type="dxa" w:w="4997"/>
          </w:tcPr>
          <w:p>
            <w:pPr>
              <w:spacing w:after="40"/>
            </w:pPr>
            <w:r>
              <w:rPr>
                <w:sz w:val="15"/>
              </w:rPr>
              <w:t>Alcance</w:t>
            </w:r>
          </w:p>
        </w:tc>
        <w:tc>
          <w:tcPr>
            <w:tcW w:type="dxa" w:w="4997"/>
          </w:tcPr>
          <w:p>
            <w:pPr>
              <w:spacing w:after="40"/>
            </w:pPr>
            <w:r>
              <w:rPr>
                <w:sz w:val="15"/>
              </w:rPr>
              <w:t>Desde pedidos pendientes de OT hasta la entrega al paciente, con laboratorio externo y control de calidad</w:t>
            </w:r>
          </w:p>
        </w:tc>
      </w:tr>
      <w:tr>
        <w:trPr>
          <w:cantSplit/>
        </w:trPr>
        <w:tc>
          <w:tcPr>
            <w:tcW w:type="dxa" w:w="4997"/>
            <w:shd w:fill="F5F9FA"/>
          </w:tcPr>
          <w:p>
            <w:pPr>
              <w:spacing w:after="40"/>
            </w:pPr>
            <w:r>
              <w:rPr>
                <w:sz w:val="15"/>
              </w:rPr>
              <w:t>Carácter</w:t>
            </w:r>
          </w:p>
        </w:tc>
        <w:tc>
          <w:tcPr>
            <w:tcW w:type="dxa" w:w="4997"/>
            <w:shd w:fill="F5F9FA"/>
          </w:tcPr>
          <w:p>
            <w:pPr>
              <w:spacing w:after="40"/>
            </w:pPr>
            <w:r>
              <w:rPr>
                <w:sz w:val="15"/>
              </w:rPr>
              <w:t>Sistema académico con backend Java/Spring Boot, frontend Angular, Oracle y seguridad JWT según contexto general confirmado en el proyecto.</w:t>
            </w:r>
          </w:p>
        </w:tc>
      </w:tr>
    </w:tbl>
    <w:p/>
    <w:p>
      <w:pPr>
        <w:pStyle w:val="Heading1"/>
      </w:pPr>
      <w:r>
        <w:t>2. Alcance y exclusiones</w:t>
      </w:r>
    </w:p>
    <w:p>
      <w:r>
        <w:t>Incluye: consulta de pendientes; generación de OT; envío de OT/montura; confirmación de envío; recepción de lentes; lensometría; aprobación/rechazo; paso a listo; comunicación manual o automática por WhatsApp; consulta de saldo; entrega con validación de saldo cero y calidad aprobada.</w:t>
      </w:r>
    </w:p>
    <w:p>
      <w:r>
        <w:t>No incluye como funciones propias: registrar pacientes, realizar exámenes visuales, emitir recetas, registrar la venta ni procesar pagos. Esas operaciones se consultan como fuentes de información de otros módulos. No se implementa facturación SUNAT dentro de BUC03.</w:t>
      </w:r>
    </w:p>
    <w:p>
      <w:pPr>
        <w:pStyle w:val="Heading1"/>
      </w:pPr>
      <w:r>
        <w:t>3. Actores y responsabilidades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24D"/>
          </w:tcPr>
          <w:p>
            <w:r>
              <w:rPr>
                <w:b/>
                <w:color w:val="FFFFFF"/>
                <w:sz w:val="16"/>
              </w:rPr>
              <w:t>Actor</w:t>
            </w:r>
          </w:p>
        </w:tc>
        <w:tc>
          <w:tcPr>
            <w:tcW w:type="dxa" w:w="4997"/>
            <w:shd w:fill="17324D"/>
          </w:tcPr>
          <w:p>
            <w:r>
              <w:rPr>
                <w:b/>
                <w:color w:val="FFFFFF"/>
                <w:sz w:val="16"/>
              </w:rPr>
              <w:t>Responsabilidad confirmada / alcance</w:t>
            </w:r>
          </w:p>
        </w:tc>
      </w:tr>
      <w:tr>
        <w:trPr>
          <w:cantSplit/>
        </w:trPr>
        <w:tc>
          <w:tcPr>
            <w:tcW w:type="dxa" w:w="4997"/>
            <w:shd w:fill="F5F9FA"/>
          </w:tcPr>
          <w:p>
            <w:pPr>
              <w:spacing w:after="40"/>
            </w:pPr>
            <w:r>
              <w:rPr>
                <w:sz w:val="15"/>
              </w:rPr>
              <w:t>Dueño / Técnico</w:t>
            </w:r>
          </w:p>
        </w:tc>
        <w:tc>
          <w:tcPr>
            <w:tcW w:type="dxa" w:w="4997"/>
            <w:shd w:fill="F5F9FA"/>
          </w:tcPr>
          <w:p>
            <w:pPr>
              <w:spacing w:after="40"/>
            </w:pPr>
            <w:r>
              <w:rPr>
                <w:sz w:val="15"/>
              </w:rPr>
              <w:t>CU9: revisar, generar OT y supervisar su seguimiento; CU10: medir y aprobar/rechazar calidad.</w:t>
            </w:r>
          </w:p>
        </w:tc>
      </w:tr>
      <w:tr>
        <w:trPr>
          <w:cantSplit/>
        </w:trPr>
        <w:tc>
          <w:tcPr>
            <w:tcW w:type="dxa" w:w="4997"/>
          </w:tcPr>
          <w:p>
            <w:pPr>
              <w:spacing w:after="40"/>
            </w:pPr>
            <w:r>
              <w:rPr>
                <w:sz w:val="15"/>
              </w:rPr>
              <w:t>Vendedor</w:t>
            </w:r>
          </w:p>
        </w:tc>
        <w:tc>
          <w:tcPr>
            <w:tcW w:type="dxa" w:w="4997"/>
          </w:tcPr>
          <w:p>
            <w:pPr>
              <w:spacing w:after="40"/>
            </w:pPr>
            <w:r>
              <w:rPr>
                <w:sz w:val="15"/>
              </w:rPr>
              <w:t>CU9: colaborar en envío y recepción según documentos previos; CU11: gestionar notificaciones; CU12: consultar y registrar entrega.</w:t>
            </w:r>
          </w:p>
        </w:tc>
      </w:tr>
      <w:tr>
        <w:trPr>
          <w:cantSplit/>
        </w:trPr>
        <w:tc>
          <w:tcPr>
            <w:tcW w:type="dxa" w:w="4997"/>
            <w:shd w:fill="F5F9FA"/>
          </w:tcPr>
          <w:p>
            <w:pPr>
              <w:spacing w:after="40"/>
            </w:pPr>
            <w:r>
              <w:rPr>
                <w:sz w:val="15"/>
              </w:rPr>
              <w:t>Paciente / Cliente</w:t>
            </w:r>
          </w:p>
        </w:tc>
        <w:tc>
          <w:tcPr>
            <w:tcW w:type="dxa" w:w="4997"/>
            <w:shd w:fill="F5F9FA"/>
          </w:tcPr>
          <w:p>
            <w:pPr>
              <w:spacing w:after="40"/>
            </w:pPr>
            <w:r>
              <w:rPr>
                <w:sz w:val="15"/>
              </w:rPr>
              <w:t>Recibe la notificación y recoge el pedido. No opera el módulo.</w:t>
            </w:r>
          </w:p>
        </w:tc>
      </w:tr>
      <w:tr>
        <w:trPr>
          <w:cantSplit/>
        </w:trPr>
        <w:tc>
          <w:tcPr>
            <w:tcW w:type="dxa" w:w="4997"/>
          </w:tcPr>
          <w:p>
            <w:pPr>
              <w:spacing w:after="40"/>
            </w:pPr>
            <w:r>
              <w:rPr>
                <w:sz w:val="15"/>
              </w:rPr>
              <w:t>Laboratorio externo</w:t>
            </w:r>
          </w:p>
        </w:tc>
        <w:tc>
          <w:tcPr>
            <w:tcW w:type="dxa" w:w="4997"/>
          </w:tcPr>
          <w:p>
            <w:pPr>
              <w:spacing w:after="40"/>
            </w:pPr>
            <w:r>
              <w:rPr>
                <w:sz w:val="15"/>
              </w:rPr>
              <w:t>Destino físico de envío y origen del producto armado; no se asume acceso al sistema.</w:t>
            </w:r>
          </w:p>
        </w:tc>
      </w:tr>
    </w:tbl>
    <w:p/>
    <w:p>
      <w:pPr>
        <w:pStyle w:val="Heading1"/>
      </w:pPr>
      <w:r>
        <w:t>4. Casos de uso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17324D"/>
          </w:tcPr>
          <w:p>
            <w:r>
              <w:rPr>
                <w:b/>
                <w:color w:val="FFFFFF"/>
                <w:sz w:val="16"/>
              </w:rPr>
              <w:t>CU</w:t>
            </w:r>
          </w:p>
        </w:tc>
        <w:tc>
          <w:tcPr>
            <w:tcW w:type="dxa" w:w="2498"/>
            <w:shd w:fill="17324D"/>
          </w:tcPr>
          <w:p>
            <w:r>
              <w:rPr>
                <w:b/>
                <w:color w:val="FFFFFF"/>
                <w:sz w:val="16"/>
              </w:rPr>
              <w:t>Nombre</w:t>
            </w:r>
          </w:p>
        </w:tc>
        <w:tc>
          <w:tcPr>
            <w:tcW w:type="dxa" w:w="2498"/>
            <w:shd w:fill="17324D"/>
          </w:tcPr>
          <w:p>
            <w:r>
              <w:rPr>
                <w:b/>
                <w:color w:val="FFFFFF"/>
                <w:sz w:val="16"/>
              </w:rPr>
              <w:t>Entrada</w:t>
            </w:r>
          </w:p>
        </w:tc>
        <w:tc>
          <w:tcPr>
            <w:tcW w:type="dxa" w:w="2498"/>
            <w:shd w:fill="17324D"/>
          </w:tcPr>
          <w:p>
            <w:r>
              <w:rPr>
                <w:b/>
                <w:color w:val="FFFFFF"/>
                <w:sz w:val="16"/>
              </w:rPr>
              <w:t>Salida principal</w:t>
            </w:r>
          </w:p>
        </w:tc>
      </w:tr>
      <w:tr>
        <w:trPr>
          <w:cantSplit/>
        </w:trPr>
        <w:tc>
          <w:tcPr>
            <w:tcW w:type="dxa" w:w="2498"/>
            <w:shd w:fill="F5F9FA"/>
          </w:tcPr>
          <w:p>
            <w:pPr>
              <w:spacing w:after="40"/>
            </w:pPr>
            <w:r>
              <w:rPr>
                <w:sz w:val="15"/>
              </w:rPr>
              <w:t>CU9</w:t>
            </w:r>
          </w:p>
        </w:tc>
        <w:tc>
          <w:tcPr>
            <w:tcW w:type="dxa" w:w="2498"/>
            <w:shd w:fill="F5F9FA"/>
          </w:tcPr>
          <w:p>
            <w:pPr>
              <w:spacing w:after="40"/>
            </w:pPr>
            <w:r>
              <w:rPr>
                <w:sz w:val="15"/>
              </w:rPr>
              <w:t>Generar Orden de Trabajo</w:t>
            </w:r>
          </w:p>
        </w:tc>
        <w:tc>
          <w:tcPr>
            <w:tcW w:type="dxa" w:w="2498"/>
            <w:shd w:fill="F5F9FA"/>
          </w:tcPr>
          <w:p>
            <w:pPr>
              <w:spacing w:after="40"/>
            </w:pPr>
            <w:r>
              <w:rPr>
                <w:sz w:val="15"/>
              </w:rPr>
              <w:t>Pedido pendiente con receta/datos</w:t>
            </w:r>
          </w:p>
        </w:tc>
        <w:tc>
          <w:tcPr>
            <w:tcW w:type="dxa" w:w="2498"/>
            <w:shd w:fill="F5F9FA"/>
          </w:tcPr>
          <w:p>
            <w:pPr>
              <w:spacing w:after="40"/>
            </w:pPr>
            <w:r>
              <w:rPr>
                <w:sz w:val="15"/>
              </w:rPr>
              <w:t>OT generada; envío y recepción trazados</w:t>
            </w:r>
          </w:p>
        </w:tc>
      </w:tr>
      <w:tr>
        <w:trPr>
          <w:cantSplit/>
        </w:trPr>
        <w:tc>
          <w:tcPr>
            <w:tcW w:type="dxa" w:w="2498"/>
          </w:tcPr>
          <w:p>
            <w:pPr>
              <w:spacing w:after="40"/>
            </w:pPr>
            <w:r>
              <w:rPr>
                <w:sz w:val="15"/>
              </w:rPr>
              <w:t>CU10</w:t>
            </w:r>
          </w:p>
        </w:tc>
        <w:tc>
          <w:tcPr>
            <w:tcW w:type="dxa" w:w="2498"/>
          </w:tcPr>
          <w:p>
            <w:pPr>
              <w:spacing w:after="40"/>
            </w:pPr>
            <w:r>
              <w:rPr>
                <w:sz w:val="15"/>
              </w:rPr>
              <w:t>Registrar Control de Calidad</w:t>
            </w:r>
          </w:p>
        </w:tc>
        <w:tc>
          <w:tcPr>
            <w:tcW w:type="dxa" w:w="2498"/>
          </w:tcPr>
          <w:p>
            <w:pPr>
              <w:spacing w:after="40"/>
            </w:pPr>
            <w:r>
              <w:rPr>
                <w:sz w:val="15"/>
              </w:rPr>
              <w:t>Lente recibido y OT existente</w:t>
            </w:r>
          </w:p>
        </w:tc>
        <w:tc>
          <w:tcPr>
            <w:tcW w:type="dxa" w:w="2498"/>
          </w:tcPr>
          <w:p>
            <w:pPr>
              <w:spacing w:after="40"/>
            </w:pPr>
            <w:r>
              <w:rPr>
                <w:sz w:val="15"/>
              </w:rPr>
              <w:t>Aprobado o retrasado por rechazo</w:t>
            </w:r>
          </w:p>
        </w:tc>
      </w:tr>
      <w:tr>
        <w:trPr>
          <w:cantSplit/>
        </w:trPr>
        <w:tc>
          <w:tcPr>
            <w:tcW w:type="dxa" w:w="2498"/>
            <w:shd w:fill="F5F9FA"/>
          </w:tcPr>
          <w:p>
            <w:pPr>
              <w:spacing w:after="40"/>
            </w:pPr>
            <w:r>
              <w:rPr>
                <w:sz w:val="15"/>
              </w:rPr>
              <w:t>CU11</w:t>
            </w:r>
          </w:p>
        </w:tc>
        <w:tc>
          <w:tcPr>
            <w:tcW w:type="dxa" w:w="2498"/>
            <w:shd w:fill="F5F9FA"/>
          </w:tcPr>
          <w:p>
            <w:pPr>
              <w:spacing w:after="40"/>
            </w:pPr>
            <w:r>
              <w:rPr>
                <w:sz w:val="15"/>
              </w:rPr>
              <w:t>Notificar Disponibilidad al Paciente</w:t>
            </w:r>
          </w:p>
        </w:tc>
        <w:tc>
          <w:tcPr>
            <w:tcW w:type="dxa" w:w="2498"/>
            <w:shd w:fill="F5F9FA"/>
          </w:tcPr>
          <w:p>
            <w:pPr>
              <w:spacing w:after="40"/>
            </w:pPr>
            <w:r>
              <w:rPr>
                <w:sz w:val="15"/>
              </w:rPr>
              <w:t>Calidad aprobada; pedido listo</w:t>
            </w:r>
          </w:p>
        </w:tc>
        <w:tc>
          <w:tcPr>
            <w:tcW w:type="dxa" w:w="2498"/>
            <w:shd w:fill="F5F9FA"/>
          </w:tcPr>
          <w:p>
            <w:pPr>
              <w:spacing w:after="40"/>
            </w:pPr>
            <w:r>
              <w:rPr>
                <w:sz w:val="15"/>
              </w:rPr>
              <w:t>Intento/constancia WhatsApp manual o automática</w:t>
            </w:r>
          </w:p>
        </w:tc>
      </w:tr>
      <w:tr>
        <w:trPr>
          <w:cantSplit/>
        </w:trPr>
        <w:tc>
          <w:tcPr>
            <w:tcW w:type="dxa" w:w="2498"/>
          </w:tcPr>
          <w:p>
            <w:pPr>
              <w:spacing w:after="40"/>
            </w:pPr>
            <w:r>
              <w:rPr>
                <w:sz w:val="15"/>
              </w:rPr>
              <w:t>CU12</w:t>
            </w:r>
          </w:p>
        </w:tc>
        <w:tc>
          <w:tcPr>
            <w:tcW w:type="dxa" w:w="2498"/>
          </w:tcPr>
          <w:p>
            <w:pPr>
              <w:spacing w:after="40"/>
            </w:pPr>
            <w:r>
              <w:rPr>
                <w:sz w:val="15"/>
              </w:rPr>
              <w:t>Registrar Entrega de Pedido</w:t>
            </w:r>
          </w:p>
        </w:tc>
        <w:tc>
          <w:tcPr>
            <w:tcW w:type="dxa" w:w="2498"/>
          </w:tcPr>
          <w:p>
            <w:pPr>
              <w:spacing w:after="40"/>
            </w:pPr>
            <w:r>
              <w:rPr>
                <w:sz w:val="15"/>
              </w:rPr>
              <w:t>Listo + aprobado + saldo cero</w:t>
            </w:r>
          </w:p>
        </w:tc>
        <w:tc>
          <w:tcPr>
            <w:tcW w:type="dxa" w:w="2498"/>
          </w:tcPr>
          <w:p>
            <w:pPr>
              <w:spacing w:after="40"/>
            </w:pPr>
            <w:r>
              <w:rPr>
                <w:sz w:val="15"/>
              </w:rPr>
              <w:t>Pedido entregado y constancia</w:t>
            </w:r>
          </w:p>
        </w:tc>
      </w:tr>
    </w:tbl>
    <w:p/>
    <w:p>
      <w:pPr>
        <w:pStyle w:val="Heading1"/>
      </w:pPr>
      <w:r>
        <w:t>5. Actividades y requerimientos trazables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17324D"/>
          </w:tcPr>
          <w:p>
            <w:r>
              <w:rPr>
                <w:b/>
                <w:color w:val="FFFFFF"/>
                <w:sz w:val="16"/>
              </w:rPr>
              <w:t>Matriz</w:t>
            </w:r>
          </w:p>
        </w:tc>
        <w:tc>
          <w:tcPr>
            <w:tcW w:type="dxa" w:w="2498"/>
            <w:shd w:fill="17324D"/>
          </w:tcPr>
          <w:p>
            <w:r>
              <w:rPr>
                <w:b/>
                <w:color w:val="FFFFFF"/>
                <w:sz w:val="16"/>
              </w:rPr>
              <w:t>CU</w:t>
            </w:r>
          </w:p>
        </w:tc>
        <w:tc>
          <w:tcPr>
            <w:tcW w:type="dxa" w:w="2498"/>
            <w:shd w:fill="17324D"/>
          </w:tcPr>
          <w:p>
            <w:r>
              <w:rPr>
                <w:b/>
                <w:color w:val="FFFFFF"/>
                <w:sz w:val="16"/>
              </w:rPr>
              <w:t>Actividad</w:t>
            </w:r>
          </w:p>
        </w:tc>
        <w:tc>
          <w:tcPr>
            <w:tcW w:type="dxa" w:w="2498"/>
            <w:shd w:fill="17324D"/>
          </w:tcPr>
          <w:p>
            <w:r>
              <w:rPr>
                <w:b/>
                <w:color w:val="FFFFFF"/>
                <w:sz w:val="16"/>
              </w:rPr>
              <w:t>Requerimiento</w:t>
            </w:r>
          </w:p>
        </w:tc>
      </w:tr>
      <w:tr>
        <w:trPr>
          <w:cantSplit/>
        </w:trPr>
        <w:tc>
          <w:tcPr>
            <w:tcW w:type="dxa" w:w="2498"/>
            <w:shd w:fill="F5F9FA"/>
          </w:tcPr>
          <w:p>
            <w:pPr>
              <w:spacing w:after="40"/>
            </w:pPr>
            <w:r>
              <w:rPr>
                <w:sz w:val="15"/>
              </w:rPr>
              <w:t>RF-55</w:t>
            </w:r>
          </w:p>
        </w:tc>
        <w:tc>
          <w:tcPr>
            <w:tcW w:type="dxa" w:w="2498"/>
            <w:shd w:fill="F5F9FA"/>
          </w:tcPr>
          <w:p>
            <w:pPr>
              <w:spacing w:after="40"/>
            </w:pPr>
            <w:r>
              <w:rPr>
                <w:sz w:val="15"/>
              </w:rPr>
              <w:t>CU9</w:t>
            </w:r>
          </w:p>
        </w:tc>
        <w:tc>
          <w:tcPr>
            <w:tcW w:type="dxa" w:w="2498"/>
            <w:shd w:fill="F5F9FA"/>
          </w:tcPr>
          <w:p>
            <w:pPr>
              <w:spacing w:after="40"/>
            </w:pPr>
            <w:r>
              <w:rPr>
                <w:sz w:val="15"/>
              </w:rPr>
              <w:t>Revisar ventas pendientes de OT</w:t>
            </w:r>
          </w:p>
        </w:tc>
        <w:tc>
          <w:tcPr>
            <w:tcW w:type="dxa" w:w="2498"/>
            <w:shd w:fill="F5F9FA"/>
          </w:tcPr>
          <w:p>
            <w:pPr>
              <w:spacing w:after="40"/>
            </w:pPr>
            <w:r>
              <w:rPr>
                <w:sz w:val="15"/>
              </w:rPr>
              <w:t>Visualizar y filtrar pedidos con estado «Pendiente de OT».</w:t>
            </w:r>
          </w:p>
        </w:tc>
      </w:tr>
      <w:tr>
        <w:trPr>
          <w:cantSplit/>
        </w:trPr>
        <w:tc>
          <w:tcPr>
            <w:tcW w:type="dxa" w:w="2498"/>
          </w:tcPr>
          <w:p>
            <w:pPr>
              <w:spacing w:after="40"/>
            </w:pPr>
            <w:r>
              <w:rPr>
                <w:sz w:val="15"/>
              </w:rPr>
              <w:t>RF-56</w:t>
            </w:r>
          </w:p>
        </w:tc>
        <w:tc>
          <w:tcPr>
            <w:tcW w:type="dxa" w:w="2498"/>
          </w:tcPr>
          <w:p>
            <w:pPr>
              <w:spacing w:after="40"/>
            </w:pPr>
            <w:r>
              <w:rPr>
                <w:sz w:val="15"/>
              </w:rPr>
              <w:t>CU9</w:t>
            </w:r>
          </w:p>
        </w:tc>
        <w:tc>
          <w:tcPr>
            <w:tcW w:type="dxa" w:w="2498"/>
          </w:tcPr>
          <w:p>
            <w:pPr>
              <w:spacing w:after="40"/>
            </w:pPr>
            <w:r>
              <w:rPr>
                <w:sz w:val="15"/>
              </w:rPr>
              <w:t>Generar orden de trabajo</w:t>
            </w:r>
          </w:p>
        </w:tc>
        <w:tc>
          <w:tcPr>
            <w:tcW w:type="dxa" w:w="2498"/>
          </w:tcPr>
          <w:p>
            <w:pPr>
              <w:spacing w:after="40"/>
            </w:pPr>
            <w:r>
              <w:rPr>
                <w:sz w:val="15"/>
              </w:rPr>
              <w:t>Generar una OT con datos del paciente, receta, medidas y especificaciones del lente.</w:t>
            </w:r>
          </w:p>
        </w:tc>
      </w:tr>
      <w:tr>
        <w:trPr>
          <w:cantSplit/>
        </w:trPr>
        <w:tc>
          <w:tcPr>
            <w:tcW w:type="dxa" w:w="2498"/>
            <w:shd w:fill="F5F9FA"/>
          </w:tcPr>
          <w:p>
            <w:pPr>
              <w:spacing w:after="40"/>
            </w:pPr>
            <w:r>
              <w:rPr>
                <w:sz w:val="15"/>
              </w:rPr>
              <w:t>RF-57</w:t>
            </w:r>
          </w:p>
        </w:tc>
        <w:tc>
          <w:tcPr>
            <w:tcW w:type="dxa" w:w="2498"/>
            <w:shd w:fill="F5F9FA"/>
          </w:tcPr>
          <w:p>
            <w:pPr>
              <w:spacing w:after="40"/>
            </w:pPr>
            <w:r>
              <w:rPr>
                <w:sz w:val="15"/>
              </w:rPr>
              <w:t>CU9</w:t>
            </w:r>
          </w:p>
        </w:tc>
        <w:tc>
          <w:tcPr>
            <w:tcW w:type="dxa" w:w="2498"/>
            <w:shd w:fill="F5F9FA"/>
          </w:tcPr>
          <w:p>
            <w:pPr>
              <w:spacing w:after="40"/>
            </w:pPr>
            <w:r>
              <w:rPr>
                <w:sz w:val="15"/>
              </w:rPr>
              <w:t>Registrar envío al laboratorio</w:t>
            </w:r>
          </w:p>
        </w:tc>
        <w:tc>
          <w:tcPr>
            <w:tcW w:type="dxa" w:w="2498"/>
            <w:shd w:fill="F5F9FA"/>
          </w:tcPr>
          <w:p>
            <w:pPr>
              <w:spacing w:after="40"/>
            </w:pPr>
            <w:r>
              <w:rPr>
                <w:sz w:val="15"/>
              </w:rPr>
              <w:t>Registrar la salida de la montura y la OT hacia el laboratorio externo.</w:t>
            </w:r>
          </w:p>
        </w:tc>
      </w:tr>
      <w:tr>
        <w:trPr>
          <w:cantSplit/>
        </w:trPr>
        <w:tc>
          <w:tcPr>
            <w:tcW w:type="dxa" w:w="2498"/>
          </w:tcPr>
          <w:p>
            <w:pPr>
              <w:spacing w:after="40"/>
            </w:pPr>
            <w:r>
              <w:rPr>
                <w:sz w:val="15"/>
              </w:rPr>
              <w:t>RF-58</w:t>
            </w:r>
          </w:p>
        </w:tc>
        <w:tc>
          <w:tcPr>
            <w:tcW w:type="dxa" w:w="2498"/>
          </w:tcPr>
          <w:p>
            <w:pPr>
              <w:spacing w:after="40"/>
            </w:pPr>
            <w:r>
              <w:rPr>
                <w:sz w:val="15"/>
              </w:rPr>
              <w:t>CU9</w:t>
            </w:r>
          </w:p>
        </w:tc>
        <w:tc>
          <w:tcPr>
            <w:tcW w:type="dxa" w:w="2498"/>
          </w:tcPr>
          <w:p>
            <w:pPr>
              <w:spacing w:after="40"/>
            </w:pPr>
            <w:r>
              <w:rPr>
                <w:sz w:val="15"/>
              </w:rPr>
              <w:t>Confirmar envío del pedido</w:t>
            </w:r>
          </w:p>
        </w:tc>
        <w:tc>
          <w:tcPr>
            <w:tcW w:type="dxa" w:w="2498"/>
          </w:tcPr>
          <w:p>
            <w:pPr>
              <w:spacing w:after="40"/>
            </w:pPr>
            <w:r>
              <w:rPr>
                <w:sz w:val="15"/>
              </w:rPr>
              <w:t>Cambiar el estado del pedido a «Enviado a Laboratorio».</w:t>
            </w:r>
          </w:p>
        </w:tc>
      </w:tr>
      <w:tr>
        <w:trPr>
          <w:cantSplit/>
        </w:trPr>
        <w:tc>
          <w:tcPr>
            <w:tcW w:type="dxa" w:w="2498"/>
            <w:shd w:fill="F5F9FA"/>
          </w:tcPr>
          <w:p>
            <w:pPr>
              <w:spacing w:after="40"/>
            </w:pPr>
            <w:r>
              <w:rPr>
                <w:sz w:val="15"/>
              </w:rPr>
              <w:t>RF-59</w:t>
            </w:r>
          </w:p>
        </w:tc>
        <w:tc>
          <w:tcPr>
            <w:tcW w:type="dxa" w:w="2498"/>
            <w:shd w:fill="F5F9FA"/>
          </w:tcPr>
          <w:p>
            <w:pPr>
              <w:spacing w:after="40"/>
            </w:pPr>
            <w:r>
              <w:rPr>
                <w:sz w:val="15"/>
              </w:rPr>
              <w:t>CU9</w:t>
            </w:r>
          </w:p>
        </w:tc>
        <w:tc>
          <w:tcPr>
            <w:tcW w:type="dxa" w:w="2498"/>
            <w:shd w:fill="F5F9FA"/>
          </w:tcPr>
          <w:p>
            <w:pPr>
              <w:spacing w:after="40"/>
            </w:pPr>
            <w:r>
              <w:rPr>
                <w:sz w:val="15"/>
              </w:rPr>
              <w:t>Registrar recepción del producto terminado</w:t>
            </w:r>
          </w:p>
        </w:tc>
        <w:tc>
          <w:tcPr>
            <w:tcW w:type="dxa" w:w="2498"/>
            <w:shd w:fill="F5F9FA"/>
          </w:tcPr>
          <w:p>
            <w:pPr>
              <w:spacing w:after="40"/>
            </w:pPr>
            <w:r>
              <w:rPr>
                <w:sz w:val="15"/>
              </w:rPr>
              <w:t>Registrar la recepción del lente armado devuelto por el laboratorio.</w:t>
            </w:r>
          </w:p>
        </w:tc>
      </w:tr>
      <w:tr>
        <w:trPr>
          <w:cantSplit/>
        </w:trPr>
        <w:tc>
          <w:tcPr>
            <w:tcW w:type="dxa" w:w="2498"/>
          </w:tcPr>
          <w:p>
            <w:pPr>
              <w:spacing w:after="40"/>
            </w:pPr>
            <w:r>
              <w:rPr>
                <w:sz w:val="15"/>
              </w:rPr>
              <w:t>RF-60</w:t>
            </w:r>
          </w:p>
        </w:tc>
        <w:tc>
          <w:tcPr>
            <w:tcW w:type="dxa" w:w="2498"/>
          </w:tcPr>
          <w:p>
            <w:pPr>
              <w:spacing w:after="40"/>
            </w:pPr>
            <w:r>
              <w:rPr>
                <w:sz w:val="15"/>
              </w:rPr>
              <w:t>CU10</w:t>
            </w:r>
          </w:p>
        </w:tc>
        <w:tc>
          <w:tcPr>
            <w:tcW w:type="dxa" w:w="2498"/>
          </w:tcPr>
          <w:p>
            <w:pPr>
              <w:spacing w:after="40"/>
            </w:pPr>
            <w:r>
              <w:rPr>
                <w:sz w:val="15"/>
              </w:rPr>
              <w:t>Realizar control de calidad</w:t>
            </w:r>
          </w:p>
        </w:tc>
        <w:tc>
          <w:tcPr>
            <w:tcW w:type="dxa" w:w="2498"/>
          </w:tcPr>
          <w:p>
            <w:pPr>
              <w:spacing w:after="40"/>
            </w:pPr>
            <w:r>
              <w:rPr>
                <w:sz w:val="15"/>
              </w:rPr>
              <w:t>Registrar los resultados de lensometría del producto terminado.</w:t>
            </w:r>
          </w:p>
        </w:tc>
      </w:tr>
      <w:tr>
        <w:trPr>
          <w:cantSplit/>
        </w:trPr>
        <w:tc>
          <w:tcPr>
            <w:tcW w:type="dxa" w:w="2498"/>
            <w:shd w:fill="F5F9FA"/>
          </w:tcPr>
          <w:p>
            <w:pPr>
              <w:spacing w:after="40"/>
            </w:pPr>
            <w:r>
              <w:rPr>
                <w:sz w:val="15"/>
              </w:rPr>
              <w:t>RF-61</w:t>
            </w:r>
          </w:p>
        </w:tc>
        <w:tc>
          <w:tcPr>
            <w:tcW w:type="dxa" w:w="2498"/>
            <w:shd w:fill="F5F9FA"/>
          </w:tcPr>
          <w:p>
            <w:pPr>
              <w:spacing w:after="40"/>
            </w:pPr>
            <w:r>
              <w:rPr>
                <w:sz w:val="15"/>
              </w:rPr>
              <w:t>CU10</w:t>
            </w:r>
          </w:p>
        </w:tc>
        <w:tc>
          <w:tcPr>
            <w:tcW w:type="dxa" w:w="2498"/>
            <w:shd w:fill="F5F9FA"/>
          </w:tcPr>
          <w:p>
            <w:pPr>
              <w:spacing w:after="40"/>
            </w:pPr>
            <w:r>
              <w:rPr>
                <w:sz w:val="15"/>
              </w:rPr>
              <w:t>Registrar rechazo del lente cuando no cumple</w:t>
            </w:r>
          </w:p>
        </w:tc>
        <w:tc>
          <w:tcPr>
            <w:tcW w:type="dxa" w:w="2498"/>
            <w:shd w:fill="F5F9FA"/>
          </w:tcPr>
          <w:p>
            <w:pPr>
              <w:spacing w:after="40"/>
            </w:pPr>
            <w:r>
              <w:rPr>
                <w:sz w:val="15"/>
              </w:rPr>
              <w:t>Marcar el pedido como «Retrasado» cuando el lente no cumple la receta.</w:t>
            </w:r>
          </w:p>
        </w:tc>
      </w:tr>
      <w:tr>
        <w:trPr>
          <w:cantSplit/>
        </w:trPr>
        <w:tc>
          <w:tcPr>
            <w:tcW w:type="dxa" w:w="2498"/>
          </w:tcPr>
          <w:p>
            <w:pPr>
              <w:spacing w:after="40"/>
            </w:pPr>
            <w:r>
              <w:rPr>
                <w:sz w:val="15"/>
              </w:rPr>
              <w:t>RF-62</w:t>
            </w:r>
          </w:p>
        </w:tc>
        <w:tc>
          <w:tcPr>
            <w:tcW w:type="dxa" w:w="2498"/>
          </w:tcPr>
          <w:p>
            <w:pPr>
              <w:spacing w:after="40"/>
            </w:pPr>
            <w:r>
              <w:rPr>
                <w:sz w:val="15"/>
              </w:rPr>
              <w:t>CU10</w:t>
            </w:r>
          </w:p>
        </w:tc>
        <w:tc>
          <w:tcPr>
            <w:tcW w:type="dxa" w:w="2498"/>
          </w:tcPr>
          <w:p>
            <w:pPr>
              <w:spacing w:after="40"/>
            </w:pPr>
            <w:r>
              <w:rPr>
                <w:sz w:val="15"/>
              </w:rPr>
              <w:t>Registrar aprobación del lente cuando cumple</w:t>
            </w:r>
          </w:p>
        </w:tc>
        <w:tc>
          <w:tcPr>
            <w:tcW w:type="dxa" w:w="2498"/>
          </w:tcPr>
          <w:p>
            <w:pPr>
              <w:spacing w:after="40"/>
            </w:pPr>
            <w:r>
              <w:rPr>
                <w:sz w:val="15"/>
              </w:rPr>
              <w:t>Aprobar el control de calidad cuando las medidas coinciden con la receta.</w:t>
            </w:r>
          </w:p>
        </w:tc>
      </w:tr>
      <w:tr>
        <w:trPr>
          <w:cantSplit/>
        </w:trPr>
        <w:tc>
          <w:tcPr>
            <w:tcW w:type="dxa" w:w="2498"/>
            <w:shd w:fill="F5F9FA"/>
          </w:tcPr>
          <w:p>
            <w:pPr>
              <w:spacing w:after="40"/>
            </w:pPr>
            <w:r>
              <w:rPr>
                <w:sz w:val="15"/>
              </w:rPr>
              <w:t>SIN CÓDIGO</w:t>
            </w:r>
          </w:p>
        </w:tc>
        <w:tc>
          <w:tcPr>
            <w:tcW w:type="dxa" w:w="2498"/>
            <w:shd w:fill="F5F9FA"/>
          </w:tcPr>
          <w:p>
            <w:pPr>
              <w:spacing w:after="40"/>
            </w:pPr>
            <w:r>
              <w:rPr>
                <w:sz w:val="15"/>
              </w:rPr>
              <w:t>CU10→CU11</w:t>
            </w:r>
          </w:p>
        </w:tc>
        <w:tc>
          <w:tcPr>
            <w:tcW w:type="dxa" w:w="2498"/>
            <w:shd w:fill="F5F9FA"/>
          </w:tcPr>
          <w:p>
            <w:pPr>
              <w:spacing w:after="40"/>
            </w:pPr>
            <w:r>
              <w:rPr>
                <w:sz w:val="15"/>
              </w:rPr>
              <w:t>Actividad sin RF numerado, fila 56</w:t>
            </w:r>
          </w:p>
        </w:tc>
        <w:tc>
          <w:tcPr>
            <w:tcW w:type="dxa" w:w="2498"/>
            <w:shd w:fill="F5F9FA"/>
          </w:tcPr>
          <w:p>
            <w:pPr>
              <w:spacing w:after="40"/>
            </w:pPr>
            <w:r>
              <w:rPr>
                <w:sz w:val="15"/>
              </w:rPr>
              <w:t>Actualizar el pedido a «Listo para entrega» después de aprobar el control de calidad.</w:t>
            </w:r>
          </w:p>
        </w:tc>
      </w:tr>
      <w:tr>
        <w:trPr>
          <w:cantSplit/>
        </w:trPr>
        <w:tc>
          <w:tcPr>
            <w:tcW w:type="dxa" w:w="2498"/>
          </w:tcPr>
          <w:p>
            <w:pPr>
              <w:spacing w:after="40"/>
            </w:pPr>
            <w:r>
              <w:rPr>
                <w:sz w:val="15"/>
              </w:rPr>
              <w:t>RF-63</w:t>
            </w:r>
          </w:p>
        </w:tc>
        <w:tc>
          <w:tcPr>
            <w:tcW w:type="dxa" w:w="2498"/>
          </w:tcPr>
          <w:p>
            <w:pPr>
              <w:spacing w:after="40"/>
            </w:pPr>
            <w:r>
              <w:rPr>
                <w:sz w:val="15"/>
              </w:rPr>
              <w:t>CU11</w:t>
            </w:r>
          </w:p>
        </w:tc>
        <w:tc>
          <w:tcPr>
            <w:tcW w:type="dxa" w:w="2498"/>
          </w:tcPr>
          <w:p>
            <w:pPr>
              <w:spacing w:after="40"/>
            </w:pPr>
            <w:r>
              <w:rPr>
                <w:sz w:val="15"/>
              </w:rPr>
              <w:t>Preparar pedido para entrega</w:t>
            </w:r>
          </w:p>
        </w:tc>
        <w:tc>
          <w:tcPr>
            <w:tcW w:type="dxa" w:w="2498"/>
          </w:tcPr>
          <w:p>
            <w:pPr>
              <w:spacing w:after="40"/>
            </w:pPr>
            <w:r>
              <w:rPr>
                <w:sz w:val="15"/>
              </w:rPr>
              <w:t>Permitir mandar una notificación vía WhatsApp al cliente.</w:t>
            </w:r>
          </w:p>
        </w:tc>
      </w:tr>
      <w:tr>
        <w:trPr>
          <w:cantSplit/>
        </w:trPr>
        <w:tc>
          <w:tcPr>
            <w:tcW w:type="dxa" w:w="2498"/>
            <w:shd w:fill="F5F9FA"/>
          </w:tcPr>
          <w:p>
            <w:pPr>
              <w:spacing w:after="40"/>
            </w:pPr>
            <w:r>
              <w:rPr>
                <w:sz w:val="15"/>
              </w:rPr>
              <w:t>RF-64</w:t>
            </w:r>
          </w:p>
        </w:tc>
        <w:tc>
          <w:tcPr>
            <w:tcW w:type="dxa" w:w="2498"/>
            <w:shd w:fill="F5F9FA"/>
          </w:tcPr>
          <w:p>
            <w:pPr>
              <w:spacing w:after="40"/>
            </w:pPr>
            <w:r>
              <w:rPr>
                <w:sz w:val="15"/>
              </w:rPr>
              <w:t>CU11</w:t>
            </w:r>
          </w:p>
        </w:tc>
        <w:tc>
          <w:tcPr>
            <w:tcW w:type="dxa" w:w="2498"/>
            <w:shd w:fill="F5F9FA"/>
          </w:tcPr>
          <w:p>
            <w:pPr>
              <w:spacing w:after="40"/>
            </w:pPr>
            <w:r>
              <w:rPr>
                <w:sz w:val="15"/>
              </w:rPr>
              <w:t>Notificar disponibilidad del pedido al paciente</w:t>
            </w:r>
          </w:p>
        </w:tc>
        <w:tc>
          <w:tcPr>
            <w:tcW w:type="dxa" w:w="2498"/>
            <w:shd w:fill="F5F9FA"/>
          </w:tcPr>
          <w:p>
            <w:pPr>
              <w:spacing w:after="40"/>
            </w:pPr>
            <w:r>
              <w:rPr>
                <w:sz w:val="15"/>
              </w:rPr>
              <w:t>Registrar que se notificó al cliente.</w:t>
            </w:r>
          </w:p>
        </w:tc>
      </w:tr>
      <w:tr>
        <w:trPr>
          <w:cantSplit/>
        </w:trPr>
        <w:tc>
          <w:tcPr>
            <w:tcW w:type="dxa" w:w="2498"/>
          </w:tcPr>
          <w:p>
            <w:pPr>
              <w:spacing w:after="40"/>
            </w:pPr>
            <w:r>
              <w:rPr>
                <w:sz w:val="15"/>
              </w:rPr>
              <w:t>RF-65</w:t>
            </w:r>
          </w:p>
        </w:tc>
        <w:tc>
          <w:tcPr>
            <w:tcW w:type="dxa" w:w="2498"/>
          </w:tcPr>
          <w:p>
            <w:pPr>
              <w:spacing w:after="40"/>
            </w:pPr>
            <w:r>
              <w:rPr>
                <w:sz w:val="15"/>
              </w:rPr>
              <w:t>CU12</w:t>
            </w:r>
          </w:p>
        </w:tc>
        <w:tc>
          <w:tcPr>
            <w:tcW w:type="dxa" w:w="2498"/>
          </w:tcPr>
          <w:p>
            <w:pPr>
              <w:spacing w:after="40"/>
            </w:pPr>
            <w:r>
              <w:rPr>
                <w:sz w:val="15"/>
              </w:rPr>
              <w:t>Entregar pedido al cliente</w:t>
            </w:r>
          </w:p>
        </w:tc>
        <w:tc>
          <w:tcPr>
            <w:tcW w:type="dxa" w:w="2498"/>
          </w:tcPr>
          <w:p>
            <w:pPr>
              <w:spacing w:after="40"/>
            </w:pPr>
            <w:r>
              <w:rPr>
                <w:sz w:val="15"/>
              </w:rPr>
              <w:t>Permitir al vendedor consultar el estado del pedido antes de entregarlo.</w:t>
            </w:r>
          </w:p>
        </w:tc>
      </w:tr>
    </w:tbl>
    <w:p/>
    <w:p>
      <w:pPr>
        <w:pStyle w:val="Heading1"/>
      </w:pPr>
      <w:r>
        <w:t>6. Reglas de negocio consolidadas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17324D"/>
          </w:tcPr>
          <w:p>
            <w:r>
              <w:rPr>
                <w:b/>
                <w:color w:val="FFFFFF"/>
                <w:sz w:val="16"/>
              </w:rPr>
              <w:t>ID operativo</w:t>
            </w:r>
          </w:p>
        </w:tc>
        <w:tc>
          <w:tcPr>
            <w:tcW w:type="dxa" w:w="2498"/>
            <w:shd w:fill="17324D"/>
          </w:tcPr>
          <w:p>
            <w:r>
              <w:rPr>
                <w:b/>
                <w:color w:val="FFFFFF"/>
                <w:sz w:val="16"/>
              </w:rPr>
              <w:t>Regla</w:t>
            </w:r>
          </w:p>
        </w:tc>
        <w:tc>
          <w:tcPr>
            <w:tcW w:type="dxa" w:w="2498"/>
            <w:shd w:fill="17324D"/>
          </w:tcPr>
          <w:p>
            <w:r>
              <w:rPr>
                <w:b/>
                <w:color w:val="FFFFFF"/>
                <w:sz w:val="16"/>
              </w:rPr>
              <w:t>Fundamento</w:t>
            </w:r>
          </w:p>
        </w:tc>
        <w:tc>
          <w:tcPr>
            <w:tcW w:type="dxa" w:w="2498"/>
            <w:shd w:fill="17324D"/>
          </w:tcPr>
          <w:p>
            <w:r>
              <w:rPr>
                <w:b/>
                <w:color w:val="FFFFFF"/>
                <w:sz w:val="16"/>
              </w:rPr>
              <w:t>CU</w:t>
            </w:r>
          </w:p>
        </w:tc>
      </w:tr>
      <w:tr>
        <w:trPr>
          <w:cantSplit/>
        </w:trPr>
        <w:tc>
          <w:tcPr>
            <w:tcW w:type="dxa" w:w="2498"/>
            <w:shd w:fill="F5F9FA"/>
          </w:tcPr>
          <w:p>
            <w:pPr>
              <w:spacing w:after="40"/>
            </w:pPr>
            <w:r>
              <w:rPr>
                <w:sz w:val="15"/>
              </w:rPr>
              <w:t>RN-BUC03-01</w:t>
            </w:r>
          </w:p>
        </w:tc>
        <w:tc>
          <w:tcPr>
            <w:tcW w:type="dxa" w:w="2498"/>
            <w:shd w:fill="F5F9FA"/>
          </w:tcPr>
          <w:p>
            <w:pPr>
              <w:spacing w:after="40"/>
            </w:pPr>
            <w:r>
              <w:rPr>
                <w:sz w:val="15"/>
              </w:rPr>
              <w:t>La OT se genera a partir de un pedido elegible «Pendiente de OT», con receta, datos del paciente y especificaciones ópticas disponibles.</w:t>
            </w:r>
          </w:p>
        </w:tc>
        <w:tc>
          <w:tcPr>
            <w:tcW w:type="dxa" w:w="2498"/>
            <w:shd w:fill="F5F9FA"/>
          </w:tcPr>
          <w:p>
            <w:pPr>
              <w:spacing w:after="40"/>
            </w:pPr>
            <w:r>
              <w:rPr>
                <w:sz w:val="15"/>
              </w:rPr>
              <w:t>Matriz RF-55–56 + documento previo</w:t>
            </w:r>
          </w:p>
        </w:tc>
        <w:tc>
          <w:tcPr>
            <w:tcW w:type="dxa" w:w="2498"/>
            <w:shd w:fill="F5F9FA"/>
          </w:tcPr>
          <w:p>
            <w:pPr>
              <w:spacing w:after="40"/>
            </w:pPr>
            <w:r>
              <w:rPr>
                <w:sz w:val="15"/>
              </w:rPr>
              <w:t>CU9</w:t>
            </w:r>
          </w:p>
        </w:tc>
      </w:tr>
      <w:tr>
        <w:trPr>
          <w:cantSplit/>
        </w:trPr>
        <w:tc>
          <w:tcPr>
            <w:tcW w:type="dxa" w:w="2498"/>
          </w:tcPr>
          <w:p>
            <w:pPr>
              <w:spacing w:after="40"/>
            </w:pPr>
            <w:r>
              <w:rPr>
                <w:sz w:val="15"/>
              </w:rPr>
              <w:t>RN-BUC03-02</w:t>
            </w:r>
          </w:p>
        </w:tc>
        <w:tc>
          <w:tcPr>
            <w:tcW w:type="dxa" w:w="2498"/>
          </w:tcPr>
          <w:p>
            <w:pPr>
              <w:spacing w:after="40"/>
            </w:pPr>
            <w:r>
              <w:rPr>
                <w:sz w:val="15"/>
              </w:rPr>
              <w:t>No registrar un envío sin OT existente ni confirmar recepción sin envío registrado.</w:t>
            </w:r>
          </w:p>
        </w:tc>
        <w:tc>
          <w:tcPr>
            <w:tcW w:type="dxa" w:w="2498"/>
          </w:tcPr>
          <w:p>
            <w:pPr>
              <w:spacing w:after="40"/>
            </w:pPr>
            <w:r>
              <w:rPr>
                <w:sz w:val="15"/>
              </w:rPr>
              <w:t>Documento previo CU9</w:t>
            </w:r>
          </w:p>
        </w:tc>
        <w:tc>
          <w:tcPr>
            <w:tcW w:type="dxa" w:w="2498"/>
          </w:tcPr>
          <w:p>
            <w:pPr>
              <w:spacing w:after="40"/>
            </w:pPr>
            <w:r>
              <w:rPr>
                <w:sz w:val="15"/>
              </w:rPr>
              <w:t>CU9</w:t>
            </w:r>
          </w:p>
        </w:tc>
      </w:tr>
      <w:tr>
        <w:trPr>
          <w:cantSplit/>
        </w:trPr>
        <w:tc>
          <w:tcPr>
            <w:tcW w:type="dxa" w:w="2498"/>
            <w:shd w:fill="F5F9FA"/>
          </w:tcPr>
          <w:p>
            <w:pPr>
              <w:spacing w:after="40"/>
            </w:pPr>
            <w:r>
              <w:rPr>
                <w:sz w:val="15"/>
              </w:rPr>
              <w:t>RN-BUC03-03</w:t>
            </w:r>
          </w:p>
        </w:tc>
        <w:tc>
          <w:tcPr>
            <w:tcW w:type="dxa" w:w="2498"/>
            <w:shd w:fill="F5F9FA"/>
          </w:tcPr>
          <w:p>
            <w:pPr>
              <w:spacing w:after="40"/>
            </w:pPr>
            <w:r>
              <w:rPr>
                <w:sz w:val="15"/>
              </w:rPr>
              <w:t>El envío de OT y montura al laboratorio debe quedar registrado; después se refleja «Enviado a Laboratorio».</w:t>
            </w:r>
          </w:p>
        </w:tc>
        <w:tc>
          <w:tcPr>
            <w:tcW w:type="dxa" w:w="2498"/>
            <w:shd w:fill="F5F9FA"/>
          </w:tcPr>
          <w:p>
            <w:pPr>
              <w:spacing w:after="40"/>
            </w:pPr>
            <w:r>
              <w:rPr>
                <w:sz w:val="15"/>
              </w:rPr>
              <w:t>Matriz RF-57–58</w:t>
            </w:r>
          </w:p>
        </w:tc>
        <w:tc>
          <w:tcPr>
            <w:tcW w:type="dxa" w:w="2498"/>
            <w:shd w:fill="F5F9FA"/>
          </w:tcPr>
          <w:p>
            <w:pPr>
              <w:spacing w:after="40"/>
            </w:pPr>
            <w:r>
              <w:rPr>
                <w:sz w:val="15"/>
              </w:rPr>
              <w:t>CU9</w:t>
            </w:r>
          </w:p>
        </w:tc>
      </w:tr>
      <w:tr>
        <w:trPr>
          <w:cantSplit/>
        </w:trPr>
        <w:tc>
          <w:tcPr>
            <w:tcW w:type="dxa" w:w="2498"/>
          </w:tcPr>
          <w:p>
            <w:pPr>
              <w:spacing w:after="40"/>
            </w:pPr>
            <w:r>
              <w:rPr>
                <w:sz w:val="15"/>
              </w:rPr>
              <w:t>RN-BUC03-04</w:t>
            </w:r>
          </w:p>
        </w:tc>
        <w:tc>
          <w:tcPr>
            <w:tcW w:type="dxa" w:w="2498"/>
          </w:tcPr>
          <w:p>
            <w:pPr>
              <w:spacing w:after="40"/>
            </w:pPr>
            <w:r>
              <w:rPr>
                <w:sz w:val="15"/>
              </w:rPr>
              <w:t>La recepción del lente armado se registra antes de iniciar control de calidad.</w:t>
            </w:r>
          </w:p>
        </w:tc>
        <w:tc>
          <w:tcPr>
            <w:tcW w:type="dxa" w:w="2498"/>
          </w:tcPr>
          <w:p>
            <w:pPr>
              <w:spacing w:after="40"/>
            </w:pPr>
            <w:r>
              <w:rPr>
                <w:sz w:val="15"/>
              </w:rPr>
              <w:t>Matriz RF-59 + documento previo</w:t>
            </w:r>
          </w:p>
        </w:tc>
        <w:tc>
          <w:tcPr>
            <w:tcW w:type="dxa" w:w="2498"/>
          </w:tcPr>
          <w:p>
            <w:pPr>
              <w:spacing w:after="40"/>
            </w:pPr>
            <w:r>
              <w:rPr>
                <w:sz w:val="15"/>
              </w:rPr>
              <w:t>CU9, CU10</w:t>
            </w:r>
          </w:p>
        </w:tc>
      </w:tr>
      <w:tr>
        <w:trPr>
          <w:cantSplit/>
        </w:trPr>
        <w:tc>
          <w:tcPr>
            <w:tcW w:type="dxa" w:w="2498"/>
            <w:shd w:fill="F5F9FA"/>
          </w:tcPr>
          <w:p>
            <w:pPr>
              <w:spacing w:after="40"/>
            </w:pPr>
            <w:r>
              <w:rPr>
                <w:sz w:val="15"/>
              </w:rPr>
              <w:t>RN-BUC03-05</w:t>
            </w:r>
          </w:p>
        </w:tc>
        <w:tc>
          <w:tcPr>
            <w:tcW w:type="dxa" w:w="2498"/>
            <w:shd w:fill="F5F9FA"/>
          </w:tcPr>
          <w:p>
            <w:pPr>
              <w:spacing w:after="40"/>
            </w:pPr>
            <w:r>
              <w:rPr>
                <w:sz w:val="15"/>
              </w:rPr>
              <w:t>El técnico/dueño registra resultados de lensometría y contrasta con receta antes de aprobar o rechazar.</w:t>
            </w:r>
          </w:p>
        </w:tc>
        <w:tc>
          <w:tcPr>
            <w:tcW w:type="dxa" w:w="2498"/>
            <w:shd w:fill="F5F9FA"/>
          </w:tcPr>
          <w:p>
            <w:pPr>
              <w:spacing w:after="40"/>
            </w:pPr>
            <w:r>
              <w:rPr>
                <w:sz w:val="15"/>
              </w:rPr>
              <w:t>Matriz RF-60–62</w:t>
            </w:r>
          </w:p>
        </w:tc>
        <w:tc>
          <w:tcPr>
            <w:tcW w:type="dxa" w:w="2498"/>
            <w:shd w:fill="F5F9FA"/>
          </w:tcPr>
          <w:p>
            <w:pPr>
              <w:spacing w:after="40"/>
            </w:pPr>
            <w:r>
              <w:rPr>
                <w:sz w:val="15"/>
              </w:rPr>
              <w:t>CU10</w:t>
            </w:r>
          </w:p>
        </w:tc>
      </w:tr>
      <w:tr>
        <w:trPr>
          <w:cantSplit/>
        </w:trPr>
        <w:tc>
          <w:tcPr>
            <w:tcW w:type="dxa" w:w="2498"/>
          </w:tcPr>
          <w:p>
            <w:pPr>
              <w:spacing w:after="40"/>
            </w:pPr>
            <w:r>
              <w:rPr>
                <w:sz w:val="15"/>
              </w:rPr>
              <w:t>RN-BUC03-06</w:t>
            </w:r>
          </w:p>
        </w:tc>
        <w:tc>
          <w:tcPr>
            <w:tcW w:type="dxa" w:w="2498"/>
          </w:tcPr>
          <w:p>
            <w:pPr>
              <w:spacing w:after="40"/>
            </w:pPr>
            <w:r>
              <w:rPr>
                <w:sz w:val="15"/>
              </w:rPr>
              <w:t>Un resultado no conforme se rechaza, se registra observación y el pedido queda «Retrasado».</w:t>
            </w:r>
          </w:p>
        </w:tc>
        <w:tc>
          <w:tcPr>
            <w:tcW w:type="dxa" w:w="2498"/>
          </w:tcPr>
          <w:p>
            <w:pPr>
              <w:spacing w:after="40"/>
            </w:pPr>
            <w:r>
              <w:rPr>
                <w:sz w:val="15"/>
              </w:rPr>
              <w:t>Matriz RF-61 + documento previo</w:t>
            </w:r>
          </w:p>
        </w:tc>
        <w:tc>
          <w:tcPr>
            <w:tcW w:type="dxa" w:w="2498"/>
          </w:tcPr>
          <w:p>
            <w:pPr>
              <w:spacing w:after="40"/>
            </w:pPr>
            <w:r>
              <w:rPr>
                <w:sz w:val="15"/>
              </w:rPr>
              <w:t>CU10</w:t>
            </w:r>
          </w:p>
        </w:tc>
      </w:tr>
      <w:tr>
        <w:trPr>
          <w:cantSplit/>
        </w:trPr>
        <w:tc>
          <w:tcPr>
            <w:tcW w:type="dxa" w:w="2498"/>
            <w:shd w:fill="F5F9FA"/>
          </w:tcPr>
          <w:p>
            <w:pPr>
              <w:spacing w:after="40"/>
            </w:pPr>
            <w:r>
              <w:rPr>
                <w:sz w:val="15"/>
              </w:rPr>
              <w:t>RN-BUC03-07</w:t>
            </w:r>
          </w:p>
        </w:tc>
        <w:tc>
          <w:tcPr>
            <w:tcW w:type="dxa" w:w="2498"/>
            <w:shd w:fill="F5F9FA"/>
          </w:tcPr>
          <w:p>
            <w:pPr>
              <w:spacing w:after="40"/>
            </w:pPr>
            <w:r>
              <w:rPr>
                <w:sz w:val="15"/>
              </w:rPr>
              <w:t>Solo un control de calidad aprobado permite establecer «Listo para entrega».</w:t>
            </w:r>
          </w:p>
        </w:tc>
        <w:tc>
          <w:tcPr>
            <w:tcW w:type="dxa" w:w="2498"/>
            <w:shd w:fill="F5F9FA"/>
          </w:tcPr>
          <w:p>
            <w:pPr>
              <w:spacing w:after="40"/>
            </w:pPr>
            <w:r>
              <w:rPr>
                <w:sz w:val="15"/>
              </w:rPr>
              <w:t>Fila 56 sin RF + decisión confirmada</w:t>
            </w:r>
          </w:p>
        </w:tc>
        <w:tc>
          <w:tcPr>
            <w:tcW w:type="dxa" w:w="2498"/>
            <w:shd w:fill="F5F9FA"/>
          </w:tcPr>
          <w:p>
            <w:pPr>
              <w:spacing w:after="40"/>
            </w:pPr>
            <w:r>
              <w:rPr>
                <w:sz w:val="15"/>
              </w:rPr>
              <w:t>CU10, CU11, CU12</w:t>
            </w:r>
          </w:p>
        </w:tc>
      </w:tr>
      <w:tr>
        <w:trPr>
          <w:cantSplit/>
        </w:trPr>
        <w:tc>
          <w:tcPr>
            <w:tcW w:type="dxa" w:w="2498"/>
          </w:tcPr>
          <w:p>
            <w:pPr>
              <w:spacing w:after="40"/>
            </w:pPr>
            <w:r>
              <w:rPr>
                <w:sz w:val="15"/>
              </w:rPr>
              <w:t>RN-BUC03-08</w:t>
            </w:r>
          </w:p>
        </w:tc>
        <w:tc>
          <w:tcPr>
            <w:tcW w:type="dxa" w:w="2498"/>
          </w:tcPr>
          <w:p>
            <w:pPr>
              <w:spacing w:after="40"/>
            </w:pPr>
            <w:r>
              <w:rPr>
                <w:sz w:val="15"/>
              </w:rPr>
              <w:t>Se admiten notificaciones manuales y automáticas por WhatsApp; debe persistirse el intento o la constancia, sin equiparar intento con entrega efectiva del mensaje.</w:t>
            </w:r>
          </w:p>
        </w:tc>
        <w:tc>
          <w:tcPr>
            <w:tcW w:type="dxa" w:w="2498"/>
          </w:tcPr>
          <w:p>
            <w:pPr>
              <w:spacing w:after="40"/>
            </w:pPr>
            <w:r>
              <w:rPr>
                <w:sz w:val="15"/>
              </w:rPr>
              <w:t>RF-63–64 + decisión confirmada</w:t>
            </w:r>
          </w:p>
        </w:tc>
        <w:tc>
          <w:tcPr>
            <w:tcW w:type="dxa" w:w="2498"/>
          </w:tcPr>
          <w:p>
            <w:pPr>
              <w:spacing w:after="40"/>
            </w:pPr>
            <w:r>
              <w:rPr>
                <w:sz w:val="15"/>
              </w:rPr>
              <w:t>CU11</w:t>
            </w:r>
          </w:p>
        </w:tc>
      </w:tr>
      <w:tr>
        <w:trPr>
          <w:cantSplit/>
        </w:trPr>
        <w:tc>
          <w:tcPr>
            <w:tcW w:type="dxa" w:w="2498"/>
            <w:shd w:fill="F5F9FA"/>
          </w:tcPr>
          <w:p>
            <w:pPr>
              <w:spacing w:after="40"/>
            </w:pPr>
            <w:r>
              <w:rPr>
                <w:sz w:val="15"/>
              </w:rPr>
              <w:t>RN-BUC03-09</w:t>
            </w:r>
          </w:p>
        </w:tc>
        <w:tc>
          <w:tcPr>
            <w:tcW w:type="dxa" w:w="2498"/>
            <w:shd w:fill="F5F9FA"/>
          </w:tcPr>
          <w:p>
            <w:pPr>
              <w:spacing w:after="40"/>
            </w:pPr>
            <w:r>
              <w:rPr>
                <w:sz w:val="15"/>
              </w:rPr>
              <w:t>Una notificación manual no se registra como enviada/realizada sin confirmación del vendedor.</w:t>
            </w:r>
          </w:p>
        </w:tc>
        <w:tc>
          <w:tcPr>
            <w:tcW w:type="dxa" w:w="2498"/>
            <w:shd w:fill="F5F9FA"/>
          </w:tcPr>
          <w:p>
            <w:pPr>
              <w:spacing w:after="40"/>
            </w:pPr>
            <w:r>
              <w:rPr>
                <w:sz w:val="15"/>
              </w:rPr>
              <w:t>Control de integridad propuesto; pendiente de ratificar</w:t>
            </w:r>
          </w:p>
        </w:tc>
        <w:tc>
          <w:tcPr>
            <w:tcW w:type="dxa" w:w="2498"/>
            <w:shd w:fill="F5F9FA"/>
          </w:tcPr>
          <w:p>
            <w:pPr>
              <w:spacing w:after="40"/>
            </w:pPr>
            <w:r>
              <w:rPr>
                <w:sz w:val="15"/>
              </w:rPr>
              <w:t>CU11</w:t>
            </w:r>
          </w:p>
        </w:tc>
      </w:tr>
      <w:tr>
        <w:trPr>
          <w:cantSplit/>
        </w:trPr>
        <w:tc>
          <w:tcPr>
            <w:tcW w:type="dxa" w:w="2498"/>
          </w:tcPr>
          <w:p>
            <w:pPr>
              <w:spacing w:after="40"/>
            </w:pPr>
            <w:r>
              <w:rPr>
                <w:sz w:val="15"/>
              </w:rPr>
              <w:t>RN-BUC03-10</w:t>
            </w:r>
          </w:p>
        </w:tc>
        <w:tc>
          <w:tcPr>
            <w:tcW w:type="dxa" w:w="2498"/>
          </w:tcPr>
          <w:p>
            <w:pPr>
              <w:spacing w:after="40"/>
            </w:pPr>
            <w:r>
              <w:rPr>
                <w:sz w:val="15"/>
              </w:rPr>
              <w:t>Solo un vendedor autorizado registra la entrega, previa consulta del estado.</w:t>
            </w:r>
          </w:p>
        </w:tc>
        <w:tc>
          <w:tcPr>
            <w:tcW w:type="dxa" w:w="2498"/>
          </w:tcPr>
          <w:p>
            <w:pPr>
              <w:spacing w:after="40"/>
            </w:pPr>
            <w:r>
              <w:rPr>
                <w:sz w:val="15"/>
              </w:rPr>
              <w:t>RF-65 + decisión confirmada</w:t>
            </w:r>
          </w:p>
        </w:tc>
        <w:tc>
          <w:tcPr>
            <w:tcW w:type="dxa" w:w="2498"/>
          </w:tcPr>
          <w:p>
            <w:pPr>
              <w:spacing w:after="40"/>
            </w:pPr>
            <w:r>
              <w:rPr>
                <w:sz w:val="15"/>
              </w:rPr>
              <w:t>CU12</w:t>
            </w:r>
          </w:p>
        </w:tc>
      </w:tr>
      <w:tr>
        <w:trPr>
          <w:cantSplit/>
        </w:trPr>
        <w:tc>
          <w:tcPr>
            <w:tcW w:type="dxa" w:w="2498"/>
            <w:shd w:fill="F5F9FA"/>
          </w:tcPr>
          <w:p>
            <w:pPr>
              <w:spacing w:after="40"/>
            </w:pPr>
            <w:r>
              <w:rPr>
                <w:sz w:val="15"/>
              </w:rPr>
              <w:t>RN-BUC03-11</w:t>
            </w:r>
          </w:p>
        </w:tc>
        <w:tc>
          <w:tcPr>
            <w:tcW w:type="dxa" w:w="2498"/>
            <w:shd w:fill="F5F9FA"/>
          </w:tcPr>
          <w:p>
            <w:pPr>
              <w:spacing w:after="40"/>
            </w:pPr>
            <w:r>
              <w:rPr>
                <w:sz w:val="15"/>
              </w:rPr>
              <w:t>La entrega solo se confirma con saldo cero y control de calidad aprobado.</w:t>
            </w:r>
          </w:p>
        </w:tc>
        <w:tc>
          <w:tcPr>
            <w:tcW w:type="dxa" w:w="2498"/>
            <w:shd w:fill="F5F9FA"/>
          </w:tcPr>
          <w:p>
            <w:pPr>
              <w:spacing w:after="40"/>
            </w:pPr>
            <w:r>
              <w:rPr>
                <w:sz w:val="15"/>
              </w:rPr>
              <w:t>Decisión confirmada + hoja «3. REGLAS DE NEGOCIO», filas 26–27</w:t>
            </w:r>
          </w:p>
        </w:tc>
        <w:tc>
          <w:tcPr>
            <w:tcW w:type="dxa" w:w="2498"/>
            <w:shd w:fill="F5F9FA"/>
          </w:tcPr>
          <w:p>
            <w:pPr>
              <w:spacing w:after="40"/>
            </w:pPr>
            <w:r>
              <w:rPr>
                <w:sz w:val="15"/>
              </w:rPr>
              <w:t>CU12</w:t>
            </w:r>
          </w:p>
        </w:tc>
      </w:tr>
      <w:tr>
        <w:trPr>
          <w:cantSplit/>
        </w:trPr>
        <w:tc>
          <w:tcPr>
            <w:tcW w:type="dxa" w:w="2498"/>
          </w:tcPr>
          <w:p>
            <w:pPr>
              <w:spacing w:after="40"/>
            </w:pPr>
            <w:r>
              <w:rPr>
                <w:sz w:val="15"/>
              </w:rPr>
              <w:t>RN-BUC03-12</w:t>
            </w:r>
          </w:p>
        </w:tc>
        <w:tc>
          <w:tcPr>
            <w:tcW w:type="dxa" w:w="2498"/>
          </w:tcPr>
          <w:p>
            <w:pPr>
              <w:spacing w:after="40"/>
            </w:pPr>
            <w:r>
              <w:rPr>
                <w:sz w:val="15"/>
              </w:rPr>
              <w:t>Después de confirmar la entrega, se registra la fecha/hora y el responsable, evitando una segunda entrega del mismo pedido.</w:t>
            </w:r>
          </w:p>
        </w:tc>
        <w:tc>
          <w:tcPr>
            <w:tcW w:type="dxa" w:w="2498"/>
          </w:tcPr>
          <w:p>
            <w:pPr>
              <w:spacing w:after="40"/>
            </w:pPr>
            <w:r>
              <w:rPr>
                <w:sz w:val="15"/>
              </w:rPr>
              <w:t>Documento previo CU12; prevención de duplicidad propuesta</w:t>
            </w:r>
          </w:p>
        </w:tc>
        <w:tc>
          <w:tcPr>
            <w:tcW w:type="dxa" w:w="2498"/>
          </w:tcPr>
          <w:p>
            <w:pPr>
              <w:spacing w:after="40"/>
            </w:pPr>
            <w:r>
              <w:rPr>
                <w:sz w:val="15"/>
              </w:rPr>
              <w:t>CU12</w:t>
            </w:r>
          </w:p>
        </w:tc>
      </w:tr>
    </w:tbl>
    <w:p/>
    <w:p>
      <w:pPr>
        <w:pStyle w:val="Heading1"/>
      </w:pPr>
      <w:r>
        <w:t>7. Secuencia de negocio y decisiones</w:t>
      </w:r>
    </w:p>
    <w:p>
      <w:r>
        <w:t>1. La venta con receta y el pedido se registran fuera del módulo; CU9 visualiza pedidos pendientes de OT.</w:t>
      </w:r>
    </w:p>
    <w:p>
      <w:r>
        <w:t>2. El dueño/técnico valida receta/datos y genera una OT enlazada al pedido.</w:t>
      </w:r>
    </w:p>
    <w:p>
      <w:r>
        <w:t>3. El dueño/técnico o vendedor autorizado registra salida de montura y OT al laboratorio; confirma «Enviado a Laboratorio».</w:t>
      </w:r>
    </w:p>
    <w:p>
      <w:r>
        <w:t>4. A la devolución física, registra recepción del lente terminado; queda pendiente de control de calidad.</w:t>
      </w:r>
    </w:p>
    <w:p>
      <w:r>
        <w:t>5. El dueño/técnico realiza lensometría. Si no cumple: rechaza, registra motivo y marca «Retrasado»; si cumple: aprueba.</w:t>
      </w:r>
    </w:p>
    <w:p>
      <w:r>
        <w:t>6. El pedido aprobado cambia a «Listo para entrega» (fila de matriz sin código RF).</w:t>
      </w:r>
    </w:p>
    <w:p>
      <w:r>
        <w:t>7. El vendedor comunica disponibilidad por WhatsApp de forma manual o mediante automatización habilitada; deja constancia del resultado.</w:t>
      </w:r>
    </w:p>
    <w:p>
      <w:r>
        <w:t>8. Cuando el cliente recoge el pedido, el vendedor consulta estado/calidad y saldo en ventas/pagos.</w:t>
      </w:r>
    </w:p>
    <w:p>
      <w:r>
        <w:t>9. Solo si está listo, la calidad aprobada y el saldo es cero, confirma entrega y el pedido pasa a «Entregado».</w:t>
      </w:r>
    </w:p>
    <w:p>
      <w:pPr>
        <w:pStyle w:val="Heading1"/>
      </w:pPr>
      <w:r>
        <w:t>8. Estados de negocio (no equivalen aún a códigos del DDL)</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24D"/>
          </w:tcPr>
          <w:p>
            <w:r>
              <w:rPr>
                <w:b/>
                <w:color w:val="FFFFFF"/>
                <w:sz w:val="16"/>
              </w:rPr>
              <w:t>Estado de negocio</w:t>
            </w:r>
          </w:p>
        </w:tc>
        <w:tc>
          <w:tcPr>
            <w:tcW w:type="dxa" w:w="4997"/>
            <w:shd w:fill="17324D"/>
          </w:tcPr>
          <w:p>
            <w:r>
              <w:rPr>
                <w:b/>
                <w:color w:val="FFFFFF"/>
                <w:sz w:val="16"/>
              </w:rPr>
              <w:t>Uso y transiciones descritas</w:t>
            </w:r>
          </w:p>
        </w:tc>
      </w:tr>
      <w:tr>
        <w:trPr>
          <w:cantSplit/>
        </w:trPr>
        <w:tc>
          <w:tcPr>
            <w:tcW w:type="dxa" w:w="4997"/>
            <w:shd w:fill="F5F9FA"/>
          </w:tcPr>
          <w:p>
            <w:pPr>
              <w:spacing w:after="40"/>
            </w:pPr>
            <w:r>
              <w:rPr>
                <w:sz w:val="15"/>
              </w:rPr>
              <w:t>Pendiente de OT</w:t>
            </w:r>
          </w:p>
        </w:tc>
        <w:tc>
          <w:tcPr>
            <w:tcW w:type="dxa" w:w="4997"/>
            <w:shd w:fill="F5F9FA"/>
          </w:tcPr>
          <w:p>
            <w:pPr>
              <w:spacing w:after="40"/>
            </w:pPr>
            <w:r>
              <w:rPr>
                <w:sz w:val="15"/>
              </w:rPr>
              <w:t>Estado elegible para generar la OT.</w:t>
            </w:r>
          </w:p>
        </w:tc>
      </w:tr>
      <w:tr>
        <w:trPr>
          <w:cantSplit/>
        </w:trPr>
        <w:tc>
          <w:tcPr>
            <w:tcW w:type="dxa" w:w="4997"/>
          </w:tcPr>
          <w:p>
            <w:pPr>
              <w:spacing w:after="40"/>
            </w:pPr>
            <w:r>
              <w:rPr>
                <w:sz w:val="15"/>
              </w:rPr>
              <w:t>Enviado a Laboratorio</w:t>
            </w:r>
          </w:p>
        </w:tc>
        <w:tc>
          <w:tcPr>
            <w:tcW w:type="dxa" w:w="4997"/>
          </w:tcPr>
          <w:p>
            <w:pPr>
              <w:spacing w:after="40"/>
            </w:pPr>
            <w:r>
              <w:rPr>
                <w:sz w:val="15"/>
              </w:rPr>
              <w:t>Después de registrar la salida y confirmar envío.</w:t>
            </w:r>
          </w:p>
        </w:tc>
      </w:tr>
      <w:tr>
        <w:trPr>
          <w:cantSplit/>
        </w:trPr>
        <w:tc>
          <w:tcPr>
            <w:tcW w:type="dxa" w:w="4997"/>
            <w:shd w:fill="F5F9FA"/>
          </w:tcPr>
          <w:p>
            <w:pPr>
              <w:spacing w:after="40"/>
            </w:pPr>
            <w:r>
              <w:rPr>
                <w:sz w:val="15"/>
              </w:rPr>
              <w:t>Pendiente de Control de Calidad</w:t>
            </w:r>
          </w:p>
        </w:tc>
        <w:tc>
          <w:tcPr>
            <w:tcW w:type="dxa" w:w="4997"/>
            <w:shd w:fill="F5F9FA"/>
          </w:tcPr>
          <w:p>
            <w:pPr>
              <w:spacing w:after="40"/>
            </w:pPr>
            <w:r>
              <w:rPr>
                <w:sz w:val="15"/>
              </w:rPr>
              <w:t>Después de recepción, previo a la aprobación/rechazo.</w:t>
            </w:r>
          </w:p>
        </w:tc>
      </w:tr>
      <w:tr>
        <w:trPr>
          <w:cantSplit/>
        </w:trPr>
        <w:tc>
          <w:tcPr>
            <w:tcW w:type="dxa" w:w="4997"/>
          </w:tcPr>
          <w:p>
            <w:pPr>
              <w:spacing w:after="40"/>
            </w:pPr>
            <w:r>
              <w:rPr>
                <w:sz w:val="15"/>
              </w:rPr>
              <w:t>Retrasado</w:t>
            </w:r>
          </w:p>
        </w:tc>
        <w:tc>
          <w:tcPr>
            <w:tcW w:type="dxa" w:w="4997"/>
          </w:tcPr>
          <w:p>
            <w:pPr>
              <w:spacing w:after="40"/>
            </w:pPr>
            <w:r>
              <w:rPr>
                <w:sz w:val="15"/>
              </w:rPr>
              <w:t>Control de calidad no conforme; gestionar devolución/corrección.</w:t>
            </w:r>
          </w:p>
        </w:tc>
      </w:tr>
      <w:tr>
        <w:trPr>
          <w:cantSplit/>
        </w:trPr>
        <w:tc>
          <w:tcPr>
            <w:tcW w:type="dxa" w:w="4997"/>
            <w:shd w:fill="F5F9FA"/>
          </w:tcPr>
          <w:p>
            <w:pPr>
              <w:spacing w:after="40"/>
            </w:pPr>
            <w:r>
              <w:rPr>
                <w:sz w:val="15"/>
              </w:rPr>
              <w:t>Listo para entrega</w:t>
            </w:r>
          </w:p>
        </w:tc>
        <w:tc>
          <w:tcPr>
            <w:tcW w:type="dxa" w:w="4997"/>
            <w:shd w:fill="F5F9FA"/>
          </w:tcPr>
          <w:p>
            <w:pPr>
              <w:spacing w:after="40"/>
            </w:pPr>
            <w:r>
              <w:rPr>
                <w:sz w:val="15"/>
              </w:rPr>
              <w:t>Solo después de control aprobado.</w:t>
            </w:r>
          </w:p>
        </w:tc>
      </w:tr>
      <w:tr>
        <w:trPr>
          <w:cantSplit/>
        </w:trPr>
        <w:tc>
          <w:tcPr>
            <w:tcW w:type="dxa" w:w="4997"/>
          </w:tcPr>
          <w:p>
            <w:pPr>
              <w:spacing w:after="40"/>
            </w:pPr>
            <w:r>
              <w:rPr>
                <w:sz w:val="15"/>
              </w:rPr>
              <w:t>Entregado</w:t>
            </w:r>
          </w:p>
        </w:tc>
        <w:tc>
          <w:tcPr>
            <w:tcW w:type="dxa" w:w="4997"/>
          </w:tcPr>
          <w:p>
            <w:pPr>
              <w:spacing w:after="40"/>
            </w:pPr>
            <w:r>
              <w:rPr>
                <w:sz w:val="15"/>
              </w:rPr>
              <w:t>Tras registro de entrega, aprobado y saldo cero.</w:t>
            </w:r>
          </w:p>
        </w:tc>
      </w:tr>
    </w:tbl>
    <w:p/>
    <w:p>
      <w:pPr>
        <w:pStyle w:val="Heading1"/>
      </w:pPr>
      <w:r>
        <w:t>9. Dependencias e interfaces entre módulos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7324D"/>
          </w:tcPr>
          <w:p>
            <w:r>
              <w:rPr>
                <w:b/>
                <w:color w:val="FFFFFF"/>
                <w:sz w:val="16"/>
              </w:rPr>
              <w:t>Sistema o módulo</w:t>
            </w:r>
          </w:p>
        </w:tc>
        <w:tc>
          <w:tcPr>
            <w:tcW w:type="dxa" w:w="3331"/>
            <w:shd w:fill="17324D"/>
          </w:tcPr>
          <w:p>
            <w:r>
              <w:rPr>
                <w:b/>
                <w:color w:val="FFFFFF"/>
                <w:sz w:val="16"/>
              </w:rPr>
              <w:t>Dato/operación consumida</w:t>
            </w:r>
          </w:p>
        </w:tc>
        <w:tc>
          <w:tcPr>
            <w:tcW w:type="dxa" w:w="3331"/>
            <w:shd w:fill="17324D"/>
          </w:tcPr>
          <w:p>
            <w:r>
              <w:rPr>
                <w:b/>
                <w:color w:val="FFFFFF"/>
                <w:sz w:val="16"/>
              </w:rPr>
              <w:t>Límite</w:t>
            </w:r>
          </w:p>
        </w:tc>
      </w:tr>
      <w:tr>
        <w:trPr>
          <w:cantSplit/>
        </w:trPr>
        <w:tc>
          <w:tcPr>
            <w:tcW w:type="dxa" w:w="3331"/>
            <w:shd w:fill="F5F9FA"/>
          </w:tcPr>
          <w:p>
            <w:pPr>
              <w:spacing w:after="40"/>
            </w:pPr>
            <w:r>
              <w:rPr>
                <w:sz w:val="15"/>
              </w:rPr>
              <w:t>Ventas/pedidos</w:t>
            </w:r>
          </w:p>
        </w:tc>
        <w:tc>
          <w:tcPr>
            <w:tcW w:type="dxa" w:w="3331"/>
            <w:shd w:fill="F5F9FA"/>
          </w:tcPr>
          <w:p>
            <w:pPr>
              <w:spacing w:after="40"/>
            </w:pPr>
            <w:r>
              <w:rPr>
                <w:sz w:val="15"/>
              </w:rPr>
              <w:t>Venta con receta, pedido, estado y saldo vigente</w:t>
            </w:r>
          </w:p>
        </w:tc>
        <w:tc>
          <w:tcPr>
            <w:tcW w:type="dxa" w:w="3331"/>
            <w:shd w:fill="F5F9FA"/>
          </w:tcPr>
          <w:p>
            <w:pPr>
              <w:spacing w:after="40"/>
            </w:pPr>
            <w:r>
              <w:rPr>
                <w:sz w:val="15"/>
              </w:rPr>
              <w:t>BUC03 no registra ventas ni aplica abonos.</w:t>
            </w:r>
          </w:p>
        </w:tc>
      </w:tr>
      <w:tr>
        <w:trPr>
          <w:cantSplit/>
        </w:trPr>
        <w:tc>
          <w:tcPr>
            <w:tcW w:type="dxa" w:w="3331"/>
          </w:tcPr>
          <w:p>
            <w:pPr>
              <w:spacing w:after="40"/>
            </w:pPr>
            <w:r>
              <w:rPr>
                <w:sz w:val="15"/>
              </w:rPr>
              <w:t>Atención al paciente</w:t>
            </w:r>
          </w:p>
        </w:tc>
        <w:tc>
          <w:tcPr>
            <w:tcW w:type="dxa" w:w="3331"/>
          </w:tcPr>
          <w:p>
            <w:pPr>
              <w:spacing w:after="40"/>
            </w:pPr>
            <w:r>
              <w:rPr>
                <w:sz w:val="15"/>
              </w:rPr>
              <w:t>Paciente, receta, medidas asociadas</w:t>
            </w:r>
          </w:p>
        </w:tc>
        <w:tc>
          <w:tcPr>
            <w:tcW w:type="dxa" w:w="3331"/>
          </w:tcPr>
          <w:p>
            <w:pPr>
              <w:spacing w:after="40"/>
            </w:pPr>
            <w:r>
              <w:rPr>
                <w:sz w:val="15"/>
              </w:rPr>
              <w:t>BUC03 no modifica diagnóstico ni receta original.</w:t>
            </w:r>
          </w:p>
        </w:tc>
      </w:tr>
      <w:tr>
        <w:trPr>
          <w:cantSplit/>
        </w:trPr>
        <w:tc>
          <w:tcPr>
            <w:tcW w:type="dxa" w:w="3331"/>
            <w:shd w:fill="F5F9FA"/>
          </w:tcPr>
          <w:p>
            <w:pPr>
              <w:spacing w:after="40"/>
            </w:pPr>
            <w:r>
              <w:rPr>
                <w:sz w:val="15"/>
              </w:rPr>
              <w:t>Inventario</w:t>
            </w:r>
          </w:p>
        </w:tc>
        <w:tc>
          <w:tcPr>
            <w:tcW w:type="dxa" w:w="3331"/>
            <w:shd w:fill="F5F9FA"/>
          </w:tcPr>
          <w:p>
            <w:pPr>
              <w:spacing w:after="40"/>
            </w:pPr>
            <w:r>
              <w:rPr>
                <w:sz w:val="15"/>
              </w:rPr>
              <w:t>Montura/producto asociado y eventual registro de salida</w:t>
            </w:r>
          </w:p>
        </w:tc>
        <w:tc>
          <w:tcPr>
            <w:tcW w:type="dxa" w:w="3331"/>
            <w:shd w:fill="F5F9FA"/>
          </w:tcPr>
          <w:p>
            <w:pPr>
              <w:spacing w:after="40"/>
            </w:pPr>
            <w:r>
              <w:rPr>
                <w:sz w:val="15"/>
              </w:rPr>
              <w:t>El ajuste de stock real debe acordarse con módulo de inventario.</w:t>
            </w:r>
          </w:p>
        </w:tc>
      </w:tr>
      <w:tr>
        <w:trPr>
          <w:cantSplit/>
        </w:trPr>
        <w:tc>
          <w:tcPr>
            <w:tcW w:type="dxa" w:w="3331"/>
          </w:tcPr>
          <w:p>
            <w:pPr>
              <w:spacing w:after="40"/>
            </w:pPr>
            <w:r>
              <w:rPr>
                <w:sz w:val="15"/>
              </w:rPr>
              <w:t>Mantenimiento</w:t>
            </w:r>
          </w:p>
        </w:tc>
        <w:tc>
          <w:tcPr>
            <w:tcW w:type="dxa" w:w="3331"/>
          </w:tcPr>
          <w:p>
            <w:pPr>
              <w:spacing w:after="40"/>
            </w:pPr>
            <w:r>
              <w:rPr>
                <w:sz w:val="15"/>
              </w:rPr>
              <w:t>Laboratorios externos y parámetros/criterios de control</w:t>
            </w:r>
          </w:p>
        </w:tc>
        <w:tc>
          <w:tcPr>
            <w:tcW w:type="dxa" w:w="3331"/>
          </w:tcPr>
          <w:p>
            <w:pPr>
              <w:spacing w:after="40"/>
            </w:pPr>
            <w:r>
              <w:rPr>
                <w:sz w:val="15"/>
              </w:rPr>
              <w:t>RF-95 y RF-96 aparecen en mantenimiento, no en BUC03.</w:t>
            </w:r>
          </w:p>
        </w:tc>
      </w:tr>
      <w:tr>
        <w:trPr>
          <w:cantSplit/>
        </w:trPr>
        <w:tc>
          <w:tcPr>
            <w:tcW w:type="dxa" w:w="3331"/>
            <w:shd w:fill="F5F9FA"/>
          </w:tcPr>
          <w:p>
            <w:pPr>
              <w:spacing w:after="40"/>
            </w:pPr>
            <w:r>
              <w:rPr>
                <w:sz w:val="15"/>
              </w:rPr>
              <w:t>Seguridad</w:t>
            </w:r>
          </w:p>
        </w:tc>
        <w:tc>
          <w:tcPr>
            <w:tcW w:type="dxa" w:w="3331"/>
            <w:shd w:fill="F5F9FA"/>
          </w:tcPr>
          <w:p>
            <w:pPr>
              <w:spacing w:after="40"/>
            </w:pPr>
            <w:r>
              <w:rPr>
                <w:sz w:val="15"/>
              </w:rPr>
              <w:t>Usuario autenticado, rol, permiso, empleado</w:t>
            </w:r>
          </w:p>
        </w:tc>
        <w:tc>
          <w:tcPr>
            <w:tcW w:type="dxa" w:w="3331"/>
            <w:shd w:fill="F5F9FA"/>
          </w:tcPr>
          <w:p>
            <w:pPr>
              <w:spacing w:after="40"/>
            </w:pPr>
            <w:r>
              <w:rPr>
                <w:sz w:val="15"/>
              </w:rPr>
              <w:t>Roles y endpoints autorizados por backend.</w:t>
            </w:r>
          </w:p>
        </w:tc>
      </w:tr>
      <w:tr>
        <w:trPr>
          <w:cantSplit/>
        </w:trPr>
        <w:tc>
          <w:tcPr>
            <w:tcW w:type="dxa" w:w="3331"/>
          </w:tcPr>
          <w:p>
            <w:pPr>
              <w:spacing w:after="40"/>
            </w:pPr>
            <w:r>
              <w:rPr>
                <w:sz w:val="15"/>
              </w:rPr>
              <w:t>Notificación externa</w:t>
            </w:r>
          </w:p>
        </w:tc>
        <w:tc>
          <w:tcPr>
            <w:tcW w:type="dxa" w:w="3331"/>
          </w:tcPr>
          <w:p>
            <w:pPr>
              <w:spacing w:after="40"/>
            </w:pPr>
            <w:r>
              <w:rPr>
                <w:sz w:val="15"/>
              </w:rPr>
              <w:t>WhatsApp manual o proveedor automático por acordar</w:t>
            </w:r>
          </w:p>
        </w:tc>
        <w:tc>
          <w:tcPr>
            <w:tcW w:type="dxa" w:w="3331"/>
          </w:tcPr>
          <w:p>
            <w:pPr>
              <w:spacing w:after="40"/>
            </w:pPr>
            <w:r>
              <w:rPr>
                <w:sz w:val="15"/>
              </w:rPr>
              <w:t>No afirmar que WhatsApp API está integrada.</w:t>
            </w:r>
          </w:p>
        </w:tc>
      </w:tr>
      <w:tr>
        <w:trPr>
          <w:cantSplit/>
        </w:trPr>
        <w:tc>
          <w:tcPr>
            <w:tcW w:type="dxa" w:w="3331"/>
            <w:shd w:fill="F5F9FA"/>
          </w:tcPr>
          <w:p>
            <w:pPr>
              <w:spacing w:after="40"/>
            </w:pPr>
            <w:r>
              <w:rPr>
                <w:sz w:val="15"/>
              </w:rPr>
              <w:t>Auditoría</w:t>
            </w:r>
          </w:p>
        </w:tc>
        <w:tc>
          <w:tcPr>
            <w:tcW w:type="dxa" w:w="3331"/>
            <w:shd w:fill="F5F9FA"/>
          </w:tcPr>
          <w:p>
            <w:pPr>
              <w:spacing w:after="40"/>
            </w:pPr>
            <w:r>
              <w:rPr>
                <w:sz w:val="15"/>
              </w:rPr>
              <w:t>Autor, fecha, evento y transiciones</w:t>
            </w:r>
          </w:p>
        </w:tc>
        <w:tc>
          <w:tcPr>
            <w:tcW w:type="dxa" w:w="3331"/>
            <w:shd w:fill="F5F9FA"/>
          </w:tcPr>
          <w:p>
            <w:pPr>
              <w:spacing w:after="40"/>
            </w:pPr>
            <w:r>
              <w:rPr>
                <w:sz w:val="15"/>
              </w:rPr>
              <w:t>Modelo de logs exacto por contrastar con DDL.</w:t>
            </w:r>
          </w:p>
        </w:tc>
      </w:tr>
    </w:tbl>
    <w:p/>
    <w:p>
      <w:pPr>
        <w:pStyle w:val="Heading1"/>
      </w:pPr>
      <w:r>
        <w:t>10. Modelo conceptual orientativo (NO se asume DDL)</w:t>
      </w:r>
    </w:p>
    <w:p>
      <w:r>
        <w:t>Conceptos mínimos a relacionar: Pedido/Venta con receta; Orden de trabajo; Envío a laboratorio; Recepción del lente; Control de calidad y mediciones; Historial/constancia de notificaciones; Entrega; Pago/Saldo; Paciente; Usuario/Empleado; Laboratorio externo. Estos son conceptos funcionales, no la confirmación de tablas separadas.</w:t>
      </w:r>
    </w:p>
    <w:p>
      <w:r>
        <w:t>Datos trazables recomendados para diseño, sujetos a DDL: identificador de OT y pedido; referencia a receta; empleado responsable; estado e historial; registro de salida; registro de recepción; mediciones e identificación del control; resultado de aprobación/rechazo; motivo; canal/tipo/estado de notificación; fecha/hora de entrega; saldo consultado.</w:t>
      </w:r>
    </w:p>
    <w:p>
      <w:pPr>
        <w:pStyle w:val="Heading1"/>
      </w:pPr>
      <w:r>
        <w:t>11. Arquitectura y contratos para desarrollo</w:t>
      </w:r>
    </w:p>
    <w:p>
      <w:r>
        <w:t>Stack global conocido: Angular (SPA) → API REST en Spring Boot (Java, Maven) → Oracle Database; backend en capas controller / DTO / service / serviceImpl / repository / model, desacoplado del frontend; seguridad basada en contraseñas con hash, JWT, roles y permisos. La lista no implica que los endpoints o entidades de BUC03 ya existan.</w:t>
      </w:r>
    </w:p>
    <w:p>
      <w:r>
        <w:t>Propuesta de agregación lógica para análisis (no rutas cerradas): OrderWork/OT, QualityControl, NotificationRecord, DeliveryConfirmation. Separar consultas de cambios de estado y operaciones físicas de hitos lógicos; no automatizar notificaciones exitosas con base únicamente en una llamada sin confirmación.</w:t>
      </w:r>
    </w:p>
    <w:p>
      <w:pPr>
        <w:pStyle w:val="Heading1"/>
      </w:pPr>
      <w:r>
        <w:t>12. Controles de integridad a tener en cuenta</w:t>
      </w:r>
    </w:p>
    <w:p>
      <w:r>
        <w:t>1. Autorización de cada operación en backend; el frontend no sustituye permisos.</w:t>
      </w:r>
    </w:p>
    <w:p>
      <w:r>
        <w:t>2. No modificar la receta médica/óptica desde el control de calidad: registrar la medición y comparación.</w:t>
      </w:r>
    </w:p>
    <w:p>
      <w:r>
        <w:t>3. Validar estados previos antes de cada transición y aplicar cambio de estado junto con su evento de auditoría de forma consistente.</w:t>
      </w:r>
    </w:p>
    <w:p>
      <w:r>
        <w:t>4. Para entrega, revalidar saldo en el momento de la confirmación y rechazar condiciones de carrera o fallas de lectura.</w:t>
      </w:r>
    </w:p>
    <w:p>
      <w:r>
        <w:t>5. No equiparar notificación creada, enviada por proveedor, recibida o leída.</w:t>
      </w:r>
    </w:p>
    <w:p>
      <w:r>
        <w:t>6. Registrar actor responsable y evidencias sin almacenar innecesariamente datos sensibles de pacientes.</w:t>
      </w:r>
    </w:p>
    <w:p>
      <w:pPr>
        <w:pStyle w:val="Heading1"/>
      </w:pPr>
      <w:r>
        <w:t>13. Pruebas mínimas de extremo a extremo</w:t>
      </w:r>
    </w:p>
    <w:p>
      <w:r>
        <w:t>CU9: Un pedido pendiente y completo produce una única OT referenciada por el pedido, con responsable.; Los datos faltantes impiden generar OT, y muestran mensajes concretos.; El envío registra salida y cambia el estado a «Enviado a Laboratorio».; La recepción solo procede cuando existe envío; no se ejecuta control automáticamente.</w:t>
      </w:r>
    </w:p>
    <w:p>
      <w:r>
        <w:t>CU10: No se puede aprobar un pedido sin recepción ni mediciones requeridas.; El técnico/dueño puede registrar mediciones ligadas a OT.; Una revisión conforme queda aprobada y puede activar la condición «Listo para entrega».; Una revisión no conforme registra razón y estado «Retrasado»; no puede entregarse.; El vendedor no puede aprobar ni rechazar el control.</w:t>
      </w:r>
    </w:p>
    <w:p>
      <w:r>
        <w:t>CU11: Un pedido no aprobado no aparece como disponible para notificar.; Se distinguen modalidades manual/automática y estados de intento.; Si falla API o falta número, el pedido sigue «Listo para entrega» y se reporta falla de notificación.; La modalidad manual requiere confirmación para constar como efectuada.; No se documenta SMS como canal confirmado en esta versión.</w:t>
      </w:r>
    </w:p>
    <w:p>
      <w:r>
        <w:t>CU12: Un pedido listo, con calidad aprobada y saldo cero puede marcarse «Entregado» por el vendedor.; Con cualquier saldo pendiente, se bloquea la entrega sin modificar el pedido.; Con control rechazado o pendiente, se bloquea aunque saldo sea cero.; Se guardan responsable, fecha/hora y vínculo con la OT/pedido.; No se permite registrar la entrega dos veces.; El hecho de haber notificado no sustituye el saldo cero ni el control aprobado.</w:t>
      </w:r>
    </w:p>
    <w:p>
      <w:pPr>
        <w:pStyle w:val="Heading1"/>
      </w:pPr>
      <w:r>
        <w:t>14. Pendientes que requieren decisión de equipo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7324D"/>
          </w:tcPr>
          <w:p>
            <w:r>
              <w:rPr>
                <w:b/>
                <w:color w:val="FFFFFF"/>
                <w:sz w:val="16"/>
              </w:rPr>
              <w:t>ID</w:t>
            </w:r>
          </w:p>
        </w:tc>
        <w:tc>
          <w:tcPr>
            <w:tcW w:type="dxa" w:w="3331"/>
            <w:shd w:fill="17324D"/>
          </w:tcPr>
          <w:p>
            <w:r>
              <w:rPr>
                <w:b/>
                <w:color w:val="FFFFFF"/>
                <w:sz w:val="16"/>
              </w:rPr>
              <w:t>Punto abierto</w:t>
            </w:r>
          </w:p>
        </w:tc>
        <w:tc>
          <w:tcPr>
            <w:tcW w:type="dxa" w:w="3331"/>
            <w:shd w:fill="17324D"/>
          </w:tcPr>
          <w:p>
            <w:r>
              <w:rPr>
                <w:b/>
                <w:color w:val="FFFFFF"/>
                <w:sz w:val="16"/>
              </w:rPr>
              <w:t>Tratamiento en esta versión</w:t>
            </w:r>
          </w:p>
        </w:tc>
      </w:tr>
      <w:tr>
        <w:trPr>
          <w:cantSplit/>
        </w:trPr>
        <w:tc>
          <w:tcPr>
            <w:tcW w:type="dxa" w:w="3331"/>
            <w:shd w:fill="F5F9FA"/>
          </w:tcPr>
          <w:p>
            <w:pPr>
              <w:spacing w:after="40"/>
            </w:pPr>
            <w:r>
              <w:rPr>
                <w:sz w:val="15"/>
              </w:rPr>
              <w:t>P-01</w:t>
            </w:r>
          </w:p>
        </w:tc>
        <w:tc>
          <w:tcPr>
            <w:tcW w:type="dxa" w:w="3331"/>
            <w:shd w:fill="F5F9FA"/>
          </w:tcPr>
          <w:p>
            <w:pPr>
              <w:spacing w:after="40"/>
            </w:pPr>
            <w:r>
              <w:rPr>
                <w:sz w:val="15"/>
              </w:rPr>
              <w:t>Falta asignar código RF a la transición «Listo para entrega» (fila 56) y vincularla oficialmente al CU correspondiente.</w:t>
            </w:r>
          </w:p>
        </w:tc>
        <w:tc>
          <w:tcPr>
            <w:tcW w:type="dxa" w:w="3331"/>
            <w:shd w:fill="F5F9FA"/>
          </w:tcPr>
          <w:p>
            <w:pPr>
              <w:spacing w:after="40"/>
            </w:pPr>
            <w:r>
              <w:rPr>
                <w:sz w:val="15"/>
              </w:rPr>
              <w:t>No se creó identificador definitivo.</w:t>
            </w:r>
          </w:p>
        </w:tc>
      </w:tr>
      <w:tr>
        <w:trPr>
          <w:cantSplit/>
        </w:trPr>
        <w:tc>
          <w:tcPr>
            <w:tcW w:type="dxa" w:w="3331"/>
          </w:tcPr>
          <w:p>
            <w:pPr>
              <w:spacing w:after="40"/>
            </w:pPr>
            <w:r>
              <w:rPr>
                <w:sz w:val="15"/>
              </w:rPr>
              <w:t>P-02</w:t>
            </w:r>
          </w:p>
        </w:tc>
        <w:tc>
          <w:tcPr>
            <w:tcW w:type="dxa" w:w="3331"/>
          </w:tcPr>
          <w:p>
            <w:pPr>
              <w:spacing w:after="40"/>
            </w:pPr>
            <w:r>
              <w:rPr>
                <w:sz w:val="15"/>
              </w:rPr>
              <w:t>RF-65 solo exige consulta de estado; la capacidad explícita «Registrar entrega» y la condición de saldo cero requieren RF formal.</w:t>
            </w:r>
          </w:p>
        </w:tc>
        <w:tc>
          <w:tcPr>
            <w:tcW w:type="dxa" w:w="3331"/>
          </w:tcPr>
          <w:p>
            <w:pPr>
              <w:spacing w:after="40"/>
            </w:pPr>
            <w:r>
              <w:rPr>
                <w:sz w:val="15"/>
              </w:rPr>
              <w:t>Se documenta como decisión confirmada y brecha de matriz.</w:t>
            </w:r>
          </w:p>
        </w:tc>
      </w:tr>
      <w:tr>
        <w:trPr>
          <w:cantSplit/>
        </w:trPr>
        <w:tc>
          <w:tcPr>
            <w:tcW w:type="dxa" w:w="3331"/>
            <w:shd w:fill="F5F9FA"/>
          </w:tcPr>
          <w:p>
            <w:pPr>
              <w:spacing w:after="40"/>
            </w:pPr>
            <w:r>
              <w:rPr>
                <w:sz w:val="15"/>
              </w:rPr>
              <w:t>P-03</w:t>
            </w:r>
          </w:p>
        </w:tc>
        <w:tc>
          <w:tcPr>
            <w:tcW w:type="dxa" w:w="3331"/>
            <w:shd w:fill="F5F9FA"/>
          </w:tcPr>
          <w:p>
            <w:pPr>
              <w:spacing w:after="40"/>
            </w:pPr>
            <w:r>
              <w:rPr>
                <w:sz w:val="15"/>
              </w:rPr>
              <w:t>No se ha identificado proveedor de WhatsApp, API, costos, plantillas ni evidencia de entrega; tampoco se definió disparador automático.</w:t>
            </w:r>
          </w:p>
        </w:tc>
        <w:tc>
          <w:tcPr>
            <w:tcW w:type="dxa" w:w="3331"/>
            <w:shd w:fill="F5F9FA"/>
          </w:tcPr>
          <w:p>
            <w:pPr>
              <w:spacing w:after="40"/>
            </w:pPr>
            <w:r>
              <w:rPr>
                <w:sz w:val="15"/>
              </w:rPr>
              <w:t>La documentación contempla ambos canales operativos, pero no promete automatización lista.</w:t>
            </w:r>
          </w:p>
        </w:tc>
      </w:tr>
      <w:tr>
        <w:trPr>
          <w:cantSplit/>
        </w:trPr>
        <w:tc>
          <w:tcPr>
            <w:tcW w:type="dxa" w:w="3331"/>
          </w:tcPr>
          <w:p>
            <w:pPr>
              <w:spacing w:after="40"/>
            </w:pPr>
            <w:r>
              <w:rPr>
                <w:sz w:val="15"/>
              </w:rPr>
              <w:t>P-04</w:t>
            </w:r>
          </w:p>
        </w:tc>
        <w:tc>
          <w:tcPr>
            <w:tcW w:type="dxa" w:w="3331"/>
          </w:tcPr>
          <w:p>
            <w:pPr>
              <w:spacing w:after="40"/>
            </w:pPr>
            <w:r>
              <w:rPr>
                <w:sz w:val="15"/>
              </w:rPr>
              <w:t>El resultado «Aprobado» depende de criterios/tolerancias; la matriz contiene RF-96 en mantenimiento, sin valores concretos para lensometría.</w:t>
            </w:r>
          </w:p>
        </w:tc>
        <w:tc>
          <w:tcPr>
            <w:tcW w:type="dxa" w:w="3331"/>
          </w:tcPr>
          <w:p>
            <w:pPr>
              <w:spacing w:after="40"/>
            </w:pPr>
            <w:r>
              <w:rPr>
                <w:sz w:val="15"/>
              </w:rPr>
              <w:t>No se inventaron umbrales.</w:t>
            </w:r>
          </w:p>
        </w:tc>
      </w:tr>
      <w:tr>
        <w:trPr>
          <w:cantSplit/>
        </w:trPr>
        <w:tc>
          <w:tcPr>
            <w:tcW w:type="dxa" w:w="3331"/>
            <w:shd w:fill="F5F9FA"/>
          </w:tcPr>
          <w:p>
            <w:pPr>
              <w:spacing w:after="40"/>
            </w:pPr>
            <w:r>
              <w:rPr>
                <w:sz w:val="15"/>
              </w:rPr>
              <w:t>P-05</w:t>
            </w:r>
          </w:p>
        </w:tc>
        <w:tc>
          <w:tcPr>
            <w:tcW w:type="dxa" w:w="3331"/>
            <w:shd w:fill="F5F9FA"/>
          </w:tcPr>
          <w:p>
            <w:pPr>
              <w:spacing w:after="40"/>
            </w:pPr>
            <w:r>
              <w:rPr>
                <w:sz w:val="15"/>
              </w:rPr>
              <w:t>No consta el DDL definitivo completo en los archivos revisados en esta ejecución.</w:t>
            </w:r>
          </w:p>
        </w:tc>
        <w:tc>
          <w:tcPr>
            <w:tcW w:type="dxa" w:w="3331"/>
            <w:shd w:fill="F5F9FA"/>
          </w:tcPr>
          <w:p>
            <w:pPr>
              <w:spacing w:after="40"/>
            </w:pPr>
            <w:r>
              <w:rPr>
                <w:sz w:val="15"/>
              </w:rPr>
              <w:t>Entidades y columnas propuestas no se presentan como tablas existentes.</w:t>
            </w:r>
          </w:p>
        </w:tc>
      </w:tr>
      <w:tr>
        <w:trPr>
          <w:cantSplit/>
        </w:trPr>
        <w:tc>
          <w:tcPr>
            <w:tcW w:type="dxa" w:w="3331"/>
          </w:tcPr>
          <w:p>
            <w:pPr>
              <w:spacing w:after="40"/>
            </w:pPr>
            <w:r>
              <w:rPr>
                <w:sz w:val="15"/>
              </w:rPr>
              <w:t>P-06</w:t>
            </w:r>
          </w:p>
        </w:tc>
        <w:tc>
          <w:tcPr>
            <w:tcW w:type="dxa" w:w="3331"/>
          </w:tcPr>
          <w:p>
            <w:pPr>
              <w:spacing w:after="40"/>
            </w:pPr>
            <w:r>
              <w:rPr>
                <w:sz w:val="15"/>
              </w:rPr>
              <w:t>No está determinado el comportamiento ante abonos pendientes, anulaciones, devoluciones o entregas parciales; saldo cero sí es regla confirmada.</w:t>
            </w:r>
          </w:p>
        </w:tc>
        <w:tc>
          <w:tcPr>
            <w:tcW w:type="dxa" w:w="3331"/>
          </w:tcPr>
          <w:p>
            <w:pPr>
              <w:spacing w:after="40"/>
            </w:pPr>
            <w:r>
              <w:rPr>
                <w:sz w:val="15"/>
              </w:rPr>
              <w:t>Quedan fuera de casos aprobados hasta definición.</w:t>
            </w:r>
          </w:p>
        </w:tc>
      </w:tr>
      <w:tr>
        <w:trPr>
          <w:cantSplit/>
        </w:trPr>
        <w:tc>
          <w:tcPr>
            <w:tcW w:type="dxa" w:w="3331"/>
            <w:shd w:fill="F5F9FA"/>
          </w:tcPr>
          <w:p>
            <w:pPr>
              <w:spacing w:after="40"/>
            </w:pPr>
            <w:r>
              <w:rPr>
                <w:sz w:val="15"/>
              </w:rPr>
              <w:t>P-07</w:t>
            </w:r>
          </w:p>
        </w:tc>
        <w:tc>
          <w:tcPr>
            <w:tcW w:type="dxa" w:w="3331"/>
            <w:shd w:fill="F5F9FA"/>
          </w:tcPr>
          <w:p>
            <w:pPr>
              <w:spacing w:after="40"/>
            </w:pPr>
            <w:r>
              <w:rPr>
                <w:sz w:val="15"/>
              </w:rPr>
              <w:t>No está definido si enviar notificación es obligatorio antes de entregar, o si se permite reenvío, ni cómo identificar duplicados.</w:t>
            </w:r>
          </w:p>
        </w:tc>
        <w:tc>
          <w:tcPr>
            <w:tcW w:type="dxa" w:w="3331"/>
            <w:shd w:fill="F5F9FA"/>
          </w:tcPr>
          <w:p>
            <w:pPr>
              <w:spacing w:after="40"/>
            </w:pPr>
            <w:r>
              <w:rPr>
                <w:sz w:val="15"/>
              </w:rPr>
              <w:t>No se bloquea la entrega por falta de notificación.</w:t>
            </w:r>
          </w:p>
        </w:tc>
      </w:tr>
      <w:tr>
        <w:trPr>
          <w:cantSplit/>
        </w:trPr>
        <w:tc>
          <w:tcPr>
            <w:tcW w:type="dxa" w:w="3331"/>
          </w:tcPr>
          <w:p>
            <w:pPr>
              <w:spacing w:after="40"/>
            </w:pPr>
            <w:r>
              <w:rPr>
                <w:sz w:val="15"/>
              </w:rPr>
              <w:t>P-08</w:t>
            </w:r>
          </w:p>
        </w:tc>
        <w:tc>
          <w:tcPr>
            <w:tcW w:type="dxa" w:w="3331"/>
          </w:tcPr>
          <w:p>
            <w:pPr>
              <w:spacing w:after="40"/>
            </w:pPr>
            <w:r>
              <w:rPr>
                <w:sz w:val="15"/>
              </w:rPr>
              <w:t>La plantilla anota «Vendedor» como actor en RF-55 y RF-60–62, en conflicto con responsables del negocio y con la decisión del equipo.</w:t>
            </w:r>
          </w:p>
        </w:tc>
        <w:tc>
          <w:tcPr>
            <w:tcW w:type="dxa" w:w="3331"/>
          </w:tcPr>
          <w:p>
            <w:pPr>
              <w:spacing w:after="40"/>
            </w:pPr>
            <w:r>
              <w:rPr>
                <w:sz w:val="15"/>
              </w:rPr>
              <w:t>Se adopta dueño/técnico para órdenes y calidad; vendedor para notificación y entrega.</w:t>
            </w:r>
          </w:p>
        </w:tc>
      </w:tr>
      <w:tr>
        <w:trPr>
          <w:cantSplit/>
        </w:trPr>
        <w:tc>
          <w:tcPr>
            <w:tcW w:type="dxa" w:w="3331"/>
            <w:shd w:fill="F5F9FA"/>
          </w:tcPr>
          <w:p>
            <w:pPr>
              <w:spacing w:after="40"/>
            </w:pPr>
            <w:r>
              <w:rPr>
                <w:sz w:val="15"/>
              </w:rPr>
              <w:t>P-09</w:t>
            </w:r>
          </w:p>
        </w:tc>
        <w:tc>
          <w:tcPr>
            <w:tcW w:type="dxa" w:w="3331"/>
            <w:shd w:fill="F5F9FA"/>
          </w:tcPr>
          <w:p>
            <w:pPr>
              <w:spacing w:after="40"/>
            </w:pPr>
            <w:r>
              <w:rPr>
                <w:sz w:val="15"/>
              </w:rPr>
              <w:t>No hay confirmación de la equivalencia exacta entre estados visibles y el catálogo de estados del DDL.</w:t>
            </w:r>
          </w:p>
        </w:tc>
        <w:tc>
          <w:tcPr>
            <w:tcW w:type="dxa" w:w="3331"/>
            <w:shd w:fill="F5F9FA"/>
          </w:tcPr>
          <w:p>
            <w:pPr>
              <w:spacing w:after="40"/>
            </w:pPr>
            <w:r>
              <w:rPr>
                <w:sz w:val="15"/>
              </w:rPr>
              <w:t>Nombres de negocio; pendientes de mapear a persistencia.</w:t>
            </w:r>
          </w:p>
        </w:tc>
      </w:tr>
      <w:tr>
        <w:trPr>
          <w:cantSplit/>
        </w:trPr>
        <w:tc>
          <w:tcPr>
            <w:tcW w:type="dxa" w:w="3331"/>
          </w:tcPr>
          <w:p>
            <w:pPr>
              <w:spacing w:after="40"/>
            </w:pPr>
            <w:r>
              <w:rPr>
                <w:sz w:val="15"/>
              </w:rPr>
              <w:t>P-10</w:t>
            </w:r>
          </w:p>
        </w:tc>
        <w:tc>
          <w:tcPr>
            <w:tcW w:type="dxa" w:w="3331"/>
          </w:tcPr>
          <w:p>
            <w:pPr>
              <w:spacing w:after="40"/>
            </w:pPr>
            <w:r>
              <w:rPr>
                <w:sz w:val="15"/>
              </w:rPr>
              <w:t>Los documentos anteriores especificaban 3 segundos y SMS, pero no se ha comprobado su vigencia en la matriz actual.</w:t>
            </w:r>
          </w:p>
        </w:tc>
        <w:tc>
          <w:tcPr>
            <w:tcW w:type="dxa" w:w="3331"/>
          </w:tcPr>
          <w:p>
            <w:pPr>
              <w:spacing w:after="40"/>
            </w:pPr>
            <w:r>
              <w:rPr>
                <w:sz w:val="15"/>
              </w:rPr>
              <w:t>No se presentan como obligatorios aprobados.</w:t>
            </w:r>
          </w:p>
        </w:tc>
      </w:tr>
    </w:tbl>
    <w:p/>
    <w:p>
      <w:pPr>
        <w:pStyle w:val="Heading1"/>
      </w:pPr>
      <w:r>
        <w:t>15. Referencias y jerarquía de autoridad</w:t>
      </w:r>
    </w:p>
    <w:p>
      <w:r>
        <w:t>1. Fuente principal: plantilla V3 (7), «2. REQ FUNCIONALES», filas 48–59; reglas de deuda en «3. REGLAS DE NEGOCIO», filas 26–27.</w:t>
      </w:r>
    </w:p>
    <w:p>
      <w:r>
        <w:t>2. Decisiones expresas del equipo, 26/10/2026: CU9–CU12; cuatro CU; WhatsApp manual y automático; entrega con saldo cero y calidad aprobada; dueño/técnico y vendedor distribuidos por funciones.</w:t>
      </w:r>
    </w:p>
    <w:p>
      <w:r>
        <w:t>3. Fuente secundaria histórica: documentos CU11–CU14 e «INFORMACION DE LABORATORIO.docx» en carpeta BUC03 de Drive. Las reglas que contradicen decisiones recientes no se trasladan como obligatorias.</w:t>
      </w:r>
    </w:p>
    <w:p>
      <w:r>
        <w:t>4. Sobre dudas técnicas o colisiones (códigos, tolerancias, API), se identifica pendiente en lugar de inferir especificaciones.</w:t>
      </w:r>
    </w:p>
    <w:sectPr w:rsidR="00FC693F" w:rsidRPr="0006063C" w:rsidSect="00034616">
      <w:headerReference w:type="default" r:id="rId9"/>
      <w:footerReference w:type="default" r:id="rId10"/>
      <w:pgSz w:w="12240" w:h="15840"/>
      <w:pgMar w:top="1008"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Versión 2.0 · 26 de octubre de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GEO VISIÓN  |  BUC03  |  ELABORACIÓN DE ORDEN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3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F766E"/>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24D"/>
      <w:sz w:val="2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364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