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7B066" w14:textId="77777777" w:rsidR="009643DC" w:rsidRDefault="00000000">
      <w:r>
        <w:rPr>
          <w:noProof/>
          <w:lang w:val="en-US"/>
        </w:rPr>
        <w:drawing>
          <wp:inline distT="0" distB="0" distL="0" distR="0" wp14:anchorId="02127F01" wp14:editId="1A9EF44D">
            <wp:extent cx="5760720" cy="3834764"/>
            <wp:effectExtent l="0" t="0" r="0" b="0"/>
            <wp:docPr id="1424702728" name="Image 1" descr="Bien référencer un site en anglais : les astuces d'un SEO so british !"/>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5760720" cy="3834764"/>
                    </a:xfrm>
                    <a:prstGeom prst="rect">
                      <a:avLst/>
                    </a:prstGeom>
                    <a:noFill/>
                    <a:ln>
                      <a:noFill/>
                      <a:prstDash/>
                    </a:ln>
                  </pic:spPr>
                </pic:pic>
              </a:graphicData>
            </a:graphic>
          </wp:inline>
        </w:drawing>
      </w:r>
    </w:p>
    <w:p w14:paraId="62E7143E" w14:textId="77777777" w:rsidR="009643DC" w:rsidRDefault="00000000">
      <w:pPr>
        <w:jc w:val="center"/>
      </w:pPr>
      <w:r>
        <w:rPr>
          <w:rFonts w:ascii="Comic Sans MS" w:hAnsi="Comic Sans MS"/>
          <w:color w:val="FFFFFF"/>
          <w:sz w:val="40"/>
          <w:szCs w:val="40"/>
          <w:shd w:val="clear" w:color="auto" w:fill="0D0D0D"/>
        </w:rPr>
        <w:t>Rapport Saé-2.04 – Partie Anglais</w:t>
      </w:r>
    </w:p>
    <w:p w14:paraId="56006A89" w14:textId="77777777" w:rsidR="009643DC" w:rsidRDefault="00000000">
      <w:pPr>
        <w:jc w:val="center"/>
        <w:rPr>
          <w:rFonts w:ascii="Britannic Bold" w:hAnsi="Britannic Bold"/>
          <w:sz w:val="36"/>
          <w:szCs w:val="36"/>
        </w:rPr>
      </w:pPr>
      <w:r>
        <w:rPr>
          <w:rFonts w:ascii="Britannic Bold" w:hAnsi="Britannic Bold"/>
          <w:sz w:val="36"/>
          <w:szCs w:val="36"/>
        </w:rPr>
        <w:t>Etudiants :</w:t>
      </w:r>
    </w:p>
    <w:p w14:paraId="6903E5B4" w14:textId="78430590" w:rsidR="009643DC" w:rsidRDefault="00000000">
      <w:pPr>
        <w:jc w:val="center"/>
        <w:rPr>
          <w:rFonts w:ascii="Britannic Bold" w:hAnsi="Britannic Bold"/>
          <w:sz w:val="36"/>
          <w:szCs w:val="36"/>
        </w:rPr>
      </w:pPr>
      <w:r>
        <w:rPr>
          <w:rFonts w:ascii="Britannic Bold" w:hAnsi="Britannic Bold"/>
          <w:sz w:val="36"/>
          <w:szCs w:val="36"/>
        </w:rPr>
        <w:t>[ TURPIN</w:t>
      </w:r>
      <w:r w:rsidR="00D82108">
        <w:rPr>
          <w:rFonts w:ascii="Britannic Bold" w:hAnsi="Britannic Bold"/>
          <w:sz w:val="36"/>
          <w:szCs w:val="36"/>
        </w:rPr>
        <w:t xml:space="preserve"> </w:t>
      </w:r>
      <w:r>
        <w:rPr>
          <w:rFonts w:ascii="Britannic Bold" w:hAnsi="Britannic Bold"/>
          <w:sz w:val="36"/>
          <w:szCs w:val="36"/>
        </w:rPr>
        <w:t>Samuel ]</w:t>
      </w:r>
    </w:p>
    <w:p w14:paraId="559025B9" w14:textId="77777777" w:rsidR="009643DC" w:rsidRDefault="00000000">
      <w:pPr>
        <w:jc w:val="center"/>
        <w:rPr>
          <w:rFonts w:ascii="Britannic Bold" w:hAnsi="Britannic Bold"/>
          <w:sz w:val="36"/>
          <w:szCs w:val="36"/>
        </w:rPr>
      </w:pPr>
      <w:r>
        <w:rPr>
          <w:rFonts w:ascii="Britannic Bold" w:hAnsi="Britannic Bold"/>
          <w:sz w:val="36"/>
          <w:szCs w:val="36"/>
        </w:rPr>
        <w:t>Groupe : E</w:t>
      </w:r>
    </w:p>
    <w:p w14:paraId="1604034D" w14:textId="77777777" w:rsidR="009643DC" w:rsidRDefault="009643DC">
      <w:pPr>
        <w:jc w:val="center"/>
        <w:rPr>
          <w:rFonts w:ascii="Britannic Bold" w:hAnsi="Britannic Bold"/>
          <w:sz w:val="36"/>
          <w:szCs w:val="36"/>
        </w:rPr>
      </w:pPr>
    </w:p>
    <w:p w14:paraId="32FF5353" w14:textId="77777777" w:rsidR="009643DC" w:rsidRDefault="00000000">
      <w:pPr>
        <w:jc w:val="center"/>
        <w:rPr>
          <w:rFonts w:ascii="Britannic Bold" w:hAnsi="Britannic Bold"/>
          <w:sz w:val="36"/>
          <w:szCs w:val="36"/>
        </w:rPr>
      </w:pPr>
      <w:r>
        <w:rPr>
          <w:rFonts w:ascii="Britannic Bold" w:hAnsi="Britannic Bold"/>
          <w:sz w:val="36"/>
          <w:szCs w:val="36"/>
        </w:rPr>
        <w:t>Lundi 20 mai 2024 – 15h00</w:t>
      </w:r>
    </w:p>
    <w:p w14:paraId="082C7365" w14:textId="77777777" w:rsidR="009643DC" w:rsidRDefault="009643DC">
      <w:pPr>
        <w:jc w:val="center"/>
        <w:rPr>
          <w:rFonts w:ascii="Britannic Bold" w:hAnsi="Britannic Bold"/>
          <w:sz w:val="36"/>
          <w:szCs w:val="36"/>
        </w:rPr>
      </w:pPr>
    </w:p>
    <w:p w14:paraId="2C538DCF" w14:textId="77777777" w:rsidR="009643DC" w:rsidRDefault="00000000">
      <w:pPr>
        <w:jc w:val="center"/>
      </w:pPr>
      <w:r>
        <w:rPr>
          <w:noProof/>
          <w:lang w:val="en-US"/>
        </w:rPr>
        <w:drawing>
          <wp:inline distT="0" distB="0" distL="0" distR="0" wp14:anchorId="5F0EE485" wp14:editId="5961BC26">
            <wp:extent cx="4672236" cy="1535003"/>
            <wp:effectExtent l="0" t="0" r="0" b="0"/>
            <wp:docPr id="828865083" name="Image 4" descr="Accueil - L'IUT de LIL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4672236" cy="1535003"/>
                    </a:xfrm>
                    <a:prstGeom prst="rect">
                      <a:avLst/>
                    </a:prstGeom>
                    <a:noFill/>
                    <a:ln>
                      <a:noFill/>
                      <a:prstDash/>
                    </a:ln>
                  </pic:spPr>
                </pic:pic>
              </a:graphicData>
            </a:graphic>
          </wp:inline>
        </w:drawing>
      </w:r>
    </w:p>
    <w:p w14:paraId="1C7406CF" w14:textId="77777777" w:rsidR="009643DC" w:rsidRDefault="00000000">
      <w:pPr>
        <w:tabs>
          <w:tab w:val="left" w:pos="5640"/>
        </w:tabs>
        <w:rPr>
          <w:rFonts w:ascii="Britannic Bold" w:hAnsi="Britannic Bold"/>
          <w:sz w:val="36"/>
          <w:szCs w:val="36"/>
          <w:lang w:val="en-US"/>
        </w:rPr>
      </w:pPr>
      <w:r>
        <w:rPr>
          <w:rFonts w:ascii="Britannic Bold" w:hAnsi="Britannic Bold"/>
          <w:sz w:val="36"/>
          <w:szCs w:val="36"/>
          <w:lang w:val="en-US"/>
        </w:rPr>
        <w:tab/>
      </w:r>
    </w:p>
    <w:p w14:paraId="2A35E70D" w14:textId="77777777" w:rsidR="009643DC" w:rsidRDefault="00000000">
      <w:pPr>
        <w:tabs>
          <w:tab w:val="left" w:pos="5640"/>
        </w:tabs>
        <w:rPr>
          <w:rFonts w:ascii="Verdana" w:hAnsi="Verdana"/>
          <w:lang w:val="en-US"/>
        </w:rPr>
      </w:pPr>
      <w:r>
        <w:rPr>
          <w:rFonts w:ascii="Verdana" w:hAnsi="Verdana"/>
          <w:lang w:val="en-US"/>
        </w:rPr>
        <w:lastRenderedPageBreak/>
        <w:t>This report concerns the Saé-2.04 English part.</w:t>
      </w:r>
    </w:p>
    <w:p w14:paraId="70EDABDF" w14:textId="77777777" w:rsidR="009643DC" w:rsidRDefault="00000000">
      <w:pPr>
        <w:tabs>
          <w:tab w:val="left" w:pos="5640"/>
        </w:tabs>
        <w:rPr>
          <w:rFonts w:ascii="Verdana" w:hAnsi="Verdana"/>
          <w:lang w:val="en-US"/>
        </w:rPr>
      </w:pPr>
      <w:r>
        <w:rPr>
          <w:rFonts w:ascii="Verdana" w:hAnsi="Verdana"/>
          <w:lang w:val="en-US"/>
        </w:rPr>
        <w:t>This part is focused for the UCAS the UK “parcourssup”.</w:t>
      </w:r>
    </w:p>
    <w:p w14:paraId="68E77528" w14:textId="37D78FCD" w:rsidR="009643DC" w:rsidRPr="00197AA3" w:rsidRDefault="00E155CA">
      <w:pPr>
        <w:tabs>
          <w:tab w:val="left" w:pos="5640"/>
        </w:tabs>
        <w:rPr>
          <w:lang w:val="en-US"/>
        </w:rPr>
      </w:pPr>
      <w:r>
        <w:rPr>
          <w:rFonts w:ascii="Verdana" w:hAnsi="Verdana"/>
          <w:lang w:val="en-US"/>
        </w:rPr>
        <w:t xml:space="preserve">The data found is here website : </w:t>
      </w:r>
      <w:hyperlink r:id="rId8" w:history="1">
        <w:r>
          <w:rPr>
            <w:rStyle w:val="Lienhypertexte"/>
            <w:rFonts w:ascii="Verdana" w:hAnsi="Verdana"/>
            <w:lang w:val="en-US"/>
          </w:rPr>
          <w:t>https://www.ucas.com/undergraduate-statistics-and-reports/ucas-undergraduate-releases/ucas-undergraduate-applicant-releases-2023-cycle/2023-cycle-applicant-figures-30-june-deadline</w:t>
        </w:r>
      </w:hyperlink>
    </w:p>
    <w:p w14:paraId="12867625" w14:textId="77777777" w:rsidR="009643DC" w:rsidRPr="000709B0" w:rsidRDefault="00000000">
      <w:pPr>
        <w:tabs>
          <w:tab w:val="left" w:pos="5640"/>
        </w:tabs>
        <w:rPr>
          <w:b/>
          <w:bCs/>
          <w:lang w:val="en-US"/>
        </w:rPr>
      </w:pPr>
      <w:r w:rsidRPr="000709B0">
        <w:rPr>
          <w:rFonts w:ascii="Verdana" w:hAnsi="Verdana"/>
          <w:b/>
          <w:bCs/>
          <w:lang w:val="en-US"/>
        </w:rPr>
        <w:t xml:space="preserve">Q1) a) </w:t>
      </w:r>
      <w:r w:rsidRPr="000709B0">
        <w:rPr>
          <w:rFonts w:ascii="Verdana" w:hAnsi="Verdana"/>
          <w:b/>
          <w:bCs/>
          <w:i/>
          <w:iCs/>
          <w:lang w:val="en-US"/>
        </w:rPr>
        <w:t>all applicants between 2006 and 2023</w:t>
      </w:r>
    </w:p>
    <w:p w14:paraId="4B6F3186" w14:textId="77777777" w:rsidR="009643DC" w:rsidRDefault="00000000">
      <w:pPr>
        <w:tabs>
          <w:tab w:val="left" w:pos="5640"/>
        </w:tabs>
      </w:pPr>
      <w:r>
        <w:rPr>
          <w:noProof/>
          <w:lang w:val="en-US"/>
        </w:rPr>
        <w:drawing>
          <wp:inline distT="0" distB="0" distL="0" distR="0" wp14:anchorId="157BE4FC" wp14:editId="4D0C4F98">
            <wp:extent cx="5051429" cy="2644143"/>
            <wp:effectExtent l="0" t="0" r="0" b="0"/>
            <wp:docPr id="1981477902"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3489E1" w14:textId="02B10FF2" w:rsidR="00820D8B" w:rsidRPr="002E5A44" w:rsidRDefault="002E5A44">
      <w:pPr>
        <w:tabs>
          <w:tab w:val="left" w:pos="5640"/>
        </w:tabs>
        <w:rPr>
          <w:rFonts w:ascii="Verdana" w:hAnsi="Verdana"/>
          <w:lang w:val="en-US"/>
        </w:rPr>
      </w:pPr>
      <w:r w:rsidRPr="002E5A44">
        <w:rPr>
          <w:rFonts w:ascii="Verdana" w:hAnsi="Verdana" w:cs="Helvetica"/>
          <w:color w:val="000000"/>
          <w:shd w:val="clear" w:color="auto" w:fill="FFFFFF"/>
          <w:lang w:val="en-US"/>
        </w:rPr>
        <w:t>Student numbers have been rising steadily since 2006, and even more so since 2021</w:t>
      </w:r>
      <w:r>
        <w:rPr>
          <w:rFonts w:ascii="Verdana" w:hAnsi="Verdana" w:cs="Helvetica"/>
          <w:color w:val="000000"/>
          <w:shd w:val="clear" w:color="auto" w:fill="FFFFFF"/>
          <w:lang w:val="en-US"/>
        </w:rPr>
        <w:t>.</w:t>
      </w:r>
    </w:p>
    <w:p w14:paraId="03CBB17B" w14:textId="77777777" w:rsidR="009643DC" w:rsidRPr="00D82108" w:rsidRDefault="00000000">
      <w:pPr>
        <w:tabs>
          <w:tab w:val="left" w:pos="5640"/>
        </w:tabs>
        <w:rPr>
          <w:b/>
          <w:bCs/>
          <w:lang w:val="en-US"/>
        </w:rPr>
      </w:pPr>
      <w:r w:rsidRPr="00D82108">
        <w:rPr>
          <w:rFonts w:ascii="Verdana" w:hAnsi="Verdana"/>
          <w:b/>
          <w:bCs/>
          <w:lang w:val="en-US"/>
        </w:rPr>
        <w:t>b)</w:t>
      </w:r>
      <w:r w:rsidRPr="00D82108">
        <w:rPr>
          <w:rFonts w:ascii="Verdana" w:hAnsi="Verdana"/>
          <w:b/>
          <w:bCs/>
          <w:i/>
          <w:iCs/>
          <w:lang w:val="en-US"/>
        </w:rPr>
        <w:t xml:space="preserve"> international applicants from the EU (not UK) between 2006-2023</w:t>
      </w:r>
    </w:p>
    <w:p w14:paraId="38648052" w14:textId="77777777" w:rsidR="009643DC" w:rsidRDefault="00000000">
      <w:pPr>
        <w:tabs>
          <w:tab w:val="left" w:pos="5640"/>
        </w:tabs>
      </w:pPr>
      <w:r>
        <w:rPr>
          <w:noProof/>
          <w:lang w:val="en-US"/>
        </w:rPr>
        <w:drawing>
          <wp:inline distT="0" distB="0" distL="0" distR="0" wp14:anchorId="6C564EF6" wp14:editId="4A11723C">
            <wp:extent cx="5638800" cy="3147060"/>
            <wp:effectExtent l="0" t="0" r="0" b="15240"/>
            <wp:docPr id="1843451586"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29B8BF4" w14:textId="063DD38C" w:rsidR="009643DC" w:rsidRPr="002E5A44" w:rsidRDefault="002E5A44">
      <w:pPr>
        <w:tabs>
          <w:tab w:val="left" w:pos="5640"/>
        </w:tabs>
        <w:rPr>
          <w:rFonts w:ascii="Verdana" w:hAnsi="Verdana"/>
          <w:lang w:val="en-US"/>
        </w:rPr>
      </w:pPr>
      <w:r w:rsidRPr="002E5A44">
        <w:rPr>
          <w:rFonts w:ascii="Verdana" w:hAnsi="Verdana" w:cs="Arial"/>
          <w:color w:val="000000"/>
          <w:shd w:val="clear" w:color="auto" w:fill="FFFFFF"/>
          <w:lang w:val="en-US"/>
        </w:rPr>
        <w:lastRenderedPageBreak/>
        <w:t>The number of European students has fallen significantly since 2021.</w:t>
      </w:r>
    </w:p>
    <w:p w14:paraId="2454D207" w14:textId="0A0A4DAD" w:rsidR="009643DC" w:rsidRPr="00D82108" w:rsidRDefault="00000000">
      <w:pPr>
        <w:tabs>
          <w:tab w:val="left" w:pos="5640"/>
        </w:tabs>
        <w:rPr>
          <w:b/>
          <w:bCs/>
          <w:lang w:val="en-US"/>
        </w:rPr>
      </w:pPr>
      <w:r w:rsidRPr="00D82108">
        <w:rPr>
          <w:rFonts w:ascii="Verdana" w:hAnsi="Verdana"/>
          <w:b/>
          <w:bCs/>
          <w:lang w:val="en-US"/>
        </w:rPr>
        <w:t xml:space="preserve">c) </w:t>
      </w:r>
      <w:r w:rsidRPr="00D82108">
        <w:rPr>
          <w:rFonts w:ascii="Verdana" w:hAnsi="Verdana"/>
          <w:b/>
          <w:bCs/>
          <w:i/>
          <w:iCs/>
          <w:lang w:val="en-US"/>
        </w:rPr>
        <w:t>international no</w:t>
      </w:r>
      <w:r w:rsidR="000709B0" w:rsidRPr="00D82108">
        <w:rPr>
          <w:rFonts w:ascii="Verdana" w:hAnsi="Verdana"/>
          <w:b/>
          <w:bCs/>
          <w:i/>
          <w:iCs/>
          <w:lang w:val="en-US"/>
        </w:rPr>
        <w:t>t</w:t>
      </w:r>
      <w:r w:rsidRPr="00D82108">
        <w:rPr>
          <w:rFonts w:ascii="Verdana" w:hAnsi="Verdana"/>
          <w:b/>
          <w:bCs/>
          <w:i/>
          <w:iCs/>
          <w:lang w:val="en-US"/>
        </w:rPr>
        <w:t>-EU applicants between 2006 and 2023</w:t>
      </w:r>
    </w:p>
    <w:p w14:paraId="650A2DD6" w14:textId="71A0CF39" w:rsidR="009643DC" w:rsidRDefault="00B125E2">
      <w:pPr>
        <w:tabs>
          <w:tab w:val="left" w:pos="5640"/>
        </w:tabs>
      </w:pPr>
      <w:r>
        <w:rPr>
          <w:noProof/>
        </w:rPr>
        <w:drawing>
          <wp:inline distT="0" distB="0" distL="0" distR="0" wp14:anchorId="413AB511" wp14:editId="27BF94AF">
            <wp:extent cx="5760720" cy="3810000"/>
            <wp:effectExtent l="0" t="0" r="11430" b="0"/>
            <wp:docPr id="1337156205" name="Graphique 1">
              <a:extLst xmlns:a="http://schemas.openxmlformats.org/drawingml/2006/main">
                <a:ext uri="{FF2B5EF4-FFF2-40B4-BE49-F238E27FC236}">
                  <a16:creationId xmlns:a16="http://schemas.microsoft.com/office/drawing/2014/main" id="{57ADBD0D-9C0E-2A60-5C30-646341D509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6B98961" w14:textId="51F08D32" w:rsidR="002E5A44" w:rsidRPr="005F4B80" w:rsidRDefault="005F4B80">
      <w:pPr>
        <w:tabs>
          <w:tab w:val="left" w:pos="5640"/>
        </w:tabs>
        <w:rPr>
          <w:rFonts w:ascii="Verdana" w:hAnsi="Verdana"/>
          <w:lang w:val="en-US"/>
        </w:rPr>
      </w:pPr>
      <w:r w:rsidRPr="005F4B80">
        <w:rPr>
          <w:rFonts w:ascii="Verdana" w:hAnsi="Verdana" w:cs="Arial"/>
          <w:color w:val="000000"/>
          <w:shd w:val="clear" w:color="auto" w:fill="FFFFFF"/>
          <w:lang w:val="en-US"/>
        </w:rPr>
        <w:t>International student numbers are not following the same trend. They are rising in 2019, with neither Brexit nor Covid19 having any effect. The drop in European student numbers seems to be offset by a surge in international students.</w:t>
      </w:r>
    </w:p>
    <w:p w14:paraId="37189765" w14:textId="77777777" w:rsidR="00D82108" w:rsidRDefault="00D82108">
      <w:pPr>
        <w:tabs>
          <w:tab w:val="left" w:pos="5640"/>
        </w:tabs>
        <w:rPr>
          <w:rFonts w:ascii="Verdana" w:hAnsi="Verdana"/>
          <w:b/>
          <w:bCs/>
          <w:lang w:val="en-US"/>
        </w:rPr>
      </w:pPr>
    </w:p>
    <w:p w14:paraId="2B1C1502" w14:textId="77777777" w:rsidR="00D82108" w:rsidRDefault="00D82108">
      <w:pPr>
        <w:tabs>
          <w:tab w:val="left" w:pos="5640"/>
        </w:tabs>
        <w:rPr>
          <w:rFonts w:ascii="Verdana" w:hAnsi="Verdana"/>
          <w:b/>
          <w:bCs/>
          <w:lang w:val="en-US"/>
        </w:rPr>
      </w:pPr>
    </w:p>
    <w:p w14:paraId="1E35643A" w14:textId="77777777" w:rsidR="00D82108" w:rsidRDefault="00D82108">
      <w:pPr>
        <w:tabs>
          <w:tab w:val="left" w:pos="5640"/>
        </w:tabs>
        <w:rPr>
          <w:rFonts w:ascii="Verdana" w:hAnsi="Verdana"/>
          <w:b/>
          <w:bCs/>
          <w:lang w:val="en-US"/>
        </w:rPr>
      </w:pPr>
    </w:p>
    <w:p w14:paraId="5F0592F1" w14:textId="77777777" w:rsidR="00D82108" w:rsidRDefault="00D82108">
      <w:pPr>
        <w:tabs>
          <w:tab w:val="left" w:pos="5640"/>
        </w:tabs>
        <w:rPr>
          <w:rFonts w:ascii="Verdana" w:hAnsi="Verdana"/>
          <w:b/>
          <w:bCs/>
          <w:lang w:val="en-US"/>
        </w:rPr>
      </w:pPr>
    </w:p>
    <w:p w14:paraId="68E6DD5F" w14:textId="77777777" w:rsidR="00D82108" w:rsidRDefault="00D82108">
      <w:pPr>
        <w:tabs>
          <w:tab w:val="left" w:pos="5640"/>
        </w:tabs>
        <w:rPr>
          <w:rFonts w:ascii="Verdana" w:hAnsi="Verdana"/>
          <w:b/>
          <w:bCs/>
          <w:lang w:val="en-US"/>
        </w:rPr>
      </w:pPr>
    </w:p>
    <w:p w14:paraId="300B5309" w14:textId="77777777" w:rsidR="00D82108" w:rsidRDefault="00D82108">
      <w:pPr>
        <w:tabs>
          <w:tab w:val="left" w:pos="5640"/>
        </w:tabs>
        <w:rPr>
          <w:rFonts w:ascii="Verdana" w:hAnsi="Verdana"/>
          <w:b/>
          <w:bCs/>
          <w:lang w:val="en-US"/>
        </w:rPr>
      </w:pPr>
    </w:p>
    <w:p w14:paraId="086D6A18" w14:textId="77777777" w:rsidR="00D82108" w:rsidRDefault="00D82108">
      <w:pPr>
        <w:tabs>
          <w:tab w:val="left" w:pos="5640"/>
        </w:tabs>
        <w:rPr>
          <w:rFonts w:ascii="Verdana" w:hAnsi="Verdana"/>
          <w:b/>
          <w:bCs/>
          <w:lang w:val="en-US"/>
        </w:rPr>
      </w:pPr>
    </w:p>
    <w:p w14:paraId="58AB4C3A" w14:textId="77777777" w:rsidR="00D82108" w:rsidRDefault="00D82108">
      <w:pPr>
        <w:tabs>
          <w:tab w:val="left" w:pos="5640"/>
        </w:tabs>
        <w:rPr>
          <w:rFonts w:ascii="Verdana" w:hAnsi="Verdana"/>
          <w:b/>
          <w:bCs/>
          <w:lang w:val="en-US"/>
        </w:rPr>
      </w:pPr>
    </w:p>
    <w:p w14:paraId="723B5AB9" w14:textId="77777777" w:rsidR="00D82108" w:rsidRDefault="00D82108">
      <w:pPr>
        <w:tabs>
          <w:tab w:val="left" w:pos="5640"/>
        </w:tabs>
        <w:rPr>
          <w:rFonts w:ascii="Verdana" w:hAnsi="Verdana"/>
          <w:b/>
          <w:bCs/>
          <w:lang w:val="en-US"/>
        </w:rPr>
      </w:pPr>
    </w:p>
    <w:p w14:paraId="294A50D8" w14:textId="77777777" w:rsidR="00D82108" w:rsidRDefault="00D82108">
      <w:pPr>
        <w:tabs>
          <w:tab w:val="left" w:pos="5640"/>
        </w:tabs>
        <w:rPr>
          <w:rFonts w:ascii="Verdana" w:hAnsi="Verdana"/>
          <w:b/>
          <w:bCs/>
          <w:lang w:val="en-US"/>
        </w:rPr>
      </w:pPr>
    </w:p>
    <w:p w14:paraId="528D4CAC" w14:textId="6A145694" w:rsidR="009643DC" w:rsidRPr="000709B0" w:rsidRDefault="00000000">
      <w:pPr>
        <w:tabs>
          <w:tab w:val="left" w:pos="5640"/>
        </w:tabs>
        <w:rPr>
          <w:b/>
          <w:bCs/>
          <w:lang w:val="en-US"/>
        </w:rPr>
      </w:pPr>
      <w:r w:rsidRPr="000709B0">
        <w:rPr>
          <w:rFonts w:ascii="Verdana" w:hAnsi="Verdana"/>
          <w:b/>
          <w:bCs/>
          <w:lang w:val="en-US"/>
        </w:rPr>
        <w:lastRenderedPageBreak/>
        <w:t xml:space="preserve">Q2) </w:t>
      </w:r>
      <w:r w:rsidRPr="000709B0">
        <w:rPr>
          <w:rFonts w:ascii="Verdana" w:hAnsi="Verdana"/>
          <w:b/>
          <w:bCs/>
          <w:i/>
          <w:iCs/>
          <w:lang w:val="en-US"/>
        </w:rPr>
        <w:t>Compare the figures for applications between 2021 and 2023…</w:t>
      </w:r>
    </w:p>
    <w:p w14:paraId="15F8D0E0" w14:textId="2316B098" w:rsidR="00B461D2" w:rsidRDefault="00B461D2">
      <w:pPr>
        <w:tabs>
          <w:tab w:val="left" w:pos="5640"/>
        </w:tabs>
        <w:rPr>
          <w:lang w:val="en-US"/>
        </w:rPr>
      </w:pPr>
      <w:r>
        <w:rPr>
          <w:noProof/>
        </w:rPr>
        <w:drawing>
          <wp:inline distT="0" distB="0" distL="0" distR="0" wp14:anchorId="2EBF159C" wp14:editId="4570E8A8">
            <wp:extent cx="5760720" cy="3843020"/>
            <wp:effectExtent l="0" t="0" r="5080" b="5080"/>
            <wp:docPr id="1542361964" name="Image 1" descr="Une image contenant capture d’écran, text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61964" name="Image 1" descr="Une image contenant capture d’écran, texte, Tracé, ligne&#10;&#10;Description générée automatiquement"/>
                    <pic:cNvPicPr/>
                  </pic:nvPicPr>
                  <pic:blipFill>
                    <a:blip r:embed="rId12"/>
                    <a:stretch>
                      <a:fillRect/>
                    </a:stretch>
                  </pic:blipFill>
                  <pic:spPr>
                    <a:xfrm>
                      <a:off x="0" y="0"/>
                      <a:ext cx="5760720" cy="3843020"/>
                    </a:xfrm>
                    <a:prstGeom prst="rect">
                      <a:avLst/>
                    </a:prstGeom>
                  </pic:spPr>
                </pic:pic>
              </a:graphicData>
            </a:graphic>
          </wp:inline>
        </w:drawing>
      </w:r>
    </w:p>
    <w:p w14:paraId="3C79AE0B" w14:textId="77777777" w:rsidR="00D82108" w:rsidRDefault="00B461D2">
      <w:pPr>
        <w:tabs>
          <w:tab w:val="left" w:pos="5640"/>
        </w:tabs>
      </w:pPr>
      <w:r>
        <w:rPr>
          <w:noProof/>
        </w:rPr>
        <w:drawing>
          <wp:inline distT="0" distB="0" distL="0" distR="0" wp14:anchorId="14627BC6" wp14:editId="23ECED51">
            <wp:extent cx="5760720" cy="3756025"/>
            <wp:effectExtent l="0" t="0" r="5080" b="3175"/>
            <wp:docPr id="70891538" name="Image 1" descr="Une image contenant capture d’écran, text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1538" name="Image 1" descr="Une image contenant capture d’écran, texte, Tracé, diagramme&#10;&#10;Description générée automatiquement"/>
                    <pic:cNvPicPr/>
                  </pic:nvPicPr>
                  <pic:blipFill>
                    <a:blip r:embed="rId13"/>
                    <a:stretch>
                      <a:fillRect/>
                    </a:stretch>
                  </pic:blipFill>
                  <pic:spPr>
                    <a:xfrm>
                      <a:off x="0" y="0"/>
                      <a:ext cx="5760720" cy="3756025"/>
                    </a:xfrm>
                    <a:prstGeom prst="rect">
                      <a:avLst/>
                    </a:prstGeom>
                  </pic:spPr>
                </pic:pic>
              </a:graphicData>
            </a:graphic>
          </wp:inline>
        </w:drawing>
      </w:r>
    </w:p>
    <w:p w14:paraId="0C41130F" w14:textId="296FAE2D" w:rsidR="009643DC" w:rsidRPr="00D82108" w:rsidRDefault="00000000">
      <w:pPr>
        <w:tabs>
          <w:tab w:val="left" w:pos="5640"/>
        </w:tabs>
        <w:rPr>
          <w:lang w:val="en-US"/>
        </w:rPr>
      </w:pPr>
      <w:r>
        <w:rPr>
          <w:rFonts w:ascii="Verdana" w:hAnsi="Verdana"/>
          <w:lang w:val="en-US"/>
        </w:rPr>
        <w:t>This number correspond a many of year after Brexit, the UCAS privileged the UK student while accepting Not EU and EU (excluding UK) Students.</w:t>
      </w:r>
    </w:p>
    <w:p w14:paraId="3784D069" w14:textId="77777777" w:rsidR="009643DC" w:rsidRDefault="00000000">
      <w:pPr>
        <w:tabs>
          <w:tab w:val="left" w:pos="5640"/>
        </w:tabs>
        <w:rPr>
          <w:rFonts w:ascii="Verdana" w:hAnsi="Verdana"/>
          <w:lang w:val="en-US"/>
        </w:rPr>
      </w:pPr>
      <w:r>
        <w:rPr>
          <w:rFonts w:ascii="Verdana" w:hAnsi="Verdana"/>
          <w:lang w:val="en-US"/>
        </w:rPr>
        <w:lastRenderedPageBreak/>
        <w:t>My conclude for this number is probably the consequence of Brexit.</w:t>
      </w:r>
    </w:p>
    <w:p w14:paraId="7D3C1B31" w14:textId="77777777" w:rsidR="009643DC" w:rsidRPr="000709B0" w:rsidRDefault="00000000">
      <w:pPr>
        <w:tabs>
          <w:tab w:val="left" w:pos="5640"/>
        </w:tabs>
        <w:rPr>
          <w:b/>
          <w:bCs/>
          <w:lang w:val="en-US"/>
        </w:rPr>
      </w:pPr>
      <w:r w:rsidRPr="000709B0">
        <w:rPr>
          <w:rFonts w:ascii="Verdana" w:hAnsi="Verdana"/>
          <w:b/>
          <w:bCs/>
          <w:lang w:val="en-US"/>
        </w:rPr>
        <w:t xml:space="preserve">Q3) </w:t>
      </w:r>
      <w:r w:rsidRPr="000709B0">
        <w:rPr>
          <w:rFonts w:ascii="Verdana" w:hAnsi="Verdana"/>
          <w:b/>
          <w:bCs/>
          <w:i/>
          <w:iCs/>
          <w:lang w:val="en-US"/>
        </w:rPr>
        <w:t>Has Brexit had an effect on the number of French applicants to UK universities?</w:t>
      </w:r>
    </w:p>
    <w:p w14:paraId="05EC18D8" w14:textId="77777777" w:rsidR="009643DC" w:rsidRDefault="00000000">
      <w:pPr>
        <w:tabs>
          <w:tab w:val="left" w:pos="5640"/>
        </w:tabs>
      </w:pPr>
      <w:r>
        <w:rPr>
          <w:noProof/>
          <w:lang w:val="en-US"/>
        </w:rPr>
        <w:drawing>
          <wp:inline distT="0" distB="0" distL="0" distR="0" wp14:anchorId="60171D68" wp14:editId="71D016E3">
            <wp:extent cx="5760720" cy="3434084"/>
            <wp:effectExtent l="0" t="0" r="0" b="0"/>
            <wp:docPr id="1187309229"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81DBA1" w14:textId="77777777" w:rsidR="009643DC" w:rsidRDefault="00000000">
      <w:pPr>
        <w:tabs>
          <w:tab w:val="left" w:pos="5640"/>
        </w:tabs>
        <w:rPr>
          <w:rFonts w:ascii="Verdana" w:hAnsi="Verdana"/>
          <w:lang w:val="en-US"/>
        </w:rPr>
      </w:pPr>
      <w:r>
        <w:rPr>
          <w:rFonts w:ascii="Verdana" w:hAnsi="Verdana"/>
          <w:lang w:val="en-US"/>
        </w:rPr>
        <w:t>The number of French students in 2021 has rapidly fallen since the Brexit.</w:t>
      </w:r>
    </w:p>
    <w:p w14:paraId="09D37C12" w14:textId="77777777" w:rsidR="009643DC" w:rsidRDefault="00000000">
      <w:pPr>
        <w:tabs>
          <w:tab w:val="left" w:pos="5640"/>
        </w:tabs>
        <w:rPr>
          <w:rFonts w:ascii="Verdana" w:hAnsi="Verdana"/>
          <w:lang w:val="en-US"/>
        </w:rPr>
      </w:pPr>
      <w:r>
        <w:rPr>
          <w:rFonts w:ascii="Verdana" w:hAnsi="Verdana"/>
          <w:lang w:val="en-US"/>
        </w:rPr>
        <w:t>The French Students is probably not only to endure this decrease.</w:t>
      </w:r>
    </w:p>
    <w:p w14:paraId="27EFB2E4" w14:textId="08040375" w:rsidR="00B83116" w:rsidRDefault="00000000">
      <w:pPr>
        <w:tabs>
          <w:tab w:val="left" w:pos="5640"/>
        </w:tabs>
        <w:rPr>
          <w:rFonts w:ascii="Verdana" w:hAnsi="Verdana"/>
          <w:lang w:val="en-US"/>
        </w:rPr>
      </w:pPr>
      <w:r>
        <w:rPr>
          <w:rFonts w:ascii="Verdana" w:hAnsi="Verdana"/>
          <w:lang w:val="en-US"/>
        </w:rPr>
        <w:t>The Brexit has reduced European exchanges, before an identity card was enough, today you need a passport, this is just one example. Given the conditions for going to the UK, French people might be tempted, even if they need a passport, to come to the USA</w:t>
      </w:r>
      <w:r w:rsidR="005F3C38">
        <w:rPr>
          <w:rFonts w:ascii="Verdana" w:hAnsi="Verdana"/>
          <w:lang w:val="en-US"/>
        </w:rPr>
        <w:t xml:space="preserve"> </w:t>
      </w:r>
      <w:r w:rsidR="005F3C38" w:rsidRPr="005F3C38">
        <w:rPr>
          <w:rStyle w:val="lev"/>
          <w:rFonts w:ascii="Verdana" w:hAnsi="Verdana" w:cs="Arial"/>
          <w:b w:val="0"/>
          <w:bCs w:val="0"/>
          <w:color w:val="000000"/>
          <w:shd w:val="clear" w:color="auto" w:fill="FFFFFF"/>
          <w:lang w:val="en-US"/>
        </w:rPr>
        <w:t>or another country outside the EU</w:t>
      </w:r>
      <w:r>
        <w:rPr>
          <w:rFonts w:ascii="Verdana" w:hAnsi="Verdana"/>
          <w:lang w:val="en-US"/>
        </w:rPr>
        <w:t>. The gradual decline may also be due to covid.</w:t>
      </w:r>
    </w:p>
    <w:p w14:paraId="70B1D454" w14:textId="77777777" w:rsidR="00AA690B" w:rsidRDefault="00AA690B">
      <w:pPr>
        <w:tabs>
          <w:tab w:val="left" w:pos="5640"/>
        </w:tabs>
        <w:rPr>
          <w:rFonts w:ascii="Verdana" w:hAnsi="Verdana"/>
          <w:lang w:val="en-US"/>
        </w:rPr>
      </w:pPr>
    </w:p>
    <w:p w14:paraId="2C6BE99A" w14:textId="77777777" w:rsidR="00AA690B" w:rsidRDefault="00AA690B">
      <w:pPr>
        <w:tabs>
          <w:tab w:val="left" w:pos="5640"/>
        </w:tabs>
        <w:rPr>
          <w:rFonts w:ascii="Verdana" w:hAnsi="Verdana"/>
          <w:lang w:val="en-US"/>
        </w:rPr>
      </w:pPr>
    </w:p>
    <w:p w14:paraId="2BD220F9" w14:textId="77777777" w:rsidR="00AA690B" w:rsidRDefault="00AA690B">
      <w:pPr>
        <w:tabs>
          <w:tab w:val="left" w:pos="5640"/>
        </w:tabs>
        <w:rPr>
          <w:rFonts w:ascii="Verdana" w:hAnsi="Verdana"/>
          <w:lang w:val="en-US"/>
        </w:rPr>
      </w:pPr>
    </w:p>
    <w:p w14:paraId="56EC6582" w14:textId="77777777" w:rsidR="00AA690B" w:rsidRDefault="00AA690B">
      <w:pPr>
        <w:tabs>
          <w:tab w:val="left" w:pos="5640"/>
        </w:tabs>
        <w:rPr>
          <w:rFonts w:ascii="Verdana" w:hAnsi="Verdana"/>
          <w:lang w:val="en-US"/>
        </w:rPr>
      </w:pPr>
    </w:p>
    <w:p w14:paraId="627918C7" w14:textId="77777777" w:rsidR="00AA690B" w:rsidRDefault="00AA690B">
      <w:pPr>
        <w:tabs>
          <w:tab w:val="left" w:pos="5640"/>
        </w:tabs>
        <w:rPr>
          <w:rFonts w:ascii="Verdana" w:hAnsi="Verdana"/>
          <w:lang w:val="en-US"/>
        </w:rPr>
      </w:pPr>
    </w:p>
    <w:p w14:paraId="73194DA7" w14:textId="77777777" w:rsidR="00AA690B" w:rsidRDefault="00AA690B">
      <w:pPr>
        <w:tabs>
          <w:tab w:val="left" w:pos="5640"/>
        </w:tabs>
        <w:rPr>
          <w:rFonts w:ascii="Verdana" w:hAnsi="Verdana"/>
          <w:lang w:val="en-US"/>
        </w:rPr>
      </w:pPr>
    </w:p>
    <w:p w14:paraId="647E5ACD" w14:textId="77777777" w:rsidR="00AA690B" w:rsidRDefault="00AA690B">
      <w:pPr>
        <w:tabs>
          <w:tab w:val="left" w:pos="5640"/>
        </w:tabs>
        <w:rPr>
          <w:rFonts w:ascii="Verdana" w:hAnsi="Verdana"/>
          <w:lang w:val="en-US"/>
        </w:rPr>
      </w:pPr>
    </w:p>
    <w:p w14:paraId="4CC2E33C" w14:textId="77777777" w:rsidR="00AA690B" w:rsidRDefault="00AA690B">
      <w:pPr>
        <w:tabs>
          <w:tab w:val="left" w:pos="5640"/>
        </w:tabs>
        <w:rPr>
          <w:rFonts w:ascii="Verdana" w:hAnsi="Verdana"/>
          <w:lang w:val="en-US"/>
        </w:rPr>
      </w:pPr>
    </w:p>
    <w:p w14:paraId="144B2D2F" w14:textId="5A271223" w:rsidR="009643DC" w:rsidRPr="000709B0" w:rsidRDefault="00000000">
      <w:pPr>
        <w:tabs>
          <w:tab w:val="left" w:pos="5640"/>
        </w:tabs>
        <w:rPr>
          <w:rFonts w:ascii="Verdana" w:hAnsi="Verdana"/>
          <w:b/>
          <w:bCs/>
          <w:i/>
          <w:iCs/>
          <w:lang w:val="en-US"/>
        </w:rPr>
      </w:pPr>
      <w:r w:rsidRPr="000709B0">
        <w:rPr>
          <w:rFonts w:ascii="Verdana" w:hAnsi="Verdana"/>
          <w:b/>
          <w:bCs/>
          <w:i/>
          <w:iCs/>
          <w:lang w:val="en-US"/>
        </w:rPr>
        <w:lastRenderedPageBreak/>
        <w:t>Q4) Which country (excluding the UK) had the highest number of applicants?</w:t>
      </w:r>
    </w:p>
    <w:p w14:paraId="2311165A" w14:textId="77777777" w:rsidR="009643DC" w:rsidRDefault="00000000">
      <w:pPr>
        <w:tabs>
          <w:tab w:val="left" w:pos="5640"/>
        </w:tabs>
      </w:pPr>
      <w:r>
        <w:rPr>
          <w:noProof/>
          <w:lang w:val="en-US"/>
        </w:rPr>
        <w:drawing>
          <wp:inline distT="0" distB="0" distL="0" distR="0" wp14:anchorId="570B092F" wp14:editId="316196A9">
            <wp:extent cx="5562600" cy="2979420"/>
            <wp:effectExtent l="0" t="0" r="0" b="11430"/>
            <wp:docPr id="1116717346"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1934FF6" w14:textId="77777777" w:rsidR="009643DC" w:rsidRDefault="00000000">
      <w:pPr>
        <w:tabs>
          <w:tab w:val="left" w:pos="5640"/>
        </w:tabs>
        <w:rPr>
          <w:rFonts w:ascii="Verdana" w:hAnsi="Verdana"/>
          <w:lang w:val="en-US"/>
        </w:rPr>
      </w:pPr>
      <w:r>
        <w:rPr>
          <w:rFonts w:ascii="Verdana" w:hAnsi="Verdana"/>
          <w:lang w:val="en-US"/>
        </w:rPr>
        <w:t>On this graphic the China student is the Highest Student, the explanation can be quite simple because the China is and the world's most populous country, the India it’s second same in most populous countries.</w:t>
      </w:r>
    </w:p>
    <w:p w14:paraId="6B6F8554" w14:textId="77777777" w:rsidR="009643DC" w:rsidRDefault="00000000">
      <w:pPr>
        <w:tabs>
          <w:tab w:val="left" w:pos="5640"/>
        </w:tabs>
        <w:rPr>
          <w:rFonts w:ascii="Verdana" w:hAnsi="Verdana"/>
          <w:lang w:val="en-US"/>
        </w:rPr>
      </w:pPr>
      <w:r>
        <w:rPr>
          <w:rFonts w:ascii="Verdana" w:hAnsi="Verdana"/>
          <w:lang w:val="en-US"/>
        </w:rPr>
        <w:t>If this country to many habitants, then the China students apply to UK.</w:t>
      </w:r>
    </w:p>
    <w:p w14:paraId="305AD61C" w14:textId="77777777" w:rsidR="009643DC" w:rsidRPr="000709B0" w:rsidRDefault="00000000">
      <w:pPr>
        <w:tabs>
          <w:tab w:val="left" w:pos="5640"/>
        </w:tabs>
        <w:rPr>
          <w:b/>
          <w:bCs/>
          <w:lang w:val="en-US"/>
        </w:rPr>
      </w:pPr>
      <w:r w:rsidRPr="000709B0">
        <w:rPr>
          <w:rFonts w:ascii="Verdana" w:hAnsi="Verdana"/>
          <w:b/>
          <w:bCs/>
          <w:lang w:val="en-US"/>
        </w:rPr>
        <w:t xml:space="preserve">Q5) </w:t>
      </w:r>
      <w:r w:rsidRPr="000709B0">
        <w:rPr>
          <w:rFonts w:ascii="Verdana" w:hAnsi="Verdana"/>
          <w:b/>
          <w:bCs/>
          <w:i/>
          <w:iCs/>
          <w:lang w:val="en-US"/>
        </w:rPr>
        <w:t>Which country (excluding the UK) had the highest number of females.</w:t>
      </w:r>
    </w:p>
    <w:p w14:paraId="27D4CDE9" w14:textId="77777777" w:rsidR="009643DC" w:rsidRDefault="00000000">
      <w:pPr>
        <w:tabs>
          <w:tab w:val="left" w:pos="5640"/>
        </w:tabs>
      </w:pPr>
      <w:r>
        <w:rPr>
          <w:noProof/>
          <w:lang w:val="en-US"/>
        </w:rPr>
        <w:drawing>
          <wp:inline distT="0" distB="0" distL="0" distR="0" wp14:anchorId="1CFAA05E" wp14:editId="2B529B68">
            <wp:extent cx="5760720" cy="3489960"/>
            <wp:effectExtent l="0" t="0" r="11430" b="15240"/>
            <wp:docPr id="794911380"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9EC200A" w14:textId="77777777" w:rsidR="009643DC" w:rsidRDefault="00000000">
      <w:pPr>
        <w:tabs>
          <w:tab w:val="left" w:pos="5640"/>
        </w:tabs>
        <w:rPr>
          <w:rFonts w:ascii="Verdana" w:hAnsi="Verdana"/>
          <w:lang w:val="en-US"/>
        </w:rPr>
      </w:pPr>
      <w:r>
        <w:rPr>
          <w:rFonts w:ascii="Verdana" w:hAnsi="Verdana"/>
          <w:lang w:val="en-US"/>
        </w:rPr>
        <w:lastRenderedPageBreak/>
        <w:t>This number of China student is the same reason for the after question, the female student represents more than half of China students.</w:t>
      </w:r>
    </w:p>
    <w:p w14:paraId="6295E28B" w14:textId="77777777" w:rsidR="009643DC" w:rsidRDefault="00000000">
      <w:pPr>
        <w:tabs>
          <w:tab w:val="left" w:pos="5640"/>
        </w:tabs>
        <w:rPr>
          <w:rFonts w:ascii="Verdana" w:hAnsi="Verdana"/>
          <w:lang w:val="en-US"/>
        </w:rPr>
      </w:pPr>
      <w:r>
        <w:rPr>
          <w:rFonts w:ascii="Verdana" w:hAnsi="Verdana"/>
          <w:lang w:val="en-US"/>
        </w:rPr>
        <w:t>With China's economic boom in recent years, many Chinese people are looking to study in English-speaking countries, but in the USA this option is becoming complicated due to the disputes they've been having with the TikTok app of late.</w:t>
      </w:r>
    </w:p>
    <w:p w14:paraId="4B833A92" w14:textId="6F291CCE" w:rsidR="009643DC" w:rsidRDefault="00000000">
      <w:pPr>
        <w:tabs>
          <w:tab w:val="left" w:pos="5640"/>
        </w:tabs>
        <w:rPr>
          <w:rFonts w:ascii="Verdana" w:hAnsi="Verdana"/>
          <w:lang w:val="en-US"/>
        </w:rPr>
      </w:pPr>
      <w:r>
        <w:rPr>
          <w:rFonts w:ascii="Verdana" w:hAnsi="Verdana"/>
          <w:lang w:val="en-US"/>
        </w:rPr>
        <w:t>The UK is much less closed than the USA, and for many it's an opportunity to learn English in an English-speaking country.</w:t>
      </w:r>
    </w:p>
    <w:p w14:paraId="046ACCA8" w14:textId="77777777" w:rsidR="009643DC" w:rsidRPr="000709B0" w:rsidRDefault="00000000">
      <w:pPr>
        <w:tabs>
          <w:tab w:val="left" w:pos="5640"/>
        </w:tabs>
        <w:rPr>
          <w:b/>
          <w:bCs/>
          <w:lang w:val="en-US"/>
        </w:rPr>
      </w:pPr>
      <w:r w:rsidRPr="000709B0">
        <w:rPr>
          <w:rFonts w:ascii="Verdana" w:hAnsi="Verdana"/>
          <w:b/>
          <w:bCs/>
          <w:lang w:val="en-US"/>
        </w:rPr>
        <w:t xml:space="preserve">Q6) </w:t>
      </w:r>
      <w:r w:rsidRPr="000709B0">
        <w:rPr>
          <w:rFonts w:ascii="Verdana" w:hAnsi="Verdana"/>
          <w:b/>
          <w:bCs/>
          <w:i/>
          <w:iCs/>
          <w:lang w:val="en-US"/>
        </w:rPr>
        <w:t>Show how the number of applicants from Australia has evolved between 2006 and 2023 in a bar or line graph. Compare the figures for all age groups and genders.</w:t>
      </w:r>
    </w:p>
    <w:p w14:paraId="103A05CD" w14:textId="77777777" w:rsidR="009643DC" w:rsidRDefault="00000000">
      <w:pPr>
        <w:tabs>
          <w:tab w:val="left" w:pos="5640"/>
        </w:tabs>
      </w:pPr>
      <w:r>
        <w:rPr>
          <w:noProof/>
        </w:rPr>
        <w:drawing>
          <wp:inline distT="0" distB="0" distL="0" distR="0" wp14:anchorId="18861AD0" wp14:editId="6BBF6CE9">
            <wp:extent cx="5760720" cy="4046220"/>
            <wp:effectExtent l="0" t="0" r="0" b="0"/>
            <wp:docPr id="305701328"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CFD48DD" w14:textId="77777777" w:rsidR="009643DC" w:rsidRDefault="00000000">
      <w:pPr>
        <w:tabs>
          <w:tab w:val="left" w:pos="5640"/>
        </w:tabs>
        <w:rPr>
          <w:rFonts w:ascii="Verdana" w:hAnsi="Verdana"/>
          <w:lang w:val="en-US"/>
        </w:rPr>
      </w:pPr>
      <w:r>
        <w:rPr>
          <w:rFonts w:ascii="Verdana" w:hAnsi="Verdana"/>
          <w:lang w:val="en-US"/>
        </w:rPr>
        <w:t>The largest student as candidates for UCAS at 18 years, it’s in adulthood.</w:t>
      </w:r>
    </w:p>
    <w:p w14:paraId="3BE11363" w14:textId="77777777" w:rsidR="009643DC" w:rsidRDefault="00000000">
      <w:pPr>
        <w:tabs>
          <w:tab w:val="left" w:pos="5640"/>
        </w:tabs>
        <w:rPr>
          <w:rFonts w:ascii="Verdana" w:hAnsi="Verdana"/>
          <w:lang w:val="en-US"/>
        </w:rPr>
      </w:pPr>
      <w:r>
        <w:rPr>
          <w:rFonts w:ascii="Verdana" w:hAnsi="Verdana"/>
          <w:lang w:val="en-US"/>
        </w:rPr>
        <w:t>Studies generally correspond to the beginning of adulthood, by the age of 25-29 there are already a lot fewer people, but there could still be people doing longer reputed studies, and by the age of 30 or more there are more people continuing their studies. Declines in 2020 and 2021 are also probably due to Covid-19.</w:t>
      </w:r>
    </w:p>
    <w:p w14:paraId="26118479" w14:textId="77777777" w:rsidR="00AB5846" w:rsidRDefault="00AB5846">
      <w:pPr>
        <w:tabs>
          <w:tab w:val="left" w:pos="5640"/>
        </w:tabs>
        <w:rPr>
          <w:rFonts w:ascii="Verdana" w:hAnsi="Verdana"/>
          <w:lang w:val="en-US"/>
        </w:rPr>
      </w:pPr>
    </w:p>
    <w:p w14:paraId="44B19348" w14:textId="484BFC0E" w:rsidR="009643DC" w:rsidRDefault="00000000">
      <w:pPr>
        <w:tabs>
          <w:tab w:val="left" w:pos="5640"/>
        </w:tabs>
        <w:rPr>
          <w:rFonts w:ascii="Verdana" w:hAnsi="Verdana"/>
          <w:lang w:val="en-US"/>
        </w:rPr>
      </w:pPr>
      <w:r>
        <w:rPr>
          <w:rFonts w:ascii="Verdana" w:hAnsi="Verdana"/>
          <w:lang w:val="en-US"/>
        </w:rPr>
        <w:lastRenderedPageBreak/>
        <w:t>Female:</w:t>
      </w:r>
    </w:p>
    <w:p w14:paraId="6B6C1495" w14:textId="77777777" w:rsidR="009643DC" w:rsidRDefault="00000000">
      <w:pPr>
        <w:tabs>
          <w:tab w:val="left" w:pos="5640"/>
        </w:tabs>
      </w:pPr>
      <w:r>
        <w:rPr>
          <w:noProof/>
          <w:lang w:val="en-US"/>
        </w:rPr>
        <w:drawing>
          <wp:inline distT="0" distB="0" distL="0" distR="0" wp14:anchorId="29C20E32" wp14:editId="25313B93">
            <wp:extent cx="5554980" cy="3398520"/>
            <wp:effectExtent l="0" t="0" r="7620" b="11430"/>
            <wp:docPr id="523628062"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C5E99C2" w14:textId="77777777" w:rsidR="009643DC" w:rsidRDefault="00000000">
      <w:pPr>
        <w:tabs>
          <w:tab w:val="left" w:pos="5640"/>
        </w:tabs>
        <w:rPr>
          <w:rFonts w:ascii="Verdana" w:hAnsi="Verdana"/>
          <w:lang w:val="en-US"/>
        </w:rPr>
      </w:pPr>
      <w:r>
        <w:rPr>
          <w:rFonts w:ascii="Verdana" w:hAnsi="Verdana"/>
          <w:lang w:val="en-US"/>
        </w:rPr>
        <w:t>Male:</w:t>
      </w:r>
    </w:p>
    <w:p w14:paraId="443D643E" w14:textId="77777777" w:rsidR="009643DC" w:rsidRDefault="00000000">
      <w:pPr>
        <w:tabs>
          <w:tab w:val="left" w:pos="5640"/>
        </w:tabs>
      </w:pPr>
      <w:r>
        <w:rPr>
          <w:noProof/>
          <w:lang w:val="en-US"/>
        </w:rPr>
        <w:drawing>
          <wp:inline distT="0" distB="0" distL="0" distR="0" wp14:anchorId="7661EBF7" wp14:editId="304BA560">
            <wp:extent cx="5775960" cy="3101340"/>
            <wp:effectExtent l="0" t="0" r="15240" b="3810"/>
            <wp:docPr id="2094138427"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23B8448" w14:textId="77777777" w:rsidR="009643DC" w:rsidRDefault="00000000">
      <w:pPr>
        <w:tabs>
          <w:tab w:val="left" w:pos="5640"/>
        </w:tabs>
        <w:rPr>
          <w:rFonts w:ascii="Verdana" w:hAnsi="Verdana"/>
          <w:lang w:val="en-US"/>
        </w:rPr>
      </w:pPr>
      <w:r>
        <w:rPr>
          <w:rFonts w:ascii="Verdana" w:hAnsi="Verdana"/>
          <w:lang w:val="en-US"/>
        </w:rPr>
        <w:t>The number of female applicants is higher than that of male.</w:t>
      </w:r>
    </w:p>
    <w:p w14:paraId="404E64E5" w14:textId="77777777" w:rsidR="009643DC" w:rsidRDefault="00000000">
      <w:pPr>
        <w:tabs>
          <w:tab w:val="left" w:pos="5640"/>
        </w:tabs>
        <w:rPr>
          <w:rFonts w:ascii="Verdana" w:hAnsi="Verdana"/>
          <w:lang w:val="en-US"/>
        </w:rPr>
      </w:pPr>
      <w:r>
        <w:rPr>
          <w:rFonts w:ascii="Verdana" w:hAnsi="Verdana"/>
          <w:lang w:val="en-US"/>
        </w:rPr>
        <w:t>As the years go by, the number of Australian applicants increases, but the number of females is much higher than that of males.</w:t>
      </w:r>
    </w:p>
    <w:p w14:paraId="6C7D77B3" w14:textId="77777777" w:rsidR="00345994" w:rsidRDefault="00000000">
      <w:pPr>
        <w:tabs>
          <w:tab w:val="left" w:pos="5640"/>
        </w:tabs>
        <w:rPr>
          <w:rFonts w:ascii="Verdana" w:hAnsi="Verdana"/>
          <w:lang w:val="en-US"/>
        </w:rPr>
      </w:pPr>
      <w:r>
        <w:rPr>
          <w:rFonts w:ascii="Verdana" w:hAnsi="Verdana"/>
          <w:lang w:val="en-US"/>
        </w:rPr>
        <w:t>The proximity of the language may explain this phenomenon, although I still don't know why there are more females, perhaps with better academic results.</w:t>
      </w:r>
    </w:p>
    <w:p w14:paraId="746C24A8" w14:textId="5A258573" w:rsidR="009643DC" w:rsidRPr="00345994" w:rsidRDefault="00000000">
      <w:pPr>
        <w:tabs>
          <w:tab w:val="left" w:pos="5640"/>
        </w:tabs>
        <w:rPr>
          <w:rFonts w:ascii="Verdana" w:hAnsi="Verdana"/>
          <w:lang w:val="en-US"/>
        </w:rPr>
      </w:pPr>
      <w:r w:rsidRPr="000709B0">
        <w:rPr>
          <w:rFonts w:ascii="Verdana" w:hAnsi="Verdana"/>
          <w:b/>
          <w:bCs/>
          <w:lang w:val="en-US"/>
        </w:rPr>
        <w:lastRenderedPageBreak/>
        <w:t xml:space="preserve">Q7) </w:t>
      </w:r>
      <w:r w:rsidRPr="000709B0">
        <w:rPr>
          <w:rFonts w:ascii="Verdana" w:hAnsi="Verdana"/>
          <w:b/>
          <w:bCs/>
          <w:i/>
          <w:iCs/>
          <w:lang w:val="en-US"/>
        </w:rPr>
        <w:t>Show how the number of applicants from China has evolved between 2006 and 2023 in a bar or line graph. Compare the figures for all age groups and genders.</w:t>
      </w:r>
    </w:p>
    <w:p w14:paraId="3CF939BC" w14:textId="5CE24F0B" w:rsidR="009643DC" w:rsidRPr="006B7784" w:rsidRDefault="00000000">
      <w:pPr>
        <w:tabs>
          <w:tab w:val="left" w:pos="5640"/>
        </w:tabs>
      </w:pPr>
      <w:r>
        <w:rPr>
          <w:noProof/>
        </w:rPr>
        <w:drawing>
          <wp:inline distT="0" distB="0" distL="0" distR="0" wp14:anchorId="76FB2CF0" wp14:editId="031EB215">
            <wp:extent cx="5775960" cy="3489960"/>
            <wp:effectExtent l="0" t="0" r="15240" b="15240"/>
            <wp:docPr id="1867725352"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028C015" w14:textId="77777777" w:rsidR="009643DC" w:rsidRDefault="00000000">
      <w:pPr>
        <w:tabs>
          <w:tab w:val="left" w:pos="5640"/>
        </w:tabs>
        <w:rPr>
          <w:rFonts w:ascii="Verdana" w:hAnsi="Verdana"/>
          <w:lang w:val="en-US"/>
        </w:rPr>
      </w:pPr>
      <w:r>
        <w:rPr>
          <w:rFonts w:ascii="Verdana" w:hAnsi="Verdana"/>
          <w:lang w:val="en-US"/>
        </w:rPr>
        <w:t>Female:</w:t>
      </w:r>
    </w:p>
    <w:p w14:paraId="765DB6D9" w14:textId="77777777" w:rsidR="009643DC" w:rsidRDefault="00000000">
      <w:pPr>
        <w:tabs>
          <w:tab w:val="left" w:pos="5640"/>
        </w:tabs>
      </w:pPr>
      <w:r>
        <w:rPr>
          <w:noProof/>
          <w:lang w:val="en-US"/>
        </w:rPr>
        <w:drawing>
          <wp:inline distT="0" distB="0" distL="0" distR="0" wp14:anchorId="6B7E2052" wp14:editId="60AAE904">
            <wp:extent cx="5844543" cy="1813556"/>
            <wp:effectExtent l="0" t="0" r="0" b="0"/>
            <wp:docPr id="715578645"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43C9F24" w14:textId="77777777" w:rsidR="009643DC" w:rsidRDefault="00000000">
      <w:pPr>
        <w:tabs>
          <w:tab w:val="left" w:pos="5640"/>
        </w:tabs>
        <w:rPr>
          <w:rFonts w:ascii="Verdana" w:hAnsi="Verdana"/>
          <w:lang w:val="en-US"/>
        </w:rPr>
      </w:pPr>
      <w:r>
        <w:rPr>
          <w:rFonts w:ascii="Verdana" w:hAnsi="Verdana"/>
          <w:lang w:val="en-US"/>
        </w:rPr>
        <w:t>Male:</w:t>
      </w:r>
    </w:p>
    <w:p w14:paraId="24B1E8BE" w14:textId="77777777" w:rsidR="009643DC" w:rsidRDefault="00000000">
      <w:pPr>
        <w:tabs>
          <w:tab w:val="left" w:pos="5640"/>
        </w:tabs>
      </w:pPr>
      <w:r>
        <w:rPr>
          <w:noProof/>
          <w:lang w:val="en-US"/>
        </w:rPr>
        <w:drawing>
          <wp:inline distT="0" distB="0" distL="0" distR="0" wp14:anchorId="17BA28C7" wp14:editId="5BBB2A77">
            <wp:extent cx="5867403" cy="1927856"/>
            <wp:effectExtent l="0" t="0" r="0" b="0"/>
            <wp:docPr id="1631065573"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83A917F" w14:textId="77777777" w:rsidR="009643DC" w:rsidRDefault="00000000">
      <w:pPr>
        <w:tabs>
          <w:tab w:val="left" w:pos="5640"/>
        </w:tabs>
        <w:rPr>
          <w:rFonts w:ascii="Verdana" w:hAnsi="Verdana"/>
          <w:lang w:val="en-US"/>
        </w:rPr>
      </w:pPr>
      <w:r>
        <w:rPr>
          <w:rFonts w:ascii="Verdana" w:hAnsi="Verdana"/>
          <w:lang w:val="en-US"/>
        </w:rPr>
        <w:lastRenderedPageBreak/>
        <w:t>As we saw in questions 4 and 5, the number of China applicants is constantly rising, and the number of females is even higher, as we saw in the previous questions.</w:t>
      </w:r>
    </w:p>
    <w:p w14:paraId="59EC921F" w14:textId="77777777" w:rsidR="009643DC" w:rsidRDefault="00000000">
      <w:pPr>
        <w:tabs>
          <w:tab w:val="left" w:pos="5640"/>
        </w:tabs>
        <w:rPr>
          <w:rFonts w:ascii="Verdana" w:hAnsi="Verdana"/>
          <w:lang w:val="en-US"/>
        </w:rPr>
      </w:pPr>
      <w:r>
        <w:rPr>
          <w:rFonts w:ascii="Verdana" w:hAnsi="Verdana"/>
          <w:lang w:val="en-US"/>
        </w:rPr>
        <w:t>As mentioned in the previous questions, China's economy is booming thanks to these industries, and we can also mention Chinese legends such as Jack Ma, an entrepreneur who went to the USA and then returned to China to found Alibaba, and who went on to become one of the richest men in the world.</w:t>
      </w:r>
    </w:p>
    <w:p w14:paraId="11E359A8" w14:textId="77777777" w:rsidR="00D90929" w:rsidRDefault="00D90929">
      <w:pPr>
        <w:tabs>
          <w:tab w:val="left" w:pos="5640"/>
        </w:tabs>
        <w:rPr>
          <w:rFonts w:ascii="Verdana" w:hAnsi="Verdana"/>
          <w:lang w:val="en-US"/>
        </w:rPr>
      </w:pPr>
      <w:r w:rsidRPr="00D90929">
        <w:rPr>
          <w:rFonts w:ascii="Verdana" w:hAnsi="Verdana"/>
          <w:lang w:val="en-US"/>
        </w:rPr>
        <w:t>These and other examples, such as prestigious universities, can be a powerful incentive to study in the UK.</w:t>
      </w:r>
    </w:p>
    <w:p w14:paraId="3C32C092" w14:textId="7678C325" w:rsidR="009643DC" w:rsidRPr="00197AA3" w:rsidRDefault="00000000">
      <w:pPr>
        <w:tabs>
          <w:tab w:val="left" w:pos="5640"/>
        </w:tabs>
        <w:rPr>
          <w:lang w:val="en-US"/>
        </w:rPr>
      </w:pPr>
      <w:r>
        <w:rPr>
          <w:rFonts w:ascii="Verdana" w:hAnsi="Verdana"/>
          <w:lang w:val="en-US"/>
        </w:rPr>
        <w:t>That said, we can see that there are big peaks between the ages of 18 and 21-24, then almost no peaks between the ages of 25-29 and 30-34.</w:t>
      </w:r>
    </w:p>
    <w:sectPr w:rsidR="009643DC" w:rsidRPr="00197AA3">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918D69" w14:textId="77777777" w:rsidR="00E567D1" w:rsidRDefault="00E567D1">
      <w:pPr>
        <w:spacing w:after="0" w:line="240" w:lineRule="auto"/>
      </w:pPr>
      <w:r>
        <w:separator/>
      </w:r>
    </w:p>
  </w:endnote>
  <w:endnote w:type="continuationSeparator" w:id="0">
    <w:p w14:paraId="0CF80898" w14:textId="77777777" w:rsidR="00E567D1" w:rsidRDefault="00E56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3F830F" w14:textId="77777777" w:rsidR="00E567D1" w:rsidRDefault="00E567D1">
      <w:pPr>
        <w:spacing w:after="0" w:line="240" w:lineRule="auto"/>
      </w:pPr>
      <w:r>
        <w:rPr>
          <w:color w:val="000000"/>
        </w:rPr>
        <w:separator/>
      </w:r>
    </w:p>
  </w:footnote>
  <w:footnote w:type="continuationSeparator" w:id="0">
    <w:p w14:paraId="403F3BE1" w14:textId="77777777" w:rsidR="00E567D1" w:rsidRDefault="00E567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3DC"/>
    <w:rsid w:val="0004481D"/>
    <w:rsid w:val="000709B0"/>
    <w:rsid w:val="00152F37"/>
    <w:rsid w:val="00197AA3"/>
    <w:rsid w:val="002E5A44"/>
    <w:rsid w:val="003125DE"/>
    <w:rsid w:val="00345994"/>
    <w:rsid w:val="005E6FC6"/>
    <w:rsid w:val="005F3C38"/>
    <w:rsid w:val="005F4B80"/>
    <w:rsid w:val="00621126"/>
    <w:rsid w:val="006B7784"/>
    <w:rsid w:val="00820D8B"/>
    <w:rsid w:val="009643DC"/>
    <w:rsid w:val="00A1342A"/>
    <w:rsid w:val="00A928BC"/>
    <w:rsid w:val="00AA690B"/>
    <w:rsid w:val="00AB5846"/>
    <w:rsid w:val="00B125E2"/>
    <w:rsid w:val="00B461D2"/>
    <w:rsid w:val="00B83116"/>
    <w:rsid w:val="00C42B85"/>
    <w:rsid w:val="00D82108"/>
    <w:rsid w:val="00D90929"/>
    <w:rsid w:val="00E0000F"/>
    <w:rsid w:val="00E155CA"/>
    <w:rsid w:val="00E567D1"/>
    <w:rsid w:val="00F867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29261"/>
  <w15:docId w15:val="{089245D6-E048-44B9-8EE9-29F79849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imes New Roman" w:hAnsi="Aptos" w:cs="Times New Roman"/>
        <w:kern w:val="3"/>
        <w:sz w:val="24"/>
        <w:szCs w:val="24"/>
        <w:lang w:val="fr-FR" w:eastAsia="fr-FR"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pPr>
      <w:ind w:left="720"/>
      <w:contextualSpacing/>
    </w:pPr>
  </w:style>
  <w:style w:type="paragraph" w:styleId="NormalWeb">
    <w:name w:val="Normal (Web)"/>
    <w:basedOn w:val="Normal"/>
    <w:pPr>
      <w:suppressAutoHyphens w:val="0"/>
      <w:spacing w:before="100" w:after="100" w:line="240" w:lineRule="auto"/>
    </w:pPr>
    <w:rPr>
      <w:rFonts w:ascii="Times New Roman" w:hAnsi="Times New Roman"/>
      <w:kern w:val="0"/>
    </w:rPr>
  </w:style>
  <w:style w:type="character" w:styleId="Lienhypertexte">
    <w:name w:val="Hyperlink"/>
    <w:basedOn w:val="Policepardfaut"/>
    <w:rPr>
      <w:color w:val="467886"/>
      <w:u w:val="single"/>
    </w:rPr>
  </w:style>
  <w:style w:type="character" w:styleId="Mentionnonrsolue">
    <w:name w:val="Unresolved Mention"/>
    <w:basedOn w:val="Policepardfaut"/>
    <w:rPr>
      <w:color w:val="605E5C"/>
      <w:shd w:val="clear" w:color="auto" w:fill="E1DFDD"/>
    </w:rPr>
  </w:style>
  <w:style w:type="paragraph" w:styleId="En-tte">
    <w:name w:val="header"/>
    <w:basedOn w:val="Normal"/>
    <w:link w:val="En-tteCar"/>
    <w:uiPriority w:val="99"/>
    <w:unhideWhenUsed/>
    <w:rsid w:val="002E5A44"/>
    <w:pPr>
      <w:tabs>
        <w:tab w:val="center" w:pos="4536"/>
        <w:tab w:val="right" w:pos="9072"/>
      </w:tabs>
      <w:spacing w:after="0" w:line="240" w:lineRule="auto"/>
    </w:pPr>
  </w:style>
  <w:style w:type="character" w:customStyle="1" w:styleId="En-tteCar">
    <w:name w:val="En-tête Car"/>
    <w:basedOn w:val="Policepardfaut"/>
    <w:link w:val="En-tte"/>
    <w:uiPriority w:val="99"/>
    <w:rsid w:val="002E5A44"/>
  </w:style>
  <w:style w:type="paragraph" w:styleId="Pieddepage">
    <w:name w:val="footer"/>
    <w:basedOn w:val="Normal"/>
    <w:link w:val="PieddepageCar"/>
    <w:uiPriority w:val="99"/>
    <w:unhideWhenUsed/>
    <w:rsid w:val="002E5A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5A44"/>
  </w:style>
  <w:style w:type="character" w:styleId="lev">
    <w:name w:val="Strong"/>
    <w:basedOn w:val="Policepardfaut"/>
    <w:uiPriority w:val="22"/>
    <w:qFormat/>
    <w:rsid w:val="005F3C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ucas.com/undergraduate-statistics-and-reports/ucas-undergraduate-releases/ucas-undergraduate-applicant-releases-2023-cycle/2023-cycle-applicant-figures-30-june-deadline" TargetMode="External"/><Relationship Id="rId13" Type="http://schemas.openxmlformats.org/officeDocument/2006/relationships/image" Target="media/image4.png"/><Relationship Id="rId18" Type="http://schemas.openxmlformats.org/officeDocument/2006/relationships/chart" Target="charts/chart8.xml"/><Relationship Id="rId3" Type="http://schemas.openxmlformats.org/officeDocument/2006/relationships/webSettings" Target="webSettings.xml"/><Relationship Id="rId21" Type="http://schemas.openxmlformats.org/officeDocument/2006/relationships/chart" Target="charts/chart11.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chart" Target="charts/chart7.xml"/><Relationship Id="rId2" Type="http://schemas.openxmlformats.org/officeDocument/2006/relationships/settings" Target="settings.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chart" Target="charts/chart5.xml"/><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chart" Target="charts/chart9.xml"/><Relationship Id="rId4" Type="http://schemas.openxmlformats.org/officeDocument/2006/relationships/footnotes" Target="footnotes.xml"/><Relationship Id="rId9" Type="http://schemas.openxmlformats.org/officeDocument/2006/relationships/chart" Target="charts/chart1.xml"/><Relationship Id="rId14" Type="http://schemas.openxmlformats.org/officeDocument/2006/relationships/chart" Target="charts/chart4.xml"/><Relationship Id="rId22" Type="http://schemas.openxmlformats.org/officeDocument/2006/relationships/chart" Target="charts/chart12.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mue\OneDrive\Bureau\bdd%20anglais\rep\exQ1%20papounet.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fr-FR" sz="1400" b="0" i="0" u="none" strike="noStrike" kern="1200" spc="0" baseline="0">
                <a:solidFill>
                  <a:srgbClr val="595959"/>
                </a:solidFill>
                <a:latin typeface="Aptos"/>
              </a:defRPr>
            </a:pPr>
            <a:r>
              <a:rPr lang="fr-FR" sz="1400" b="0" i="0" u="none" strike="noStrike" kern="1200" cap="none" spc="0" baseline="0">
                <a:solidFill>
                  <a:srgbClr val="595959"/>
                </a:solidFill>
                <a:uFillTx/>
                <a:latin typeface="Aptos"/>
              </a:rPr>
              <a:t>Evolution of All Applicants</a:t>
            </a:r>
          </a:p>
        </c:rich>
      </c:tx>
      <c:overlay val="0"/>
      <c:spPr>
        <a:noFill/>
        <a:ln>
          <a:noFill/>
        </a:ln>
      </c:spPr>
    </c:title>
    <c:autoTitleDeleted val="0"/>
    <c:plotArea>
      <c:layout/>
      <c:barChart>
        <c:barDir val="col"/>
        <c:grouping val="clustered"/>
        <c:varyColors val="0"/>
        <c:ser>
          <c:idx val="0"/>
          <c:order val="0"/>
          <c:tx>
            <c:v>Applicants</c:v>
          </c:tx>
          <c:spPr>
            <a:solidFill>
              <a:srgbClr val="0F9ED5"/>
            </a:solidFill>
            <a:ln>
              <a:noFill/>
            </a:ln>
          </c:spPr>
          <c:invertIfNegative val="0"/>
          <c:cat>
            <c:numLit>
              <c:formatCode>General</c:formatCode>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numLit>
          </c:cat>
          <c:val>
            <c:numLit>
              <c:formatCode>General</c:formatCode>
              <c:ptCount val="18"/>
              <c:pt idx="0">
                <c:v>226680</c:v>
              </c:pt>
              <c:pt idx="1">
                <c:v>227820</c:v>
              </c:pt>
              <c:pt idx="2">
                <c:v>240000</c:v>
              </c:pt>
              <c:pt idx="3">
                <c:v>253530</c:v>
              </c:pt>
              <c:pt idx="4">
                <c:v>268440</c:v>
              </c:pt>
              <c:pt idx="5">
                <c:v>267390</c:v>
              </c:pt>
              <c:pt idx="6">
                <c:v>257420</c:v>
              </c:pt>
              <c:pt idx="7">
                <c:v>259390</c:v>
              </c:pt>
              <c:pt idx="8">
                <c:v>265960</c:v>
              </c:pt>
              <c:pt idx="9">
                <c:v>275850</c:v>
              </c:pt>
              <c:pt idx="10">
                <c:v>277480</c:v>
              </c:pt>
              <c:pt idx="11">
                <c:v>278130</c:v>
              </c:pt>
              <c:pt idx="12">
                <c:v>272920</c:v>
              </c:pt>
              <c:pt idx="13">
                <c:v>275520</c:v>
              </c:pt>
              <c:pt idx="14">
                <c:v>281980</c:v>
              </c:pt>
              <c:pt idx="15">
                <c:v>311010</c:v>
              </c:pt>
              <c:pt idx="16">
                <c:v>326190</c:v>
              </c:pt>
              <c:pt idx="17">
                <c:v>319570</c:v>
              </c:pt>
            </c:numLit>
          </c:val>
          <c:extLst>
            <c:ext xmlns:c16="http://schemas.microsoft.com/office/drawing/2014/chart" uri="{C3380CC4-5D6E-409C-BE32-E72D297353CC}">
              <c16:uniqueId val="{00000000-A006-42E0-961F-6C7C4E9DAD5C}"/>
            </c:ext>
          </c:extLst>
        </c:ser>
        <c:dLbls>
          <c:showLegendKey val="0"/>
          <c:showVal val="0"/>
          <c:showCatName val="0"/>
          <c:showSerName val="0"/>
          <c:showPercent val="0"/>
          <c:showBubbleSize val="0"/>
        </c:dLbls>
        <c:gapWidth val="219"/>
        <c:overlap val="-27"/>
        <c:axId val="543837392"/>
        <c:axId val="543826832"/>
      </c:barChart>
      <c:valAx>
        <c:axId val="543826832"/>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543837392"/>
        <c:crosses val="autoZero"/>
        <c:crossBetween val="between"/>
      </c:valAx>
      <c:catAx>
        <c:axId val="543837392"/>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543826832"/>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Aptos"/>
        </a:defRPr>
      </a:pPr>
      <a:endParaRPr lang="fr-F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Aptos"/>
              </a:defRPr>
            </a:pPr>
            <a:r>
              <a:rPr lang="fr-FR" sz="1400" b="0" i="0" u="none" strike="noStrike" kern="1200" cap="none" spc="0" baseline="0">
                <a:solidFill>
                  <a:srgbClr val="595959"/>
                </a:solidFill>
                <a:uFillTx/>
                <a:latin typeface="Aptos"/>
              </a:rPr>
              <a:t>Ages Groups Evolution for China Applicants </a:t>
            </a:r>
          </a:p>
        </c:rich>
      </c:tx>
      <c:overlay val="0"/>
      <c:spPr>
        <a:noFill/>
        <a:ln>
          <a:noFill/>
        </a:ln>
      </c:spPr>
    </c:title>
    <c:autoTitleDeleted val="0"/>
    <c:plotArea>
      <c:layout>
        <c:manualLayout>
          <c:xMode val="edge"/>
          <c:yMode val="edge"/>
          <c:x val="1.0303573164465554E-2"/>
          <c:y val="0.12990432927607501"/>
          <c:w val="0.98969607965670947"/>
          <c:h val="0.87009514978341895"/>
        </c:manualLayout>
      </c:layout>
      <c:barChart>
        <c:barDir val="bar"/>
        <c:grouping val="stacked"/>
        <c:varyColors val="0"/>
        <c:ser>
          <c:idx val="0"/>
          <c:order val="0"/>
          <c:tx>
            <c:v>17 and under</c:v>
          </c:tx>
          <c:spPr>
            <a:solidFill>
              <a:srgbClr val="156082"/>
            </a:solidFill>
            <a:ln>
              <a:noFill/>
            </a:ln>
          </c:spPr>
          <c:invertIfNegative val="0"/>
          <c:cat>
            <c:strLit>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strLit>
          </c:cat>
          <c:val>
            <c:numLit>
              <c:formatCode>General</c:formatCode>
              <c:ptCount val="18"/>
              <c:pt idx="0">
                <c:v>110</c:v>
              </c:pt>
              <c:pt idx="1">
                <c:v>130</c:v>
              </c:pt>
              <c:pt idx="2">
                <c:v>150</c:v>
              </c:pt>
              <c:pt idx="3">
                <c:v>160</c:v>
              </c:pt>
              <c:pt idx="4">
                <c:v>200</c:v>
              </c:pt>
              <c:pt idx="5">
                <c:v>290</c:v>
              </c:pt>
              <c:pt idx="6">
                <c:v>400</c:v>
              </c:pt>
              <c:pt idx="7">
                <c:v>460</c:v>
              </c:pt>
              <c:pt idx="8">
                <c:v>570</c:v>
              </c:pt>
              <c:pt idx="9">
                <c:v>630</c:v>
              </c:pt>
              <c:pt idx="10">
                <c:v>790</c:v>
              </c:pt>
              <c:pt idx="11">
                <c:v>860</c:v>
              </c:pt>
              <c:pt idx="12">
                <c:v>1070</c:v>
              </c:pt>
              <c:pt idx="13">
                <c:v>1160</c:v>
              </c:pt>
              <c:pt idx="14">
                <c:v>1580</c:v>
              </c:pt>
              <c:pt idx="15">
                <c:v>1650</c:v>
              </c:pt>
              <c:pt idx="16">
                <c:v>2390</c:v>
              </c:pt>
              <c:pt idx="17">
                <c:v>1630</c:v>
              </c:pt>
            </c:numLit>
          </c:val>
          <c:extLst>
            <c:ext xmlns:c16="http://schemas.microsoft.com/office/drawing/2014/chart" uri="{C3380CC4-5D6E-409C-BE32-E72D297353CC}">
              <c16:uniqueId val="{00000000-07D7-4EF0-95F0-9E4386A3D030}"/>
            </c:ext>
          </c:extLst>
        </c:ser>
        <c:ser>
          <c:idx val="1"/>
          <c:order val="1"/>
          <c:tx>
            <c:v>18</c:v>
          </c:tx>
          <c:spPr>
            <a:solidFill>
              <a:srgbClr val="E97132"/>
            </a:solidFill>
            <a:ln>
              <a:noFill/>
            </a:ln>
          </c:spPr>
          <c:invertIfNegative val="0"/>
          <c:cat>
            <c:strLit>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strLit>
          </c:cat>
          <c:val>
            <c:numLit>
              <c:formatCode>General</c:formatCode>
              <c:ptCount val="18"/>
              <c:pt idx="0">
                <c:v>840</c:v>
              </c:pt>
              <c:pt idx="1">
                <c:v>1120</c:v>
              </c:pt>
              <c:pt idx="2">
                <c:v>1320</c:v>
              </c:pt>
              <c:pt idx="3">
                <c:v>1320</c:v>
              </c:pt>
              <c:pt idx="4">
                <c:v>1530</c:v>
              </c:pt>
              <c:pt idx="5">
                <c:v>1840</c:v>
              </c:pt>
              <c:pt idx="6">
                <c:v>2090</c:v>
              </c:pt>
              <c:pt idx="7">
                <c:v>2650</c:v>
              </c:pt>
              <c:pt idx="8">
                <c:v>2760</c:v>
              </c:pt>
              <c:pt idx="9">
                <c:v>3320</c:v>
              </c:pt>
              <c:pt idx="10">
                <c:v>3930</c:v>
              </c:pt>
              <c:pt idx="11">
                <c:v>4350</c:v>
              </c:pt>
              <c:pt idx="12">
                <c:v>5760</c:v>
              </c:pt>
              <c:pt idx="13">
                <c:v>8090</c:v>
              </c:pt>
              <c:pt idx="14">
                <c:v>9920</c:v>
              </c:pt>
              <c:pt idx="15">
                <c:v>12870</c:v>
              </c:pt>
              <c:pt idx="16">
                <c:v>14910</c:v>
              </c:pt>
              <c:pt idx="17">
                <c:v>15000</c:v>
              </c:pt>
            </c:numLit>
          </c:val>
          <c:extLst>
            <c:ext xmlns:c16="http://schemas.microsoft.com/office/drawing/2014/chart" uri="{C3380CC4-5D6E-409C-BE32-E72D297353CC}">
              <c16:uniqueId val="{00000001-07D7-4EF0-95F0-9E4386A3D030}"/>
            </c:ext>
          </c:extLst>
        </c:ser>
        <c:ser>
          <c:idx val="2"/>
          <c:order val="2"/>
          <c:tx>
            <c:v>19</c:v>
          </c:tx>
          <c:spPr>
            <a:solidFill>
              <a:srgbClr val="196B24"/>
            </a:solidFill>
            <a:ln>
              <a:noFill/>
            </a:ln>
          </c:spPr>
          <c:invertIfNegative val="0"/>
          <c:cat>
            <c:strLit>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strLit>
          </c:cat>
          <c:val>
            <c:numLit>
              <c:formatCode>General</c:formatCode>
              <c:ptCount val="18"/>
              <c:pt idx="0">
                <c:v>1720</c:v>
              </c:pt>
              <c:pt idx="1">
                <c:v>2000</c:v>
              </c:pt>
              <c:pt idx="2">
                <c:v>2460</c:v>
              </c:pt>
              <c:pt idx="3">
                <c:v>2420</c:v>
              </c:pt>
              <c:pt idx="4">
                <c:v>2430</c:v>
              </c:pt>
              <c:pt idx="5">
                <c:v>2690</c:v>
              </c:pt>
              <c:pt idx="6">
                <c:v>2960</c:v>
              </c:pt>
              <c:pt idx="7">
                <c:v>3080</c:v>
              </c:pt>
              <c:pt idx="8">
                <c:v>3310</c:v>
              </c:pt>
              <c:pt idx="9">
                <c:v>3560</c:v>
              </c:pt>
              <c:pt idx="10">
                <c:v>3750</c:v>
              </c:pt>
              <c:pt idx="11">
                <c:v>4200</c:v>
              </c:pt>
              <c:pt idx="12">
                <c:v>4330</c:v>
              </c:pt>
              <c:pt idx="13">
                <c:v>6010</c:v>
              </c:pt>
              <c:pt idx="14">
                <c:v>7350</c:v>
              </c:pt>
              <c:pt idx="15">
                <c:v>8000</c:v>
              </c:pt>
              <c:pt idx="16">
                <c:v>7530</c:v>
              </c:pt>
              <c:pt idx="17">
                <c:v>7970</c:v>
              </c:pt>
            </c:numLit>
          </c:val>
          <c:extLst>
            <c:ext xmlns:c16="http://schemas.microsoft.com/office/drawing/2014/chart" uri="{C3380CC4-5D6E-409C-BE32-E72D297353CC}">
              <c16:uniqueId val="{00000002-07D7-4EF0-95F0-9E4386A3D030}"/>
            </c:ext>
          </c:extLst>
        </c:ser>
        <c:ser>
          <c:idx val="3"/>
          <c:order val="3"/>
          <c:tx>
            <c:v>20</c:v>
          </c:tx>
          <c:spPr>
            <a:solidFill>
              <a:srgbClr val="0F9ED5"/>
            </a:solidFill>
            <a:ln>
              <a:noFill/>
            </a:ln>
          </c:spPr>
          <c:invertIfNegative val="0"/>
          <c:cat>
            <c:strLit>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strLit>
          </c:cat>
          <c:val>
            <c:numLit>
              <c:formatCode>General</c:formatCode>
              <c:ptCount val="18"/>
              <c:pt idx="0">
                <c:v>1290</c:v>
              </c:pt>
              <c:pt idx="1">
                <c:v>1450</c:v>
              </c:pt>
              <c:pt idx="2">
                <c:v>1830</c:v>
              </c:pt>
              <c:pt idx="3">
                <c:v>2120</c:v>
              </c:pt>
              <c:pt idx="4">
                <c:v>2300</c:v>
              </c:pt>
              <c:pt idx="5">
                <c:v>2230</c:v>
              </c:pt>
              <c:pt idx="6">
                <c:v>2390</c:v>
              </c:pt>
              <c:pt idx="7">
                <c:v>2410</c:v>
              </c:pt>
              <c:pt idx="8">
                <c:v>2230</c:v>
              </c:pt>
              <c:pt idx="9">
                <c:v>2240</c:v>
              </c:pt>
              <c:pt idx="10">
                <c:v>2280</c:v>
              </c:pt>
              <c:pt idx="11">
                <c:v>2330</c:v>
              </c:pt>
              <c:pt idx="12">
                <c:v>2340</c:v>
              </c:pt>
              <c:pt idx="13">
                <c:v>2630</c:v>
              </c:pt>
              <c:pt idx="14">
                <c:v>3430</c:v>
              </c:pt>
              <c:pt idx="15">
                <c:v>3740</c:v>
              </c:pt>
              <c:pt idx="16">
                <c:v>3880</c:v>
              </c:pt>
              <c:pt idx="17">
                <c:v>3360</c:v>
              </c:pt>
            </c:numLit>
          </c:val>
          <c:extLst>
            <c:ext xmlns:c16="http://schemas.microsoft.com/office/drawing/2014/chart" uri="{C3380CC4-5D6E-409C-BE32-E72D297353CC}">
              <c16:uniqueId val="{00000003-07D7-4EF0-95F0-9E4386A3D030}"/>
            </c:ext>
          </c:extLst>
        </c:ser>
        <c:ser>
          <c:idx val="4"/>
          <c:order val="4"/>
          <c:tx>
            <c:v>21 - 24</c:v>
          </c:tx>
          <c:spPr>
            <a:solidFill>
              <a:srgbClr val="A02B93"/>
            </a:solidFill>
            <a:ln>
              <a:noFill/>
            </a:ln>
          </c:spPr>
          <c:invertIfNegative val="0"/>
          <c:cat>
            <c:strLit>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strLit>
          </c:cat>
          <c:val>
            <c:numLit>
              <c:formatCode>General</c:formatCode>
              <c:ptCount val="18"/>
              <c:pt idx="0">
                <c:v>1300</c:v>
              </c:pt>
              <c:pt idx="1">
                <c:v>1170</c:v>
              </c:pt>
              <c:pt idx="2">
                <c:v>1350</c:v>
              </c:pt>
              <c:pt idx="3">
                <c:v>1590</c:v>
              </c:pt>
              <c:pt idx="4">
                <c:v>1960</c:v>
              </c:pt>
              <c:pt idx="5">
                <c:v>2530</c:v>
              </c:pt>
              <c:pt idx="6">
                <c:v>2570</c:v>
              </c:pt>
              <c:pt idx="7">
                <c:v>1990</c:v>
              </c:pt>
              <c:pt idx="8">
                <c:v>1770</c:v>
              </c:pt>
              <c:pt idx="9">
                <c:v>1660</c:v>
              </c:pt>
              <c:pt idx="10">
                <c:v>1600</c:v>
              </c:pt>
              <c:pt idx="11">
                <c:v>1530</c:v>
              </c:pt>
              <c:pt idx="12">
                <c:v>1600</c:v>
              </c:pt>
              <c:pt idx="13">
                <c:v>1690</c:v>
              </c:pt>
              <c:pt idx="14">
                <c:v>1940</c:v>
              </c:pt>
              <c:pt idx="15">
                <c:v>2050</c:v>
              </c:pt>
              <c:pt idx="16">
                <c:v>2480</c:v>
              </c:pt>
              <c:pt idx="17">
                <c:v>2480</c:v>
              </c:pt>
            </c:numLit>
          </c:val>
          <c:extLst>
            <c:ext xmlns:c16="http://schemas.microsoft.com/office/drawing/2014/chart" uri="{C3380CC4-5D6E-409C-BE32-E72D297353CC}">
              <c16:uniqueId val="{00000004-07D7-4EF0-95F0-9E4386A3D030}"/>
            </c:ext>
          </c:extLst>
        </c:ser>
        <c:ser>
          <c:idx val="5"/>
          <c:order val="5"/>
          <c:tx>
            <c:v>25 - 29</c:v>
          </c:tx>
          <c:spPr>
            <a:solidFill>
              <a:srgbClr val="4EA72E"/>
            </a:solidFill>
            <a:ln>
              <a:noFill/>
            </a:ln>
          </c:spPr>
          <c:invertIfNegative val="0"/>
          <c:cat>
            <c:strLit>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strLit>
          </c:cat>
          <c:val>
            <c:numLit>
              <c:formatCode>General</c:formatCode>
              <c:ptCount val="18"/>
              <c:pt idx="0">
                <c:v>70</c:v>
              </c:pt>
              <c:pt idx="1">
                <c:v>60</c:v>
              </c:pt>
              <c:pt idx="2">
                <c:v>80</c:v>
              </c:pt>
              <c:pt idx="3">
                <c:v>60</c:v>
              </c:pt>
              <c:pt idx="4">
                <c:v>70</c:v>
              </c:pt>
              <c:pt idx="5">
                <c:v>70</c:v>
              </c:pt>
              <c:pt idx="6">
                <c:v>90</c:v>
              </c:pt>
              <c:pt idx="7">
                <c:v>100</c:v>
              </c:pt>
              <c:pt idx="8">
                <c:v>80</c:v>
              </c:pt>
              <c:pt idx="9">
                <c:v>110</c:v>
              </c:pt>
              <c:pt idx="10">
                <c:v>90</c:v>
              </c:pt>
              <c:pt idx="11">
                <c:v>110</c:v>
              </c:pt>
              <c:pt idx="12">
                <c:v>130</c:v>
              </c:pt>
              <c:pt idx="13">
                <c:v>150</c:v>
              </c:pt>
              <c:pt idx="14">
                <c:v>150</c:v>
              </c:pt>
              <c:pt idx="15">
                <c:v>140</c:v>
              </c:pt>
              <c:pt idx="16">
                <c:v>170</c:v>
              </c:pt>
              <c:pt idx="17">
                <c:v>200</c:v>
              </c:pt>
            </c:numLit>
          </c:val>
          <c:extLst>
            <c:ext xmlns:c16="http://schemas.microsoft.com/office/drawing/2014/chart" uri="{C3380CC4-5D6E-409C-BE32-E72D297353CC}">
              <c16:uniqueId val="{00000005-07D7-4EF0-95F0-9E4386A3D030}"/>
            </c:ext>
          </c:extLst>
        </c:ser>
        <c:ser>
          <c:idx val="6"/>
          <c:order val="6"/>
          <c:tx>
            <c:v>30 - 34</c:v>
          </c:tx>
          <c:spPr>
            <a:solidFill>
              <a:srgbClr val="0D3A4E"/>
            </a:solidFill>
            <a:ln>
              <a:noFill/>
            </a:ln>
          </c:spPr>
          <c:invertIfNegative val="0"/>
          <c:cat>
            <c:strLit>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strLit>
          </c:cat>
          <c:val>
            <c:numLit>
              <c:formatCode>General</c:formatCode>
              <c:ptCount val="18"/>
              <c:pt idx="0">
                <c:v>10</c:v>
              </c:pt>
              <c:pt idx="1">
                <c:v>0</c:v>
              </c:pt>
              <c:pt idx="2">
                <c:v>0</c:v>
              </c:pt>
              <c:pt idx="3">
                <c:v>10</c:v>
              </c:pt>
              <c:pt idx="4">
                <c:v>10</c:v>
              </c:pt>
              <c:pt idx="5">
                <c:v>10</c:v>
              </c:pt>
              <c:pt idx="6">
                <c:v>10</c:v>
              </c:pt>
              <c:pt idx="7">
                <c:v>10</c:v>
              </c:pt>
              <c:pt idx="8">
                <c:v>10</c:v>
              </c:pt>
              <c:pt idx="9">
                <c:v>10</c:v>
              </c:pt>
              <c:pt idx="10">
                <c:v>10</c:v>
              </c:pt>
              <c:pt idx="11">
                <c:v>20</c:v>
              </c:pt>
              <c:pt idx="12">
                <c:v>20</c:v>
              </c:pt>
              <c:pt idx="13">
                <c:v>30</c:v>
              </c:pt>
              <c:pt idx="14">
                <c:v>40</c:v>
              </c:pt>
              <c:pt idx="15">
                <c:v>30</c:v>
              </c:pt>
              <c:pt idx="16">
                <c:v>30</c:v>
              </c:pt>
              <c:pt idx="17">
                <c:v>40</c:v>
              </c:pt>
            </c:numLit>
          </c:val>
          <c:extLst>
            <c:ext xmlns:c16="http://schemas.microsoft.com/office/drawing/2014/chart" uri="{C3380CC4-5D6E-409C-BE32-E72D297353CC}">
              <c16:uniqueId val="{00000006-07D7-4EF0-95F0-9E4386A3D030}"/>
            </c:ext>
          </c:extLst>
        </c:ser>
        <c:ser>
          <c:idx val="7"/>
          <c:order val="7"/>
          <c:tx>
            <c:v>35 and over</c:v>
          </c:tx>
          <c:spPr>
            <a:solidFill>
              <a:srgbClr val="994010"/>
            </a:solidFill>
            <a:ln>
              <a:noFill/>
            </a:ln>
          </c:spPr>
          <c:invertIfNegative val="0"/>
          <c:cat>
            <c:strLit>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strLit>
          </c:cat>
          <c:val>
            <c:numLit>
              <c:formatCode>General</c:formatCode>
              <c:ptCount val="18"/>
              <c:pt idx="0">
                <c:v>0</c:v>
              </c:pt>
              <c:pt idx="1">
                <c:v>10</c:v>
              </c:pt>
              <c:pt idx="2">
                <c:v>0</c:v>
              </c:pt>
              <c:pt idx="3">
                <c:v>0</c:v>
              </c:pt>
              <c:pt idx="4">
                <c:v>0</c:v>
              </c:pt>
              <c:pt idx="5">
                <c:v>0</c:v>
              </c:pt>
              <c:pt idx="6">
                <c:v>10</c:v>
              </c:pt>
              <c:pt idx="7">
                <c:v>0</c:v>
              </c:pt>
              <c:pt idx="8">
                <c:v>10</c:v>
              </c:pt>
              <c:pt idx="9">
                <c:v>0</c:v>
              </c:pt>
              <c:pt idx="10">
                <c:v>10</c:v>
              </c:pt>
              <c:pt idx="11">
                <c:v>10</c:v>
              </c:pt>
              <c:pt idx="12">
                <c:v>10</c:v>
              </c:pt>
              <c:pt idx="13">
                <c:v>10</c:v>
              </c:pt>
              <c:pt idx="14">
                <c:v>10</c:v>
              </c:pt>
              <c:pt idx="15">
                <c:v>20</c:v>
              </c:pt>
              <c:pt idx="16">
                <c:v>20</c:v>
              </c:pt>
              <c:pt idx="17">
                <c:v>20</c:v>
              </c:pt>
            </c:numLit>
          </c:val>
          <c:extLst>
            <c:ext xmlns:c16="http://schemas.microsoft.com/office/drawing/2014/chart" uri="{C3380CC4-5D6E-409C-BE32-E72D297353CC}">
              <c16:uniqueId val="{00000007-07D7-4EF0-95F0-9E4386A3D030}"/>
            </c:ext>
          </c:extLst>
        </c:ser>
        <c:dLbls>
          <c:showLegendKey val="0"/>
          <c:showVal val="0"/>
          <c:showCatName val="0"/>
          <c:showSerName val="0"/>
          <c:showPercent val="0"/>
          <c:showBubbleSize val="0"/>
        </c:dLbls>
        <c:gapWidth val="219"/>
        <c:overlap val="100"/>
        <c:axId val="1157138416"/>
        <c:axId val="1157128336"/>
      </c:barChart>
      <c:valAx>
        <c:axId val="1157128336"/>
        <c:scaling>
          <c:orientation val="minMax"/>
        </c:scaling>
        <c:delete val="0"/>
        <c:axPos val="b"/>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Aptos"/>
              </a:defRPr>
            </a:pPr>
            <a:endParaRPr lang="fr-FR"/>
          </a:p>
        </c:txPr>
        <c:crossAx val="1157138416"/>
        <c:crosses val="autoZero"/>
        <c:crossBetween val="between"/>
      </c:valAx>
      <c:catAx>
        <c:axId val="1157138416"/>
        <c:scaling>
          <c:orientation val="minMax"/>
        </c:scaling>
        <c:delete val="0"/>
        <c:axPos val="l"/>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Aptos"/>
              </a:defRPr>
            </a:pPr>
            <a:endParaRPr lang="fr-FR"/>
          </a:p>
        </c:txPr>
        <c:crossAx val="1157128336"/>
        <c:crosses val="autoZero"/>
        <c:auto val="1"/>
        <c:lblAlgn val="ctr"/>
        <c:lblOffset val="100"/>
        <c:noMultiLvlLbl val="0"/>
      </c:catAx>
      <c:spPr>
        <a:noFill/>
        <a:ln>
          <a:noFill/>
        </a:ln>
      </c:spPr>
    </c:plotArea>
    <c:legend>
      <c:legendPos val="r"/>
      <c:layout>
        <c:manualLayout>
          <c:xMode val="edge"/>
          <c:yMode val="edge"/>
          <c:x val="0.81345074921190408"/>
          <c:y val="0.22659215985098641"/>
          <c:w val="0.12363124748295351"/>
          <c:h val="0.71613714770369863"/>
        </c:manualLayout>
      </c:layout>
      <c:overlay val="0"/>
      <c:spPr>
        <a:noFill/>
        <a:ln>
          <a:noFill/>
        </a:ln>
      </c:spPr>
      <c:txPr>
        <a:bodyPr lIns="0" tIns="0" rIns="0" bIns="0"/>
        <a:lstStyle/>
        <a:p>
          <a:pPr marL="0" marR="0" indent="0" defTabSz="914400" fontAlgn="auto" hangingPunct="1">
            <a:lnSpc>
              <a:spcPct val="100000"/>
            </a:lnSpc>
            <a:spcBef>
              <a:spcPts val="0"/>
            </a:spcBef>
            <a:spcAft>
              <a:spcPts val="0"/>
            </a:spcAft>
            <a:tabLst/>
            <a:defRPr sz="1100" b="0" i="0" u="none" strike="noStrike" kern="1200" baseline="0">
              <a:solidFill>
                <a:srgbClr val="595959"/>
              </a:solidFill>
              <a:latin typeface="Aptos"/>
            </a:defRPr>
          </a:pPr>
          <a:endParaRPr lang="fr-FR"/>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Aptos"/>
        </a:defRPr>
      </a:pPr>
      <a:endParaRPr lang="fr-F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c:style val="2"/>
  <c:chart>
    <c:title>
      <c:tx>
        <c:rich>
          <a:bodyPr vert="horz" lIns="0" tIns="0" rIns="0" bIns="0"/>
          <a:lstStyle/>
          <a:p>
            <a:pPr marL="0" marR="0" indent="0" algn="ctr" defTabSz="914400" rtl="0" fontAlgn="auto" hangingPunct="1">
              <a:lnSpc>
                <a:spcPct val="100000"/>
              </a:lnSpc>
              <a:spcBef>
                <a:spcPts val="0"/>
              </a:spcBef>
              <a:spcAft>
                <a:spcPts val="0"/>
              </a:spcAft>
              <a:tabLst/>
              <a:defRPr lang="fr-FR" sz="1400" b="0" i="0" u="none" strike="noStrike" kern="1200" spc="0" baseline="0">
                <a:solidFill>
                  <a:srgbClr val="595959"/>
                </a:solidFill>
                <a:latin typeface="Aptos"/>
              </a:defRPr>
            </a:pPr>
            <a:r>
              <a:rPr lang="fr-FR" sz="1400" b="0" i="0" u="none" strike="noStrike" kern="1200" cap="none" spc="0" baseline="0">
                <a:solidFill>
                  <a:srgbClr val="595959"/>
                </a:solidFill>
                <a:uFillTx/>
                <a:latin typeface="Aptos"/>
              </a:rPr>
              <a:t>Female China Applicants Evolution</a:t>
            </a:r>
          </a:p>
        </c:rich>
      </c:tx>
      <c:overlay val="0"/>
      <c:spPr>
        <a:noFill/>
        <a:ln>
          <a:noFill/>
        </a:ln>
      </c:spPr>
    </c:title>
    <c:autoTitleDeleted val="0"/>
    <c:plotArea>
      <c:layout/>
      <c:barChart>
        <c:barDir val="col"/>
        <c:grouping val="clustered"/>
        <c:varyColors val="0"/>
        <c:ser>
          <c:idx val="0"/>
          <c:order val="0"/>
          <c:tx>
            <c:v>Applicants</c:v>
          </c:tx>
          <c:spPr>
            <a:solidFill>
              <a:srgbClr val="156082"/>
            </a:solidFill>
            <a:ln>
              <a:noFill/>
            </a:ln>
          </c:spPr>
          <c:invertIfNegative val="0"/>
          <c:cat>
            <c:numLit>
              <c:formatCode>General</c:formatCode>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numLit>
          </c:cat>
          <c:val>
            <c:numLit>
              <c:formatCode>General</c:formatCode>
              <c:ptCount val="18"/>
              <c:pt idx="0">
                <c:v>2710</c:v>
              </c:pt>
              <c:pt idx="1">
                <c:v>3010</c:v>
              </c:pt>
              <c:pt idx="2">
                <c:v>3690</c:v>
              </c:pt>
              <c:pt idx="3">
                <c:v>4030</c:v>
              </c:pt>
              <c:pt idx="4">
                <c:v>4530</c:v>
              </c:pt>
              <c:pt idx="5">
                <c:v>5310</c:v>
              </c:pt>
              <c:pt idx="6">
                <c:v>5750</c:v>
              </c:pt>
              <c:pt idx="7">
                <c:v>6010</c:v>
              </c:pt>
              <c:pt idx="8">
                <c:v>6010</c:v>
              </c:pt>
              <c:pt idx="9">
                <c:v>6720</c:v>
              </c:pt>
              <c:pt idx="10">
                <c:v>7240</c:v>
              </c:pt>
              <c:pt idx="11">
                <c:v>7720</c:v>
              </c:pt>
              <c:pt idx="12">
                <c:v>8800</c:v>
              </c:pt>
              <c:pt idx="13">
                <c:v>11050</c:v>
              </c:pt>
              <c:pt idx="14">
                <c:v>13420</c:v>
              </c:pt>
              <c:pt idx="15">
                <c:v>14880</c:v>
              </c:pt>
              <c:pt idx="16">
                <c:v>16410</c:v>
              </c:pt>
              <c:pt idx="17">
                <c:v>15890</c:v>
              </c:pt>
            </c:numLit>
          </c:val>
          <c:extLst>
            <c:ext xmlns:c16="http://schemas.microsoft.com/office/drawing/2014/chart" uri="{C3380CC4-5D6E-409C-BE32-E72D297353CC}">
              <c16:uniqueId val="{00000000-8F43-4D64-89B8-FD169110EFA8}"/>
            </c:ext>
          </c:extLst>
        </c:ser>
        <c:dLbls>
          <c:showLegendKey val="0"/>
          <c:showVal val="0"/>
          <c:showCatName val="0"/>
          <c:showSerName val="0"/>
          <c:showPercent val="0"/>
          <c:showBubbleSize val="0"/>
        </c:dLbls>
        <c:gapWidth val="219"/>
        <c:overlap val="-27"/>
        <c:axId val="1157132176"/>
        <c:axId val="1157131216"/>
      </c:barChart>
      <c:valAx>
        <c:axId val="1157131216"/>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1157132176"/>
        <c:crosses val="autoZero"/>
        <c:crossBetween val="between"/>
      </c:valAx>
      <c:catAx>
        <c:axId val="1157132176"/>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1157131216"/>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Aptos"/>
        </a:defRPr>
      </a:pPr>
      <a:endParaRPr lang="fr-FR"/>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c:style val="2"/>
  <c:chart>
    <c:title>
      <c:tx>
        <c:rich>
          <a:bodyPr vert="horz" lIns="0" tIns="0" rIns="0" bIns="0"/>
          <a:lstStyle/>
          <a:p>
            <a:pPr marL="0" marR="0" indent="0" algn="ctr" defTabSz="914400" rtl="0" fontAlgn="auto" hangingPunct="1">
              <a:lnSpc>
                <a:spcPct val="100000"/>
              </a:lnSpc>
              <a:spcBef>
                <a:spcPts val="0"/>
              </a:spcBef>
              <a:spcAft>
                <a:spcPts val="0"/>
              </a:spcAft>
              <a:tabLst/>
              <a:defRPr lang="fr-FR" sz="1400" b="0" i="0" u="none" strike="noStrike" kern="1200" spc="0" baseline="0">
                <a:solidFill>
                  <a:srgbClr val="595959"/>
                </a:solidFill>
                <a:latin typeface="Aptos"/>
              </a:defRPr>
            </a:pPr>
            <a:r>
              <a:rPr lang="fr-FR" sz="1400" b="0" i="0" u="none" strike="noStrike" kern="1200" cap="none" spc="0" baseline="0">
                <a:solidFill>
                  <a:srgbClr val="595959"/>
                </a:solidFill>
                <a:uFillTx/>
                <a:latin typeface="Aptos"/>
              </a:rPr>
              <a:t>Male China Applicants Evolution</a:t>
            </a:r>
          </a:p>
        </c:rich>
      </c:tx>
      <c:overlay val="0"/>
      <c:spPr>
        <a:noFill/>
        <a:ln>
          <a:noFill/>
        </a:ln>
      </c:spPr>
    </c:title>
    <c:autoTitleDeleted val="0"/>
    <c:plotArea>
      <c:layout/>
      <c:barChart>
        <c:barDir val="col"/>
        <c:grouping val="clustered"/>
        <c:varyColors val="0"/>
        <c:ser>
          <c:idx val="0"/>
          <c:order val="0"/>
          <c:tx>
            <c:v>Applicants</c:v>
          </c:tx>
          <c:spPr>
            <a:solidFill>
              <a:srgbClr val="156082"/>
            </a:solidFill>
            <a:ln>
              <a:noFill/>
            </a:ln>
          </c:spPr>
          <c:invertIfNegative val="0"/>
          <c:cat>
            <c:numLit>
              <c:formatCode>General</c:formatCode>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numLit>
          </c:cat>
          <c:val>
            <c:numLit>
              <c:formatCode>General</c:formatCode>
              <c:ptCount val="18"/>
              <c:pt idx="0">
                <c:v>2620</c:v>
              </c:pt>
              <c:pt idx="1">
                <c:v>2930</c:v>
              </c:pt>
              <c:pt idx="2">
                <c:v>3510</c:v>
              </c:pt>
              <c:pt idx="3">
                <c:v>3650</c:v>
              </c:pt>
              <c:pt idx="4">
                <c:v>3970</c:v>
              </c:pt>
              <c:pt idx="5">
                <c:v>4350</c:v>
              </c:pt>
              <c:pt idx="6">
                <c:v>4760</c:v>
              </c:pt>
              <c:pt idx="7">
                <c:v>4680</c:v>
              </c:pt>
              <c:pt idx="8">
                <c:v>4720</c:v>
              </c:pt>
              <c:pt idx="9">
                <c:v>4820</c:v>
              </c:pt>
              <c:pt idx="10">
                <c:v>5210</c:v>
              </c:pt>
              <c:pt idx="11">
                <c:v>5670</c:v>
              </c:pt>
              <c:pt idx="12">
                <c:v>6450</c:v>
              </c:pt>
              <c:pt idx="13">
                <c:v>8700</c:v>
              </c:pt>
              <c:pt idx="14">
                <c:v>11000</c:v>
              </c:pt>
              <c:pt idx="15">
                <c:v>13610</c:v>
              </c:pt>
              <c:pt idx="16">
                <c:v>14990</c:v>
              </c:pt>
              <c:pt idx="17">
                <c:v>14810</c:v>
              </c:pt>
            </c:numLit>
          </c:val>
          <c:extLst>
            <c:ext xmlns:c16="http://schemas.microsoft.com/office/drawing/2014/chart" uri="{C3380CC4-5D6E-409C-BE32-E72D297353CC}">
              <c16:uniqueId val="{00000000-AA16-4D11-8E69-FD369098471A}"/>
            </c:ext>
          </c:extLst>
        </c:ser>
        <c:dLbls>
          <c:showLegendKey val="0"/>
          <c:showVal val="0"/>
          <c:showCatName val="0"/>
          <c:showSerName val="0"/>
          <c:showPercent val="0"/>
          <c:showBubbleSize val="0"/>
        </c:dLbls>
        <c:gapWidth val="219"/>
        <c:overlap val="-27"/>
        <c:axId val="1157140336"/>
        <c:axId val="1157130256"/>
      </c:barChart>
      <c:valAx>
        <c:axId val="1157130256"/>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1157140336"/>
        <c:crosses val="autoZero"/>
        <c:crossBetween val="between"/>
      </c:valAx>
      <c:catAx>
        <c:axId val="1157140336"/>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1157130256"/>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Aptos"/>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fr-FR" sz="1400" b="0" i="0" u="none" strike="noStrike" kern="1200" spc="0" baseline="0">
                <a:solidFill>
                  <a:srgbClr val="595959"/>
                </a:solidFill>
                <a:latin typeface="Aptos"/>
              </a:defRPr>
            </a:pPr>
            <a:r>
              <a:rPr lang="fr-FR" sz="1400" b="0" i="0" u="none" strike="noStrike" kern="1200" cap="none" spc="0" baseline="0">
                <a:solidFill>
                  <a:srgbClr val="595959"/>
                </a:solidFill>
                <a:uFillTx/>
                <a:latin typeface="Aptos"/>
              </a:rPr>
              <a:t>Applicants from EU (excluding UK)</a:t>
            </a:r>
          </a:p>
        </c:rich>
      </c:tx>
      <c:overlay val="0"/>
      <c:spPr>
        <a:noFill/>
        <a:ln>
          <a:noFill/>
        </a:ln>
      </c:spPr>
    </c:title>
    <c:autoTitleDeleted val="0"/>
    <c:plotArea>
      <c:layout/>
      <c:barChart>
        <c:barDir val="col"/>
        <c:grouping val="clustered"/>
        <c:varyColors val="0"/>
        <c:ser>
          <c:idx val="0"/>
          <c:order val="0"/>
          <c:tx>
            <c:v>Applicants</c:v>
          </c:tx>
          <c:spPr>
            <a:solidFill>
              <a:srgbClr val="156082"/>
            </a:solidFill>
            <a:ln>
              <a:noFill/>
            </a:ln>
          </c:spPr>
          <c:invertIfNegative val="0"/>
          <c:cat>
            <c:numLit>
              <c:formatCode>General</c:formatCode>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numLit>
          </c:cat>
          <c:val>
            <c:numLit>
              <c:formatCode>General</c:formatCode>
              <c:ptCount val="18"/>
              <c:pt idx="0">
                <c:v>27920</c:v>
              </c:pt>
              <c:pt idx="1">
                <c:v>31160</c:v>
              </c:pt>
              <c:pt idx="2">
                <c:v>31780</c:v>
              </c:pt>
              <c:pt idx="3">
                <c:v>36740</c:v>
              </c:pt>
              <c:pt idx="4">
                <c:v>44740</c:v>
              </c:pt>
              <c:pt idx="5">
                <c:v>47300</c:v>
              </c:pt>
              <c:pt idx="6">
                <c:v>41230</c:v>
              </c:pt>
              <c:pt idx="7">
                <c:v>43060</c:v>
              </c:pt>
              <c:pt idx="8">
                <c:v>45090</c:v>
              </c:pt>
              <c:pt idx="9">
                <c:v>48640</c:v>
              </c:pt>
              <c:pt idx="10">
                <c:v>51550</c:v>
              </c:pt>
              <c:pt idx="11">
                <c:v>48970</c:v>
              </c:pt>
              <c:pt idx="12">
                <c:v>49830</c:v>
              </c:pt>
              <c:pt idx="13">
                <c:v>50310</c:v>
              </c:pt>
              <c:pt idx="14">
                <c:v>49350</c:v>
              </c:pt>
              <c:pt idx="15">
                <c:v>28120</c:v>
              </c:pt>
              <c:pt idx="16">
                <c:v>23160</c:v>
              </c:pt>
              <c:pt idx="17">
                <c:v>22400</c:v>
              </c:pt>
            </c:numLit>
          </c:val>
          <c:extLst>
            <c:ext xmlns:c16="http://schemas.microsoft.com/office/drawing/2014/chart" uri="{C3380CC4-5D6E-409C-BE32-E72D297353CC}">
              <c16:uniqueId val="{00000000-4B48-4D83-981C-0CDD811E953F}"/>
            </c:ext>
          </c:extLst>
        </c:ser>
        <c:dLbls>
          <c:showLegendKey val="0"/>
          <c:showVal val="0"/>
          <c:showCatName val="0"/>
          <c:showSerName val="0"/>
          <c:showPercent val="0"/>
          <c:showBubbleSize val="0"/>
        </c:dLbls>
        <c:gapWidth val="219"/>
        <c:overlap val="-27"/>
        <c:axId val="543822512"/>
        <c:axId val="543836432"/>
      </c:barChart>
      <c:valAx>
        <c:axId val="543836432"/>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543822512"/>
        <c:crosses val="autoZero"/>
        <c:crossBetween val="between"/>
      </c:valAx>
      <c:catAx>
        <c:axId val="543822512"/>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543836432"/>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Aptos"/>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Evolution of Applicants Not-EU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ex1q1c!$B$1</c:f>
              <c:strCache>
                <c:ptCount val="1"/>
                <c:pt idx="0">
                  <c:v>Applicants</c:v>
                </c:pt>
              </c:strCache>
            </c:strRef>
          </c:tx>
          <c:spPr>
            <a:solidFill>
              <a:schemeClr val="accent1"/>
            </a:solidFill>
            <a:ln>
              <a:noFill/>
            </a:ln>
            <a:effectLst/>
          </c:spPr>
          <c:invertIfNegative val="0"/>
          <c:cat>
            <c:numRef>
              <c:f>ex1q1c!$A$2:$A$19</c:f>
              <c:numCache>
                <c:formatCode>General</c:formatCode>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numCache>
            </c:numRef>
          </c:cat>
          <c:val>
            <c:numRef>
              <c:f>ex1q1c!$B$2:$B$19</c:f>
              <c:numCache>
                <c:formatCode>General</c:formatCode>
                <c:ptCount val="18"/>
                <c:pt idx="0">
                  <c:v>40950</c:v>
                </c:pt>
                <c:pt idx="1">
                  <c:v>42670</c:v>
                </c:pt>
                <c:pt idx="2">
                  <c:v>46630</c:v>
                </c:pt>
                <c:pt idx="3">
                  <c:v>49270</c:v>
                </c:pt>
                <c:pt idx="4">
                  <c:v>54260</c:v>
                </c:pt>
                <c:pt idx="5">
                  <c:v>56730</c:v>
                </c:pt>
                <c:pt idx="6">
                  <c:v>61500</c:v>
                </c:pt>
                <c:pt idx="7">
                  <c:v>65180</c:v>
                </c:pt>
                <c:pt idx="8">
                  <c:v>69350</c:v>
                </c:pt>
                <c:pt idx="9">
                  <c:v>70820</c:v>
                </c:pt>
                <c:pt idx="10">
                  <c:v>69590</c:v>
                </c:pt>
                <c:pt idx="11">
                  <c:v>71120</c:v>
                </c:pt>
                <c:pt idx="12">
                  <c:v>75670</c:v>
                </c:pt>
                <c:pt idx="13">
                  <c:v>81680</c:v>
                </c:pt>
                <c:pt idx="14">
                  <c:v>89420</c:v>
                </c:pt>
                <c:pt idx="15">
                  <c:v>102280</c:v>
                </c:pt>
                <c:pt idx="16">
                  <c:v>111720</c:v>
                </c:pt>
                <c:pt idx="17">
                  <c:v>115650</c:v>
                </c:pt>
              </c:numCache>
            </c:numRef>
          </c:val>
          <c:extLst>
            <c:ext xmlns:c16="http://schemas.microsoft.com/office/drawing/2014/chart" uri="{C3380CC4-5D6E-409C-BE32-E72D297353CC}">
              <c16:uniqueId val="{00000000-7501-40BF-BD94-835F5B474452}"/>
            </c:ext>
          </c:extLst>
        </c:ser>
        <c:dLbls>
          <c:showLegendKey val="0"/>
          <c:showVal val="0"/>
          <c:showCatName val="0"/>
          <c:showSerName val="0"/>
          <c:showPercent val="0"/>
          <c:showBubbleSize val="0"/>
        </c:dLbls>
        <c:gapWidth val="219"/>
        <c:overlap val="-27"/>
        <c:axId val="1668039599"/>
        <c:axId val="1668036239"/>
      </c:barChart>
      <c:catAx>
        <c:axId val="1668039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68036239"/>
        <c:crosses val="autoZero"/>
        <c:auto val="1"/>
        <c:lblAlgn val="ctr"/>
        <c:lblOffset val="100"/>
        <c:noMultiLvlLbl val="0"/>
      </c:catAx>
      <c:valAx>
        <c:axId val="1668036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68039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fr-FR" sz="1400" b="0" i="0" u="none" strike="noStrike" kern="1200" spc="0" baseline="0">
                <a:solidFill>
                  <a:srgbClr val="595959"/>
                </a:solidFill>
                <a:latin typeface="Aptos"/>
              </a:defRPr>
            </a:pPr>
            <a:r>
              <a:rPr lang="fr-FR" sz="1400" b="0" i="0" u="none" strike="noStrike" kern="1200" cap="none" spc="0" baseline="0">
                <a:solidFill>
                  <a:srgbClr val="595959"/>
                </a:solidFill>
                <a:uFillTx/>
                <a:latin typeface="Aptos"/>
              </a:rPr>
              <a:t>French Applicants before and after Brexit</a:t>
            </a:r>
          </a:p>
        </c:rich>
      </c:tx>
      <c:overlay val="0"/>
      <c:spPr>
        <a:noFill/>
        <a:ln>
          <a:noFill/>
        </a:ln>
      </c:spPr>
    </c:title>
    <c:autoTitleDeleted val="0"/>
    <c:plotArea>
      <c:layout/>
      <c:barChart>
        <c:barDir val="col"/>
        <c:grouping val="clustered"/>
        <c:varyColors val="0"/>
        <c:ser>
          <c:idx val="0"/>
          <c:order val="0"/>
          <c:tx>
            <c:v>Applicants</c:v>
          </c:tx>
          <c:spPr>
            <a:solidFill>
              <a:srgbClr val="156082"/>
            </a:solidFill>
            <a:ln>
              <a:noFill/>
            </a:ln>
          </c:spPr>
          <c:invertIfNegative val="0"/>
          <c:cat>
            <c:numLit>
              <c:formatCode>General</c:formatCode>
              <c:ptCount val="5"/>
              <c:pt idx="0">
                <c:v>2019</c:v>
              </c:pt>
              <c:pt idx="1">
                <c:v>2020</c:v>
              </c:pt>
              <c:pt idx="2">
                <c:v>2021</c:v>
              </c:pt>
              <c:pt idx="3">
                <c:v>2022</c:v>
              </c:pt>
              <c:pt idx="4">
                <c:v>2023</c:v>
              </c:pt>
            </c:numLit>
          </c:cat>
          <c:val>
            <c:numLit>
              <c:formatCode>General</c:formatCode>
              <c:ptCount val="5"/>
              <c:pt idx="0">
                <c:v>5330</c:v>
              </c:pt>
              <c:pt idx="1">
                <c:v>5130</c:v>
              </c:pt>
              <c:pt idx="2">
                <c:v>3600</c:v>
              </c:pt>
              <c:pt idx="3">
                <c:v>2970</c:v>
              </c:pt>
              <c:pt idx="4">
                <c:v>2880</c:v>
              </c:pt>
            </c:numLit>
          </c:val>
          <c:extLst>
            <c:ext xmlns:c16="http://schemas.microsoft.com/office/drawing/2014/chart" uri="{C3380CC4-5D6E-409C-BE32-E72D297353CC}">
              <c16:uniqueId val="{00000000-3311-4B0C-9787-63C84794EF08}"/>
            </c:ext>
          </c:extLst>
        </c:ser>
        <c:dLbls>
          <c:showLegendKey val="0"/>
          <c:showVal val="0"/>
          <c:showCatName val="0"/>
          <c:showSerName val="0"/>
          <c:showPercent val="0"/>
          <c:showBubbleSize val="0"/>
        </c:dLbls>
        <c:gapWidth val="219"/>
        <c:overlap val="-27"/>
        <c:axId val="543828272"/>
        <c:axId val="543827792"/>
      </c:barChart>
      <c:valAx>
        <c:axId val="543827792"/>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543828272"/>
        <c:crosses val="autoZero"/>
        <c:crossBetween val="between"/>
      </c:valAx>
      <c:catAx>
        <c:axId val="543828272"/>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543827792"/>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Aptos"/>
        </a:defRPr>
      </a:pPr>
      <a:endParaRPr lang="fr-F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fr-FR" sz="1400" b="0" i="0" u="none" strike="noStrike" kern="1200" spc="0" baseline="0">
                <a:solidFill>
                  <a:srgbClr val="595959"/>
                </a:solidFill>
                <a:latin typeface="Aptos"/>
              </a:defRPr>
            </a:pPr>
            <a:r>
              <a:rPr lang="fr-FR" sz="1400" b="0" i="0" u="none" strike="noStrike" kern="1200" cap="none" spc="0" baseline="0">
                <a:solidFill>
                  <a:srgbClr val="595959"/>
                </a:solidFill>
                <a:uFillTx/>
                <a:latin typeface="Aptos"/>
              </a:rPr>
              <a:t>Highest Applicants by Country (excluding the UK)</a:t>
            </a:r>
          </a:p>
        </c:rich>
      </c:tx>
      <c:overlay val="0"/>
      <c:spPr>
        <a:noFill/>
        <a:ln>
          <a:noFill/>
        </a:ln>
      </c:spPr>
    </c:title>
    <c:autoTitleDeleted val="0"/>
    <c:plotArea>
      <c:layout/>
      <c:barChart>
        <c:barDir val="col"/>
        <c:grouping val="clustered"/>
        <c:varyColors val="0"/>
        <c:ser>
          <c:idx val="0"/>
          <c:order val="0"/>
          <c:tx>
            <c:v>Applicants</c:v>
          </c:tx>
          <c:spPr>
            <a:solidFill>
              <a:srgbClr val="156082"/>
            </a:solidFill>
            <a:ln>
              <a:noFill/>
            </a:ln>
          </c:spPr>
          <c:invertIfNegative val="0"/>
          <c:cat>
            <c:strLit>
              <c:ptCount val="17"/>
              <c:pt idx="0">
                <c:v>China</c:v>
              </c:pt>
              <c:pt idx="1">
                <c:v>India</c:v>
              </c:pt>
              <c:pt idx="2">
                <c:v>United States of America</c:v>
              </c:pt>
              <c:pt idx="3">
                <c:v>Hong Kong</c:v>
              </c:pt>
              <c:pt idx="4">
                <c:v>Ireland</c:v>
              </c:pt>
              <c:pt idx="5">
                <c:v>Nigeria</c:v>
              </c:pt>
              <c:pt idx="6">
                <c:v>Malaysia</c:v>
              </c:pt>
              <c:pt idx="7">
                <c:v>United Arab Emirates</c:v>
              </c:pt>
              <c:pt idx="8">
                <c:v>Singapore</c:v>
              </c:pt>
              <c:pt idx="9">
                <c:v>Canada</c:v>
              </c:pt>
              <c:pt idx="10">
                <c:v>Pakistan</c:v>
              </c:pt>
              <c:pt idx="11">
                <c:v>France</c:v>
              </c:pt>
              <c:pt idx="12">
                <c:v>Saudi Arabia</c:v>
              </c:pt>
              <c:pt idx="13">
                <c:v>Turkey</c:v>
              </c:pt>
              <c:pt idx="14">
                <c:v>Spain</c:v>
              </c:pt>
              <c:pt idx="15">
                <c:v>Italy</c:v>
              </c:pt>
              <c:pt idx="16">
                <c:v>Germany</c:v>
              </c:pt>
            </c:strLit>
          </c:cat>
          <c:val>
            <c:numLit>
              <c:formatCode>General</c:formatCode>
              <c:ptCount val="17"/>
              <c:pt idx="0">
                <c:v>30700</c:v>
              </c:pt>
              <c:pt idx="1">
                <c:v>12920</c:v>
              </c:pt>
              <c:pt idx="2">
                <c:v>6900</c:v>
              </c:pt>
              <c:pt idx="3">
                <c:v>6060</c:v>
              </c:pt>
              <c:pt idx="4">
                <c:v>5390</c:v>
              </c:pt>
              <c:pt idx="5">
                <c:v>5020</c:v>
              </c:pt>
              <c:pt idx="6">
                <c:v>4470</c:v>
              </c:pt>
              <c:pt idx="7">
                <c:v>3980</c:v>
              </c:pt>
              <c:pt idx="8">
                <c:v>3830</c:v>
              </c:pt>
              <c:pt idx="9">
                <c:v>3120</c:v>
              </c:pt>
              <c:pt idx="10">
                <c:v>3050</c:v>
              </c:pt>
              <c:pt idx="11">
                <c:v>2880</c:v>
              </c:pt>
              <c:pt idx="12">
                <c:v>2540</c:v>
              </c:pt>
              <c:pt idx="13">
                <c:v>2310</c:v>
              </c:pt>
              <c:pt idx="14">
                <c:v>2210</c:v>
              </c:pt>
              <c:pt idx="15">
                <c:v>1790</c:v>
              </c:pt>
              <c:pt idx="16">
                <c:v>1730</c:v>
              </c:pt>
            </c:numLit>
          </c:val>
          <c:extLst>
            <c:ext xmlns:c16="http://schemas.microsoft.com/office/drawing/2014/chart" uri="{C3380CC4-5D6E-409C-BE32-E72D297353CC}">
              <c16:uniqueId val="{00000000-6D34-44D7-990B-6EC4E685F4BB}"/>
            </c:ext>
          </c:extLst>
        </c:ser>
        <c:dLbls>
          <c:showLegendKey val="0"/>
          <c:showVal val="0"/>
          <c:showCatName val="0"/>
          <c:showSerName val="0"/>
          <c:showPercent val="0"/>
          <c:showBubbleSize val="0"/>
        </c:dLbls>
        <c:gapWidth val="219"/>
        <c:overlap val="-27"/>
        <c:axId val="543830192"/>
        <c:axId val="543823472"/>
      </c:barChart>
      <c:valAx>
        <c:axId val="543823472"/>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543830192"/>
        <c:crosses val="autoZero"/>
        <c:crossBetween val="between"/>
      </c:valAx>
      <c:catAx>
        <c:axId val="543830192"/>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543823472"/>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Aptos"/>
        </a:defRPr>
      </a:pPr>
      <a:endParaRPr lang="fr-F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fr-FR" sz="1400" b="0" i="0" u="none" strike="noStrike" kern="1200" spc="0" baseline="0">
                <a:solidFill>
                  <a:srgbClr val="595959"/>
                </a:solidFill>
                <a:latin typeface="Aptos"/>
              </a:defRPr>
            </a:pPr>
            <a:r>
              <a:rPr lang="fr-FR" sz="1400" b="0" i="0" u="none" strike="noStrike" kern="1200" cap="none" spc="0" baseline="0">
                <a:solidFill>
                  <a:srgbClr val="595959"/>
                </a:solidFill>
                <a:uFillTx/>
                <a:latin typeface="Aptos"/>
              </a:rPr>
              <a:t>Highest Applicants Female in Country (excluding the UK)</a:t>
            </a:r>
          </a:p>
        </c:rich>
      </c:tx>
      <c:overlay val="0"/>
      <c:spPr>
        <a:noFill/>
        <a:ln>
          <a:noFill/>
        </a:ln>
      </c:spPr>
    </c:title>
    <c:autoTitleDeleted val="0"/>
    <c:plotArea>
      <c:layout/>
      <c:barChart>
        <c:barDir val="col"/>
        <c:grouping val="clustered"/>
        <c:varyColors val="0"/>
        <c:ser>
          <c:idx val="0"/>
          <c:order val="0"/>
          <c:tx>
            <c:v>Applicants</c:v>
          </c:tx>
          <c:spPr>
            <a:solidFill>
              <a:srgbClr val="156082"/>
            </a:solidFill>
            <a:ln>
              <a:noFill/>
            </a:ln>
          </c:spPr>
          <c:invertIfNegative val="0"/>
          <c:cat>
            <c:strLit>
              <c:ptCount val="17"/>
              <c:pt idx="0">
                <c:v>China</c:v>
              </c:pt>
              <c:pt idx="1">
                <c:v>India</c:v>
              </c:pt>
              <c:pt idx="2">
                <c:v>United States of America</c:v>
              </c:pt>
              <c:pt idx="3">
                <c:v>Ireland</c:v>
              </c:pt>
              <c:pt idx="4">
                <c:v>Hong Kong</c:v>
              </c:pt>
              <c:pt idx="5">
                <c:v>Nigeria</c:v>
              </c:pt>
              <c:pt idx="6">
                <c:v>Malaysia</c:v>
              </c:pt>
              <c:pt idx="7">
                <c:v>Singapore</c:v>
              </c:pt>
              <c:pt idx="8">
                <c:v>United Arab Emirates</c:v>
              </c:pt>
              <c:pt idx="9">
                <c:v>Canada</c:v>
              </c:pt>
              <c:pt idx="10">
                <c:v>France</c:v>
              </c:pt>
              <c:pt idx="11">
                <c:v>Spain</c:v>
              </c:pt>
              <c:pt idx="12">
                <c:v>Turkey</c:v>
              </c:pt>
              <c:pt idx="13">
                <c:v>Saudi Arabia</c:v>
              </c:pt>
              <c:pt idx="14">
                <c:v>Pakistan</c:v>
              </c:pt>
              <c:pt idx="15">
                <c:v>Italy</c:v>
              </c:pt>
              <c:pt idx="16">
                <c:v>Germany</c:v>
              </c:pt>
            </c:strLit>
          </c:cat>
          <c:val>
            <c:numLit>
              <c:formatCode>General</c:formatCode>
              <c:ptCount val="17"/>
              <c:pt idx="0">
                <c:v>15890</c:v>
              </c:pt>
              <c:pt idx="1">
                <c:v>5770</c:v>
              </c:pt>
              <c:pt idx="2">
                <c:v>4600</c:v>
              </c:pt>
              <c:pt idx="3">
                <c:v>3800</c:v>
              </c:pt>
              <c:pt idx="4">
                <c:v>3040</c:v>
              </c:pt>
              <c:pt idx="5">
                <c:v>2860</c:v>
              </c:pt>
              <c:pt idx="6">
                <c:v>2450</c:v>
              </c:pt>
              <c:pt idx="7">
                <c:v>2150</c:v>
              </c:pt>
              <c:pt idx="8">
                <c:v>2010</c:v>
              </c:pt>
              <c:pt idx="9">
                <c:v>1910</c:v>
              </c:pt>
              <c:pt idx="10">
                <c:v>1790</c:v>
              </c:pt>
              <c:pt idx="11">
                <c:v>1240</c:v>
              </c:pt>
              <c:pt idx="12">
                <c:v>1220</c:v>
              </c:pt>
              <c:pt idx="13">
                <c:v>1130</c:v>
              </c:pt>
              <c:pt idx="14">
                <c:v>1050</c:v>
              </c:pt>
              <c:pt idx="15">
                <c:v>1040</c:v>
              </c:pt>
              <c:pt idx="16">
                <c:v>1030</c:v>
              </c:pt>
            </c:numLit>
          </c:val>
          <c:extLst>
            <c:ext xmlns:c16="http://schemas.microsoft.com/office/drawing/2014/chart" uri="{C3380CC4-5D6E-409C-BE32-E72D297353CC}">
              <c16:uniqueId val="{00000000-F903-4EFA-92F0-3370BA22AE51}"/>
            </c:ext>
          </c:extLst>
        </c:ser>
        <c:dLbls>
          <c:showLegendKey val="0"/>
          <c:showVal val="0"/>
          <c:showCatName val="0"/>
          <c:showSerName val="0"/>
          <c:showPercent val="0"/>
          <c:showBubbleSize val="0"/>
        </c:dLbls>
        <c:gapWidth val="219"/>
        <c:overlap val="-27"/>
        <c:axId val="543823952"/>
        <c:axId val="543825872"/>
      </c:barChart>
      <c:valAx>
        <c:axId val="543825872"/>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543823952"/>
        <c:crosses val="autoZero"/>
        <c:crossBetween val="between"/>
      </c:valAx>
      <c:catAx>
        <c:axId val="543823952"/>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543825872"/>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Aptos"/>
        </a:defRPr>
      </a:pPr>
      <a:endParaRPr lang="fr-F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Aptos"/>
              </a:defRPr>
            </a:pPr>
            <a:r>
              <a:rPr lang="fr-FR" sz="1400" b="0" i="0" u="none" strike="noStrike" kern="1200" cap="none" spc="0" baseline="0">
                <a:solidFill>
                  <a:srgbClr val="595959"/>
                </a:solidFill>
                <a:uFillTx/>
                <a:latin typeface="Aptos"/>
              </a:rPr>
              <a:t>Ages Groups Evolution for Australian Applicants </a:t>
            </a:r>
          </a:p>
        </c:rich>
      </c:tx>
      <c:overlay val="0"/>
      <c:spPr>
        <a:noFill/>
        <a:ln>
          <a:noFill/>
        </a:ln>
      </c:spPr>
    </c:title>
    <c:autoTitleDeleted val="0"/>
    <c:plotArea>
      <c:layout>
        <c:manualLayout>
          <c:xMode val="edge"/>
          <c:yMode val="edge"/>
          <c:x val="1.4953859934174894E-2"/>
          <c:y val="9.7412152576973068E-2"/>
          <c:w val="0.94466420864058653"/>
          <c:h val="0.90258735313453042"/>
        </c:manualLayout>
      </c:layout>
      <c:barChart>
        <c:barDir val="bar"/>
        <c:grouping val="stacked"/>
        <c:varyColors val="0"/>
        <c:ser>
          <c:idx val="0"/>
          <c:order val="0"/>
          <c:tx>
            <c:v>17 and under</c:v>
          </c:tx>
          <c:spPr>
            <a:solidFill>
              <a:srgbClr val="156082"/>
            </a:solidFill>
            <a:ln>
              <a:noFill/>
            </a:ln>
          </c:spPr>
          <c:invertIfNegative val="0"/>
          <c:cat>
            <c:strLit>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strLit>
          </c:cat>
          <c:val>
            <c:numLit>
              <c:formatCode>General</c:formatCode>
              <c:ptCount val="18"/>
              <c:pt idx="0">
                <c:v>10</c:v>
              </c:pt>
              <c:pt idx="1">
                <c:v>10</c:v>
              </c:pt>
              <c:pt idx="2">
                <c:v>20</c:v>
              </c:pt>
              <c:pt idx="3">
                <c:v>20</c:v>
              </c:pt>
              <c:pt idx="4">
                <c:v>10</c:v>
              </c:pt>
              <c:pt idx="5">
                <c:v>20</c:v>
              </c:pt>
              <c:pt idx="6">
                <c:v>20</c:v>
              </c:pt>
              <c:pt idx="7">
                <c:v>30</c:v>
              </c:pt>
              <c:pt idx="8">
                <c:v>30</c:v>
              </c:pt>
              <c:pt idx="9">
                <c:v>20</c:v>
              </c:pt>
              <c:pt idx="10">
                <c:v>30</c:v>
              </c:pt>
              <c:pt idx="11">
                <c:v>30</c:v>
              </c:pt>
              <c:pt idx="12">
                <c:v>30</c:v>
              </c:pt>
              <c:pt idx="13">
                <c:v>20</c:v>
              </c:pt>
              <c:pt idx="14">
                <c:v>10</c:v>
              </c:pt>
              <c:pt idx="15">
                <c:v>10</c:v>
              </c:pt>
              <c:pt idx="16">
                <c:v>10</c:v>
              </c:pt>
              <c:pt idx="17">
                <c:v>20</c:v>
              </c:pt>
            </c:numLit>
          </c:val>
          <c:extLst>
            <c:ext xmlns:c16="http://schemas.microsoft.com/office/drawing/2014/chart" uri="{C3380CC4-5D6E-409C-BE32-E72D297353CC}">
              <c16:uniqueId val="{00000000-CC75-456E-B825-6ADBCBF66C35}"/>
            </c:ext>
          </c:extLst>
        </c:ser>
        <c:ser>
          <c:idx val="1"/>
          <c:order val="1"/>
          <c:tx>
            <c:v>18</c:v>
          </c:tx>
          <c:spPr>
            <a:solidFill>
              <a:srgbClr val="E97132"/>
            </a:solidFill>
            <a:ln>
              <a:noFill/>
            </a:ln>
          </c:spPr>
          <c:invertIfNegative val="0"/>
          <c:cat>
            <c:strLit>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strLit>
          </c:cat>
          <c:val>
            <c:numLit>
              <c:formatCode>General</c:formatCode>
              <c:ptCount val="18"/>
              <c:pt idx="0">
                <c:v>70</c:v>
              </c:pt>
              <c:pt idx="1">
                <c:v>80</c:v>
              </c:pt>
              <c:pt idx="2">
                <c:v>80</c:v>
              </c:pt>
              <c:pt idx="3">
                <c:v>110</c:v>
              </c:pt>
              <c:pt idx="4">
                <c:v>130</c:v>
              </c:pt>
              <c:pt idx="5">
                <c:v>140</c:v>
              </c:pt>
              <c:pt idx="6">
                <c:v>170</c:v>
              </c:pt>
              <c:pt idx="7">
                <c:v>190</c:v>
              </c:pt>
              <c:pt idx="8">
                <c:v>200</c:v>
              </c:pt>
              <c:pt idx="9">
                <c:v>220</c:v>
              </c:pt>
              <c:pt idx="10">
                <c:v>210</c:v>
              </c:pt>
              <c:pt idx="11">
                <c:v>200</c:v>
              </c:pt>
              <c:pt idx="12">
                <c:v>220</c:v>
              </c:pt>
              <c:pt idx="13">
                <c:v>240</c:v>
              </c:pt>
              <c:pt idx="14">
                <c:v>210</c:v>
              </c:pt>
              <c:pt idx="15">
                <c:v>190</c:v>
              </c:pt>
              <c:pt idx="16">
                <c:v>250</c:v>
              </c:pt>
              <c:pt idx="17">
                <c:v>300</c:v>
              </c:pt>
            </c:numLit>
          </c:val>
          <c:extLst>
            <c:ext xmlns:c16="http://schemas.microsoft.com/office/drawing/2014/chart" uri="{C3380CC4-5D6E-409C-BE32-E72D297353CC}">
              <c16:uniqueId val="{00000001-CC75-456E-B825-6ADBCBF66C35}"/>
            </c:ext>
          </c:extLst>
        </c:ser>
        <c:ser>
          <c:idx val="2"/>
          <c:order val="2"/>
          <c:tx>
            <c:v>19</c:v>
          </c:tx>
          <c:spPr>
            <a:solidFill>
              <a:srgbClr val="196B24"/>
            </a:solidFill>
            <a:ln>
              <a:noFill/>
            </a:ln>
          </c:spPr>
          <c:invertIfNegative val="0"/>
          <c:cat>
            <c:strLit>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strLit>
          </c:cat>
          <c:val>
            <c:numLit>
              <c:formatCode>General</c:formatCode>
              <c:ptCount val="18"/>
              <c:pt idx="0">
                <c:v>50</c:v>
              </c:pt>
              <c:pt idx="1">
                <c:v>50</c:v>
              </c:pt>
              <c:pt idx="2">
                <c:v>80</c:v>
              </c:pt>
              <c:pt idx="3">
                <c:v>70</c:v>
              </c:pt>
              <c:pt idx="4">
                <c:v>70</c:v>
              </c:pt>
              <c:pt idx="5">
                <c:v>90</c:v>
              </c:pt>
              <c:pt idx="6">
                <c:v>110</c:v>
              </c:pt>
              <c:pt idx="7">
                <c:v>120</c:v>
              </c:pt>
              <c:pt idx="8">
                <c:v>140</c:v>
              </c:pt>
              <c:pt idx="9">
                <c:v>150</c:v>
              </c:pt>
              <c:pt idx="10">
                <c:v>150</c:v>
              </c:pt>
              <c:pt idx="11">
                <c:v>140</c:v>
              </c:pt>
              <c:pt idx="12">
                <c:v>150</c:v>
              </c:pt>
              <c:pt idx="13">
                <c:v>160</c:v>
              </c:pt>
              <c:pt idx="14">
                <c:v>160</c:v>
              </c:pt>
              <c:pt idx="15">
                <c:v>150</c:v>
              </c:pt>
              <c:pt idx="16">
                <c:v>190</c:v>
              </c:pt>
              <c:pt idx="17">
                <c:v>220</c:v>
              </c:pt>
            </c:numLit>
          </c:val>
          <c:extLst>
            <c:ext xmlns:c16="http://schemas.microsoft.com/office/drawing/2014/chart" uri="{C3380CC4-5D6E-409C-BE32-E72D297353CC}">
              <c16:uniqueId val="{00000002-CC75-456E-B825-6ADBCBF66C35}"/>
            </c:ext>
          </c:extLst>
        </c:ser>
        <c:ser>
          <c:idx val="3"/>
          <c:order val="3"/>
          <c:tx>
            <c:v>20</c:v>
          </c:tx>
          <c:spPr>
            <a:solidFill>
              <a:srgbClr val="0F9ED5"/>
            </a:solidFill>
            <a:ln>
              <a:noFill/>
            </a:ln>
          </c:spPr>
          <c:invertIfNegative val="0"/>
          <c:cat>
            <c:strLit>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strLit>
          </c:cat>
          <c:val>
            <c:numLit>
              <c:formatCode>General</c:formatCode>
              <c:ptCount val="18"/>
              <c:pt idx="0">
                <c:v>10</c:v>
              </c:pt>
              <c:pt idx="1">
                <c:v>20</c:v>
              </c:pt>
              <c:pt idx="2">
                <c:v>20</c:v>
              </c:pt>
              <c:pt idx="3">
                <c:v>20</c:v>
              </c:pt>
              <c:pt idx="4">
                <c:v>30</c:v>
              </c:pt>
              <c:pt idx="5">
                <c:v>30</c:v>
              </c:pt>
              <c:pt idx="6">
                <c:v>40</c:v>
              </c:pt>
              <c:pt idx="7">
                <c:v>40</c:v>
              </c:pt>
              <c:pt idx="8">
                <c:v>40</c:v>
              </c:pt>
              <c:pt idx="9">
                <c:v>50</c:v>
              </c:pt>
              <c:pt idx="10">
                <c:v>30</c:v>
              </c:pt>
              <c:pt idx="11">
                <c:v>40</c:v>
              </c:pt>
              <c:pt idx="12">
                <c:v>40</c:v>
              </c:pt>
              <c:pt idx="13">
                <c:v>40</c:v>
              </c:pt>
              <c:pt idx="14">
                <c:v>50</c:v>
              </c:pt>
              <c:pt idx="15">
                <c:v>40</c:v>
              </c:pt>
              <c:pt idx="16">
                <c:v>50</c:v>
              </c:pt>
              <c:pt idx="17">
                <c:v>60</c:v>
              </c:pt>
            </c:numLit>
          </c:val>
          <c:extLst>
            <c:ext xmlns:c16="http://schemas.microsoft.com/office/drawing/2014/chart" uri="{C3380CC4-5D6E-409C-BE32-E72D297353CC}">
              <c16:uniqueId val="{00000003-CC75-456E-B825-6ADBCBF66C35}"/>
            </c:ext>
          </c:extLst>
        </c:ser>
        <c:ser>
          <c:idx val="4"/>
          <c:order val="4"/>
          <c:tx>
            <c:v>21 - 24</c:v>
          </c:tx>
          <c:spPr>
            <a:solidFill>
              <a:srgbClr val="A02B93"/>
            </a:solidFill>
            <a:ln>
              <a:noFill/>
            </a:ln>
          </c:spPr>
          <c:invertIfNegative val="0"/>
          <c:cat>
            <c:strLit>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strLit>
          </c:cat>
          <c:val>
            <c:numLit>
              <c:formatCode>General</c:formatCode>
              <c:ptCount val="18"/>
              <c:pt idx="0">
                <c:v>40</c:v>
              </c:pt>
              <c:pt idx="1">
                <c:v>40</c:v>
              </c:pt>
              <c:pt idx="2">
                <c:v>40</c:v>
              </c:pt>
              <c:pt idx="3">
                <c:v>40</c:v>
              </c:pt>
              <c:pt idx="4">
                <c:v>60</c:v>
              </c:pt>
              <c:pt idx="5">
                <c:v>80</c:v>
              </c:pt>
              <c:pt idx="6">
                <c:v>80</c:v>
              </c:pt>
              <c:pt idx="7">
                <c:v>100</c:v>
              </c:pt>
              <c:pt idx="8">
                <c:v>90</c:v>
              </c:pt>
              <c:pt idx="9">
                <c:v>100</c:v>
              </c:pt>
              <c:pt idx="10">
                <c:v>100</c:v>
              </c:pt>
              <c:pt idx="11">
                <c:v>110</c:v>
              </c:pt>
              <c:pt idx="12">
                <c:v>110</c:v>
              </c:pt>
              <c:pt idx="13">
                <c:v>90</c:v>
              </c:pt>
              <c:pt idx="14">
                <c:v>90</c:v>
              </c:pt>
              <c:pt idx="15">
                <c:v>90</c:v>
              </c:pt>
              <c:pt idx="16">
                <c:v>100</c:v>
              </c:pt>
              <c:pt idx="17">
                <c:v>150</c:v>
              </c:pt>
            </c:numLit>
          </c:val>
          <c:extLst>
            <c:ext xmlns:c16="http://schemas.microsoft.com/office/drawing/2014/chart" uri="{C3380CC4-5D6E-409C-BE32-E72D297353CC}">
              <c16:uniqueId val="{00000004-CC75-456E-B825-6ADBCBF66C35}"/>
            </c:ext>
          </c:extLst>
        </c:ser>
        <c:ser>
          <c:idx val="5"/>
          <c:order val="5"/>
          <c:tx>
            <c:v>25 - 29</c:v>
          </c:tx>
          <c:spPr>
            <a:solidFill>
              <a:srgbClr val="4EA72E"/>
            </a:solidFill>
            <a:ln>
              <a:noFill/>
            </a:ln>
          </c:spPr>
          <c:invertIfNegative val="0"/>
          <c:cat>
            <c:strLit>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strLit>
          </c:cat>
          <c:val>
            <c:numLit>
              <c:formatCode>General</c:formatCode>
              <c:ptCount val="18"/>
              <c:pt idx="0">
                <c:v>20</c:v>
              </c:pt>
              <c:pt idx="1">
                <c:v>20</c:v>
              </c:pt>
              <c:pt idx="2">
                <c:v>40</c:v>
              </c:pt>
              <c:pt idx="3">
                <c:v>30</c:v>
              </c:pt>
              <c:pt idx="4">
                <c:v>30</c:v>
              </c:pt>
              <c:pt idx="5">
                <c:v>30</c:v>
              </c:pt>
              <c:pt idx="6">
                <c:v>30</c:v>
              </c:pt>
              <c:pt idx="7">
                <c:v>40</c:v>
              </c:pt>
              <c:pt idx="8">
                <c:v>40</c:v>
              </c:pt>
              <c:pt idx="9">
                <c:v>30</c:v>
              </c:pt>
              <c:pt idx="10">
                <c:v>30</c:v>
              </c:pt>
              <c:pt idx="11">
                <c:v>50</c:v>
              </c:pt>
              <c:pt idx="12">
                <c:v>30</c:v>
              </c:pt>
              <c:pt idx="13">
                <c:v>50</c:v>
              </c:pt>
              <c:pt idx="14">
                <c:v>40</c:v>
              </c:pt>
              <c:pt idx="15">
                <c:v>50</c:v>
              </c:pt>
              <c:pt idx="16">
                <c:v>70</c:v>
              </c:pt>
              <c:pt idx="17">
                <c:v>50</c:v>
              </c:pt>
            </c:numLit>
          </c:val>
          <c:extLst>
            <c:ext xmlns:c16="http://schemas.microsoft.com/office/drawing/2014/chart" uri="{C3380CC4-5D6E-409C-BE32-E72D297353CC}">
              <c16:uniqueId val="{00000005-CC75-456E-B825-6ADBCBF66C35}"/>
            </c:ext>
          </c:extLst>
        </c:ser>
        <c:ser>
          <c:idx val="6"/>
          <c:order val="6"/>
          <c:tx>
            <c:v>30 - 34</c:v>
          </c:tx>
          <c:spPr>
            <a:solidFill>
              <a:srgbClr val="0D3A4E"/>
            </a:solidFill>
            <a:ln>
              <a:noFill/>
            </a:ln>
          </c:spPr>
          <c:invertIfNegative val="0"/>
          <c:cat>
            <c:strLit>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strLit>
          </c:cat>
          <c:val>
            <c:numLit>
              <c:formatCode>General</c:formatCode>
              <c:ptCount val="18"/>
              <c:pt idx="0">
                <c:v>10</c:v>
              </c:pt>
              <c:pt idx="1">
                <c:v>10</c:v>
              </c:pt>
              <c:pt idx="2">
                <c:v>10</c:v>
              </c:pt>
              <c:pt idx="3">
                <c:v>0</c:v>
              </c:pt>
              <c:pt idx="4">
                <c:v>10</c:v>
              </c:pt>
              <c:pt idx="5">
                <c:v>10</c:v>
              </c:pt>
              <c:pt idx="6">
                <c:v>10</c:v>
              </c:pt>
              <c:pt idx="7">
                <c:v>10</c:v>
              </c:pt>
              <c:pt idx="8">
                <c:v>20</c:v>
              </c:pt>
              <c:pt idx="9">
                <c:v>10</c:v>
              </c:pt>
              <c:pt idx="10">
                <c:v>20</c:v>
              </c:pt>
              <c:pt idx="11">
                <c:v>20</c:v>
              </c:pt>
              <c:pt idx="12">
                <c:v>10</c:v>
              </c:pt>
              <c:pt idx="13">
                <c:v>10</c:v>
              </c:pt>
              <c:pt idx="14">
                <c:v>10</c:v>
              </c:pt>
              <c:pt idx="15">
                <c:v>10</c:v>
              </c:pt>
              <c:pt idx="16">
                <c:v>20</c:v>
              </c:pt>
              <c:pt idx="17">
                <c:v>20</c:v>
              </c:pt>
            </c:numLit>
          </c:val>
          <c:extLst>
            <c:ext xmlns:c16="http://schemas.microsoft.com/office/drawing/2014/chart" uri="{C3380CC4-5D6E-409C-BE32-E72D297353CC}">
              <c16:uniqueId val="{00000006-CC75-456E-B825-6ADBCBF66C35}"/>
            </c:ext>
          </c:extLst>
        </c:ser>
        <c:ser>
          <c:idx val="7"/>
          <c:order val="7"/>
          <c:tx>
            <c:v>35 and over</c:v>
          </c:tx>
          <c:spPr>
            <a:solidFill>
              <a:srgbClr val="994010"/>
            </a:solidFill>
            <a:ln>
              <a:noFill/>
            </a:ln>
          </c:spPr>
          <c:invertIfNegative val="0"/>
          <c:cat>
            <c:strLit>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strLit>
          </c:cat>
          <c:val>
            <c:numLit>
              <c:formatCode>General</c:formatCode>
              <c:ptCount val="18"/>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numLit>
          </c:val>
          <c:extLst>
            <c:ext xmlns:c16="http://schemas.microsoft.com/office/drawing/2014/chart" uri="{C3380CC4-5D6E-409C-BE32-E72D297353CC}">
              <c16:uniqueId val="{00000007-CC75-456E-B825-6ADBCBF66C35}"/>
            </c:ext>
          </c:extLst>
        </c:ser>
        <c:dLbls>
          <c:showLegendKey val="0"/>
          <c:showVal val="0"/>
          <c:showCatName val="0"/>
          <c:showSerName val="0"/>
          <c:showPercent val="0"/>
          <c:showBubbleSize val="0"/>
        </c:dLbls>
        <c:gapWidth val="219"/>
        <c:overlap val="100"/>
        <c:axId val="1155651392"/>
        <c:axId val="1155652352"/>
      </c:barChart>
      <c:valAx>
        <c:axId val="1155652352"/>
        <c:scaling>
          <c:orientation val="minMax"/>
        </c:scaling>
        <c:delete val="0"/>
        <c:axPos val="b"/>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Aptos"/>
              </a:defRPr>
            </a:pPr>
            <a:endParaRPr lang="fr-FR"/>
          </a:p>
        </c:txPr>
        <c:crossAx val="1155651392"/>
        <c:crosses val="autoZero"/>
        <c:crossBetween val="between"/>
      </c:valAx>
      <c:catAx>
        <c:axId val="1155651392"/>
        <c:scaling>
          <c:orientation val="minMax"/>
        </c:scaling>
        <c:delete val="0"/>
        <c:axPos val="l"/>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1200" b="0" i="0" u="none" strike="noStrike" kern="1200" baseline="0">
                <a:solidFill>
                  <a:srgbClr val="595959"/>
                </a:solidFill>
                <a:latin typeface="Aptos"/>
              </a:defRPr>
            </a:pPr>
            <a:endParaRPr lang="fr-FR"/>
          </a:p>
        </c:txPr>
        <c:crossAx val="1155652352"/>
        <c:crosses val="autoZero"/>
        <c:auto val="1"/>
        <c:lblAlgn val="ctr"/>
        <c:lblOffset val="100"/>
        <c:noMultiLvlLbl val="0"/>
      </c:catAx>
      <c:spPr>
        <a:noFill/>
        <a:ln>
          <a:noFill/>
        </a:ln>
      </c:spPr>
    </c:plotArea>
    <c:legend>
      <c:legendPos val="r"/>
      <c:layout>
        <c:manualLayout>
          <c:xMode val="edge"/>
          <c:yMode val="edge"/>
          <c:x val="0.78604618867086062"/>
          <c:y val="0.15140106074311332"/>
          <c:w val="0.15730134427640988"/>
          <c:h val="0.75443698068814835"/>
        </c:manualLayout>
      </c:layout>
      <c:overlay val="0"/>
      <c:spPr>
        <a:noFill/>
        <a:ln>
          <a:noFill/>
        </a:ln>
      </c:spPr>
      <c:txPr>
        <a:bodyPr lIns="0" tIns="0" rIns="0" bIns="0"/>
        <a:lstStyle/>
        <a:p>
          <a:pPr marL="0" marR="0" indent="0" defTabSz="914400" fontAlgn="auto" hangingPunct="1">
            <a:lnSpc>
              <a:spcPct val="100000"/>
            </a:lnSpc>
            <a:spcBef>
              <a:spcPts val="0"/>
            </a:spcBef>
            <a:spcAft>
              <a:spcPts val="0"/>
            </a:spcAft>
            <a:tabLst/>
            <a:defRPr sz="1400" b="0" i="0" u="none" strike="noStrike" kern="1200" baseline="0">
              <a:solidFill>
                <a:srgbClr val="595959"/>
              </a:solidFill>
              <a:latin typeface="Aptos"/>
            </a:defRPr>
          </a:pPr>
          <a:endParaRPr lang="fr-FR"/>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Aptos"/>
        </a:defRPr>
      </a:pPr>
      <a:endParaRPr lang="fr-F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fr-FR" sz="1400" b="0" i="0" u="none" strike="noStrike" kern="1200" spc="0" baseline="0">
                <a:solidFill>
                  <a:srgbClr val="595959"/>
                </a:solidFill>
                <a:latin typeface="Aptos"/>
              </a:defRPr>
            </a:pPr>
            <a:r>
              <a:rPr lang="fr-FR" sz="1400" b="0" i="0" u="none" strike="noStrike" kern="1200" cap="none" spc="0" baseline="0">
                <a:solidFill>
                  <a:srgbClr val="595959"/>
                </a:solidFill>
                <a:uFillTx/>
                <a:latin typeface="Aptos"/>
              </a:rPr>
              <a:t>Female Australian Applicants Evolution</a:t>
            </a:r>
          </a:p>
        </c:rich>
      </c:tx>
      <c:overlay val="0"/>
      <c:spPr>
        <a:noFill/>
        <a:ln>
          <a:noFill/>
        </a:ln>
      </c:spPr>
    </c:title>
    <c:autoTitleDeleted val="0"/>
    <c:plotArea>
      <c:layout/>
      <c:barChart>
        <c:barDir val="col"/>
        <c:grouping val="clustered"/>
        <c:varyColors val="0"/>
        <c:ser>
          <c:idx val="0"/>
          <c:order val="0"/>
          <c:tx>
            <c:v>Applicants</c:v>
          </c:tx>
          <c:spPr>
            <a:solidFill>
              <a:srgbClr val="156082"/>
            </a:solidFill>
            <a:ln>
              <a:noFill/>
            </a:ln>
          </c:spPr>
          <c:invertIfNegative val="0"/>
          <c:cat>
            <c:numLit>
              <c:formatCode>General</c:formatCode>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numLit>
          </c:cat>
          <c:val>
            <c:numLit>
              <c:formatCode>General</c:formatCode>
              <c:ptCount val="18"/>
              <c:pt idx="0">
                <c:v>120</c:v>
              </c:pt>
              <c:pt idx="1">
                <c:v>140</c:v>
              </c:pt>
              <c:pt idx="2">
                <c:v>160</c:v>
              </c:pt>
              <c:pt idx="3">
                <c:v>170</c:v>
              </c:pt>
              <c:pt idx="4">
                <c:v>200</c:v>
              </c:pt>
              <c:pt idx="5">
                <c:v>230</c:v>
              </c:pt>
              <c:pt idx="6">
                <c:v>250</c:v>
              </c:pt>
              <c:pt idx="7">
                <c:v>300</c:v>
              </c:pt>
              <c:pt idx="8">
                <c:v>330</c:v>
              </c:pt>
              <c:pt idx="9">
                <c:v>340</c:v>
              </c:pt>
              <c:pt idx="10">
                <c:v>310</c:v>
              </c:pt>
              <c:pt idx="11">
                <c:v>310</c:v>
              </c:pt>
              <c:pt idx="12">
                <c:v>350</c:v>
              </c:pt>
              <c:pt idx="13">
                <c:v>360</c:v>
              </c:pt>
              <c:pt idx="14">
                <c:v>320</c:v>
              </c:pt>
              <c:pt idx="15">
                <c:v>290</c:v>
              </c:pt>
              <c:pt idx="16">
                <c:v>410</c:v>
              </c:pt>
              <c:pt idx="17">
                <c:v>490</c:v>
              </c:pt>
            </c:numLit>
          </c:val>
          <c:extLst>
            <c:ext xmlns:c16="http://schemas.microsoft.com/office/drawing/2014/chart" uri="{C3380CC4-5D6E-409C-BE32-E72D297353CC}">
              <c16:uniqueId val="{00000000-9FE8-4D07-8802-72ED5ADCB27A}"/>
            </c:ext>
          </c:extLst>
        </c:ser>
        <c:dLbls>
          <c:showLegendKey val="0"/>
          <c:showVal val="0"/>
          <c:showCatName val="0"/>
          <c:showSerName val="0"/>
          <c:showPercent val="0"/>
          <c:showBubbleSize val="0"/>
        </c:dLbls>
        <c:gapWidth val="219"/>
        <c:overlap val="-27"/>
        <c:axId val="1155650432"/>
        <c:axId val="1155648992"/>
      </c:barChart>
      <c:valAx>
        <c:axId val="1155648992"/>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1155650432"/>
        <c:crosses val="autoZero"/>
        <c:crossBetween val="between"/>
      </c:valAx>
      <c:catAx>
        <c:axId val="1155650432"/>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1155648992"/>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Aptos"/>
        </a:defRPr>
      </a:pPr>
      <a:endParaRPr lang="fr-F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c:style val="2"/>
  <c:chart>
    <c:title>
      <c:tx>
        <c:rich>
          <a:bodyPr vert="horz" lIns="0" tIns="0" rIns="0" bIns="0"/>
          <a:lstStyle/>
          <a:p>
            <a:pPr marL="0" marR="0" indent="0" algn="ctr" defTabSz="914400" rtl="0" fontAlgn="auto" hangingPunct="1">
              <a:lnSpc>
                <a:spcPct val="100000"/>
              </a:lnSpc>
              <a:spcBef>
                <a:spcPts val="0"/>
              </a:spcBef>
              <a:spcAft>
                <a:spcPts val="0"/>
              </a:spcAft>
              <a:tabLst/>
              <a:defRPr lang="fr-FR" sz="1400" b="0" i="0" u="none" strike="noStrike" kern="1200" spc="0" baseline="0">
                <a:solidFill>
                  <a:srgbClr val="595959"/>
                </a:solidFill>
                <a:latin typeface="Aptos"/>
              </a:defRPr>
            </a:pPr>
            <a:r>
              <a:rPr lang="fr-FR" sz="1400" b="0" i="0" u="none" strike="noStrike" kern="1200" cap="none" spc="0" baseline="0">
                <a:solidFill>
                  <a:srgbClr val="595959"/>
                </a:solidFill>
                <a:uFillTx/>
                <a:latin typeface="Aptos"/>
              </a:rPr>
              <a:t>Male Australian Applicants Evolution</a:t>
            </a:r>
          </a:p>
        </c:rich>
      </c:tx>
      <c:overlay val="0"/>
      <c:spPr>
        <a:noFill/>
        <a:ln>
          <a:noFill/>
        </a:ln>
      </c:spPr>
    </c:title>
    <c:autoTitleDeleted val="0"/>
    <c:plotArea>
      <c:layout/>
      <c:barChart>
        <c:barDir val="col"/>
        <c:grouping val="clustered"/>
        <c:varyColors val="0"/>
        <c:ser>
          <c:idx val="0"/>
          <c:order val="0"/>
          <c:tx>
            <c:v>Applicants</c:v>
          </c:tx>
          <c:spPr>
            <a:solidFill>
              <a:srgbClr val="156082"/>
            </a:solidFill>
            <a:ln>
              <a:noFill/>
            </a:ln>
          </c:spPr>
          <c:invertIfNegative val="0"/>
          <c:cat>
            <c:numLit>
              <c:formatCode>General</c:formatCode>
              <c:ptCount val="18"/>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numLit>
          </c:cat>
          <c:val>
            <c:numLit>
              <c:formatCode>General</c:formatCode>
              <c:ptCount val="18"/>
              <c:pt idx="0">
                <c:v>100</c:v>
              </c:pt>
              <c:pt idx="1">
                <c:v>110</c:v>
              </c:pt>
              <c:pt idx="2">
                <c:v>130</c:v>
              </c:pt>
              <c:pt idx="3">
                <c:v>130</c:v>
              </c:pt>
              <c:pt idx="4">
                <c:v>160</c:v>
              </c:pt>
              <c:pt idx="5">
                <c:v>170</c:v>
              </c:pt>
              <c:pt idx="6">
                <c:v>230</c:v>
              </c:pt>
              <c:pt idx="7">
                <c:v>240</c:v>
              </c:pt>
              <c:pt idx="8">
                <c:v>230</c:v>
              </c:pt>
              <c:pt idx="9">
                <c:v>250</c:v>
              </c:pt>
              <c:pt idx="10">
                <c:v>270</c:v>
              </c:pt>
              <c:pt idx="11">
                <c:v>280</c:v>
              </c:pt>
              <c:pt idx="12">
                <c:v>250</c:v>
              </c:pt>
              <c:pt idx="13">
                <c:v>260</c:v>
              </c:pt>
              <c:pt idx="14">
                <c:v>260</c:v>
              </c:pt>
              <c:pt idx="15">
                <c:v>260</c:v>
              </c:pt>
              <c:pt idx="16">
                <c:v>290</c:v>
              </c:pt>
              <c:pt idx="17">
                <c:v>340</c:v>
              </c:pt>
            </c:numLit>
          </c:val>
          <c:extLst>
            <c:ext xmlns:c16="http://schemas.microsoft.com/office/drawing/2014/chart" uri="{C3380CC4-5D6E-409C-BE32-E72D297353CC}">
              <c16:uniqueId val="{00000000-CA5E-4995-B722-6609054AC1DB}"/>
            </c:ext>
          </c:extLst>
        </c:ser>
        <c:dLbls>
          <c:showLegendKey val="0"/>
          <c:showVal val="0"/>
          <c:showCatName val="0"/>
          <c:showSerName val="0"/>
          <c:showPercent val="0"/>
          <c:showBubbleSize val="0"/>
        </c:dLbls>
        <c:gapWidth val="219"/>
        <c:overlap val="-27"/>
        <c:axId val="1155654272"/>
        <c:axId val="1155650912"/>
      </c:barChart>
      <c:valAx>
        <c:axId val="1155650912"/>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1155654272"/>
        <c:crosses val="autoZero"/>
        <c:crossBetween val="between"/>
      </c:valAx>
      <c:catAx>
        <c:axId val="1155654272"/>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Aptos"/>
              </a:defRPr>
            </a:pPr>
            <a:endParaRPr lang="fr-FR"/>
          </a:p>
        </c:txPr>
        <c:crossAx val="1155650912"/>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Aptos"/>
        </a:defRPr>
      </a:pPr>
      <a:endParaRPr lang="fr-F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734</Words>
  <Characters>4039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Turpin</dc:creator>
  <cp:lastModifiedBy>Samuel Turpin</cp:lastModifiedBy>
  <cp:revision>6</cp:revision>
  <cp:lastPrinted>2024-05-19T21:24:00Z</cp:lastPrinted>
  <dcterms:created xsi:type="dcterms:W3CDTF">2024-05-20T10:51:00Z</dcterms:created>
  <dcterms:modified xsi:type="dcterms:W3CDTF">2024-05-20T11:58:00Z</dcterms:modified>
</cp:coreProperties>
</file>