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306C" w:rsidRDefault="004C31FC">
      <w:pPr>
        <w:spacing w:before="1920" w:after="40"/>
        <w:jc w:val="center"/>
      </w:pPr>
      <w:r>
        <w:rPr>
          <w:b/>
          <w:color w:val="1F4D38"/>
          <w:sz w:val="68"/>
        </w:rPr>
        <w:t>NFC-FoodTech</w:t>
      </w:r>
    </w:p>
    <w:p w:rsidR="0032306C" w:rsidRDefault="004C31FC">
      <w:pPr>
        <w:spacing w:after="80"/>
        <w:jc w:val="center"/>
      </w:pPr>
      <w:r>
        <w:rPr>
          <w:color w:val="2D6A4F"/>
          <w:sz w:val="30"/>
        </w:rPr>
        <w:t>Informe de Avance — Fase 2</w:t>
      </w:r>
    </w:p>
    <w:p w:rsidR="0032306C" w:rsidRDefault="0032306C">
      <w:pPr>
        <w:pBdr>
          <w:bottom w:val="single" w:sz="8" w:space="1" w:color="1F4D38"/>
        </w:pBdr>
        <w:spacing w:before="40" w:after="440"/>
        <w:jc w:val="center"/>
      </w:pPr>
    </w:p>
    <w:p w:rsidR="0032306C" w:rsidRDefault="004C31FC">
      <w:pPr>
        <w:spacing w:after="680"/>
        <w:jc w:val="center"/>
      </w:pPr>
      <w:r>
        <w:rPr>
          <w:i/>
          <w:color w:val="5B6B62"/>
          <w:sz w:val="23"/>
        </w:rPr>
        <w:t>Diseño de la solución y construcción de la base técnica</w:t>
      </w:r>
    </w:p>
    <w:tbl>
      <w:tblPr>
        <w:tblStyle w:val="TableNormal"/>
        <w:tblW w:w="0" w:type="auto"/>
        <w:jc w:val="center"/>
        <w:tblInd w:w="0" w:type="dxa"/>
        <w:tblLayout w:type="fixed"/>
        <w:tblLook w:val="04A0" w:firstRow="1" w:lastRow="0" w:firstColumn="1" w:lastColumn="0" w:noHBand="0" w:noVBand="1"/>
      </w:tblPr>
      <w:tblGrid>
        <w:gridCol w:w="2041"/>
        <w:gridCol w:w="5329"/>
      </w:tblGrid>
      <w:tr w:rsidR="0032306C">
        <w:trPr>
          <w:tblHeader/>
          <w:jc w:val="center"/>
        </w:trPr>
        <w:tc>
          <w:tcPr>
            <w:tcW w:w="2041" w:type="dxa"/>
            <w:shd w:val="clear" w:color="auto" w:fill="1F4D38"/>
          </w:tcPr>
          <w:p w:rsidR="0032306C" w:rsidRDefault="004C31FC">
            <w:pPr>
              <w:spacing w:before="80" w:after="80" w:line="240" w:lineRule="auto"/>
              <w:jc w:val="left"/>
            </w:pPr>
            <w:r>
              <w:rPr>
                <w:b/>
                <w:color w:val="FFFFFF"/>
                <w:sz w:val="19"/>
              </w:rPr>
              <w:t>Asignatura</w:t>
            </w:r>
          </w:p>
        </w:tc>
        <w:tc>
          <w:tcPr>
            <w:tcW w:w="5329" w:type="dxa"/>
            <w:shd w:val="clear" w:color="auto" w:fill="1F4D38"/>
          </w:tcPr>
          <w:p w:rsidR="0032306C" w:rsidRDefault="004C31FC">
            <w:pPr>
              <w:spacing w:before="80" w:after="80" w:line="240" w:lineRule="auto"/>
              <w:jc w:val="left"/>
            </w:pPr>
            <w:r>
              <w:rPr>
                <w:b/>
                <w:color w:val="FFFFFF"/>
                <w:sz w:val="19"/>
              </w:rPr>
              <w:t>PTY4614 — Capstone</w:t>
            </w:r>
          </w:p>
        </w:tc>
      </w:tr>
      <w:tr w:rsidR="0032306C">
        <w:trPr>
          <w:jc w:val="center"/>
        </w:trPr>
        <w:tc>
          <w:tcPr>
            <w:tcW w:w="2041" w:type="dxa"/>
          </w:tcPr>
          <w:p w:rsidR="0032306C" w:rsidRDefault="004C31FC">
            <w:pPr>
              <w:spacing w:before="60" w:after="60" w:line="252" w:lineRule="auto"/>
              <w:jc w:val="left"/>
            </w:pPr>
            <w:r>
              <w:rPr>
                <w:b/>
                <w:color w:val="1F4D38"/>
                <w:sz w:val="19"/>
              </w:rPr>
              <w:t>Carrera</w:t>
            </w:r>
          </w:p>
        </w:tc>
        <w:tc>
          <w:tcPr>
            <w:tcW w:w="5329" w:type="dxa"/>
          </w:tcPr>
          <w:p w:rsidR="0032306C" w:rsidRDefault="004C31FC">
            <w:pPr>
              <w:spacing w:before="60" w:after="60" w:line="252" w:lineRule="auto"/>
              <w:jc w:val="left"/>
            </w:pPr>
            <w:r>
              <w:rPr>
                <w:sz w:val="19"/>
              </w:rPr>
              <w:t>Ingeniería en Informática</w:t>
            </w:r>
          </w:p>
        </w:tc>
      </w:tr>
      <w:tr w:rsidR="0032306C">
        <w:trPr>
          <w:jc w:val="center"/>
        </w:trPr>
        <w:tc>
          <w:tcPr>
            <w:tcW w:w="2041" w:type="dxa"/>
            <w:shd w:val="clear" w:color="auto" w:fill="F4F8F5"/>
          </w:tcPr>
          <w:p w:rsidR="0032306C" w:rsidRDefault="004C31FC">
            <w:pPr>
              <w:spacing w:before="60" w:after="60" w:line="252" w:lineRule="auto"/>
              <w:jc w:val="left"/>
            </w:pPr>
            <w:r>
              <w:rPr>
                <w:b/>
                <w:color w:val="1F4D38"/>
                <w:sz w:val="19"/>
              </w:rPr>
              <w:t>Sede</w:t>
            </w:r>
          </w:p>
        </w:tc>
        <w:tc>
          <w:tcPr>
            <w:tcW w:w="5329" w:type="dxa"/>
            <w:shd w:val="clear" w:color="auto" w:fill="F4F8F5"/>
          </w:tcPr>
          <w:p w:rsidR="0032306C" w:rsidRDefault="004C31FC">
            <w:pPr>
              <w:spacing w:before="60" w:after="60" w:line="252" w:lineRule="auto"/>
              <w:jc w:val="left"/>
            </w:pPr>
            <w:r>
              <w:rPr>
                <w:sz w:val="19"/>
              </w:rPr>
              <w:t>Concepción</w:t>
            </w:r>
          </w:p>
        </w:tc>
      </w:tr>
      <w:tr w:rsidR="0032306C">
        <w:trPr>
          <w:jc w:val="center"/>
        </w:trPr>
        <w:tc>
          <w:tcPr>
            <w:tcW w:w="2041" w:type="dxa"/>
          </w:tcPr>
          <w:p w:rsidR="0032306C" w:rsidRDefault="004C31FC">
            <w:pPr>
              <w:spacing w:before="60" w:after="60" w:line="252" w:lineRule="auto"/>
              <w:jc w:val="left"/>
            </w:pPr>
            <w:r>
              <w:rPr>
                <w:b/>
                <w:color w:val="1F4D38"/>
                <w:sz w:val="19"/>
              </w:rPr>
              <w:t>Integrantes</w:t>
            </w:r>
          </w:p>
        </w:tc>
        <w:tc>
          <w:tcPr>
            <w:tcW w:w="5329" w:type="dxa"/>
          </w:tcPr>
          <w:p w:rsidR="0032306C" w:rsidRDefault="004C31FC">
            <w:pPr>
              <w:spacing w:before="60" w:after="60" w:line="252" w:lineRule="auto"/>
              <w:jc w:val="left"/>
            </w:pPr>
            <w:r>
              <w:rPr>
                <w:sz w:val="19"/>
              </w:rPr>
              <w:t>Rodrigo Casanova — 21.504.324-K</w:t>
            </w:r>
          </w:p>
          <w:p w:rsidR="0032306C" w:rsidRDefault="004C31FC">
            <w:pPr>
              <w:spacing w:before="60" w:after="60" w:line="252" w:lineRule="auto"/>
              <w:jc w:val="left"/>
            </w:pPr>
            <w:r>
              <w:rPr>
                <w:sz w:val="19"/>
              </w:rPr>
              <w:t>Samuel Acuña — 20.087.673-3</w:t>
            </w:r>
          </w:p>
          <w:p w:rsidR="0032306C" w:rsidRDefault="004C31FC">
            <w:pPr>
              <w:spacing w:before="60" w:after="60" w:line="252" w:lineRule="auto"/>
              <w:jc w:val="left"/>
            </w:pPr>
            <w:r>
              <w:rPr>
                <w:sz w:val="19"/>
              </w:rPr>
              <w:t>José Paillán — 19.157.502-4</w:t>
            </w:r>
          </w:p>
        </w:tc>
      </w:tr>
      <w:tr w:rsidR="0032306C">
        <w:trPr>
          <w:jc w:val="center"/>
        </w:trPr>
        <w:tc>
          <w:tcPr>
            <w:tcW w:w="2041" w:type="dxa"/>
            <w:shd w:val="clear" w:color="auto" w:fill="F4F8F5"/>
          </w:tcPr>
          <w:p w:rsidR="0032306C" w:rsidRDefault="004C31FC">
            <w:pPr>
              <w:spacing w:before="60" w:after="60" w:line="252" w:lineRule="auto"/>
              <w:jc w:val="left"/>
            </w:pPr>
            <w:r>
              <w:rPr>
                <w:b/>
                <w:color w:val="1F4D38"/>
                <w:sz w:val="19"/>
              </w:rPr>
              <w:t>Fecha</w:t>
            </w:r>
          </w:p>
        </w:tc>
        <w:tc>
          <w:tcPr>
            <w:tcW w:w="5329" w:type="dxa"/>
            <w:shd w:val="clear" w:color="auto" w:fill="F4F8F5"/>
          </w:tcPr>
          <w:p w:rsidR="0032306C" w:rsidRDefault="004C31FC">
            <w:pPr>
              <w:spacing w:before="60" w:after="60" w:line="252" w:lineRule="auto"/>
              <w:jc w:val="left"/>
            </w:pPr>
            <w:r>
              <w:rPr>
                <w:sz w:val="19"/>
              </w:rPr>
              <w:t>Octubre de 2026</w:t>
            </w:r>
          </w:p>
        </w:tc>
      </w:tr>
    </w:tbl>
    <w:p w:rsidR="0032306C" w:rsidRDefault="004C31FC">
      <w:r>
        <w:br w:type="page"/>
      </w:r>
    </w:p>
    <w:p w:rsidR="0032306C" w:rsidRDefault="004C31FC">
      <w:pPr>
        <w:keepNext/>
        <w:pBdr>
          <w:bottom w:val="single" w:sz="8" w:space="4" w:color="1F4D38"/>
        </w:pBdr>
        <w:spacing w:after="200"/>
      </w:pPr>
      <w:r>
        <w:rPr>
          <w:b/>
          <w:color w:val="1F4D38"/>
          <w:sz w:val="32"/>
        </w:rPr>
        <w:lastRenderedPageBreak/>
        <w:t>Índice</w:t>
      </w:r>
    </w:p>
    <w:p w:rsidR="004A70F2" w:rsidRDefault="004C31FC">
      <w:pPr>
        <w:pStyle w:val="TDC1"/>
        <w:tabs>
          <w:tab w:val="right" w:leader="dot" w:pos="9019"/>
        </w:tabs>
        <w:rPr>
          <w:noProof/>
        </w:rPr>
      </w:pPr>
      <w:r>
        <w:rPr>
          <w:sz w:val="20"/>
        </w:rPr>
        <w:fldChar w:fldCharType="begin"/>
      </w:r>
      <w:r>
        <w:rPr>
          <w:sz w:val="20"/>
        </w:rPr>
        <w:instrText xml:space="preserve"> TOC \o "1-2" \h \z \u </w:instrText>
      </w:r>
      <w:r>
        <w:rPr>
          <w:sz w:val="20"/>
        </w:rPr>
        <w:fldChar w:fldCharType="separate"/>
      </w:r>
      <w:hyperlink w:anchor="_Toc242114417" w:history="1">
        <w:r w:rsidR="004A70F2" w:rsidRPr="00062EE7">
          <w:rPr>
            <w:rStyle w:val="Hipervnculo"/>
            <w:noProof/>
          </w:rPr>
          <w:t>Abstract</w:t>
        </w:r>
        <w:r w:rsidR="004A70F2">
          <w:rPr>
            <w:noProof/>
            <w:webHidden/>
          </w:rPr>
          <w:tab/>
        </w:r>
        <w:r w:rsidR="004A70F2">
          <w:rPr>
            <w:noProof/>
            <w:webHidden/>
          </w:rPr>
          <w:fldChar w:fldCharType="begin"/>
        </w:r>
        <w:r w:rsidR="004A70F2">
          <w:rPr>
            <w:noProof/>
            <w:webHidden/>
          </w:rPr>
          <w:instrText xml:space="preserve"> PAGEREF _Toc242114417 \h </w:instrText>
        </w:r>
        <w:r w:rsidR="004A70F2">
          <w:rPr>
            <w:noProof/>
            <w:webHidden/>
          </w:rPr>
        </w:r>
        <w:r w:rsidR="004A70F2">
          <w:rPr>
            <w:noProof/>
            <w:webHidden/>
          </w:rPr>
          <w:fldChar w:fldCharType="separate"/>
        </w:r>
        <w:r w:rsidR="004A70F2">
          <w:rPr>
            <w:noProof/>
            <w:webHidden/>
          </w:rPr>
          <w:t>3</w:t>
        </w:r>
        <w:r w:rsidR="004A70F2">
          <w:rPr>
            <w:noProof/>
            <w:webHidden/>
          </w:rPr>
          <w:fldChar w:fldCharType="end"/>
        </w:r>
      </w:hyperlink>
    </w:p>
    <w:p w:rsidR="004A70F2" w:rsidRDefault="004A70F2">
      <w:pPr>
        <w:pStyle w:val="TDC1"/>
        <w:tabs>
          <w:tab w:val="right" w:leader="dot" w:pos="9019"/>
        </w:tabs>
        <w:rPr>
          <w:noProof/>
        </w:rPr>
      </w:pPr>
      <w:hyperlink w:anchor="_Toc242114418" w:history="1">
        <w:r w:rsidRPr="00062EE7">
          <w:rPr>
            <w:rStyle w:val="Hipervnculo"/>
            <w:noProof/>
          </w:rPr>
          <w:t>Resumen</w:t>
        </w:r>
        <w:r>
          <w:rPr>
            <w:noProof/>
            <w:webHidden/>
          </w:rPr>
          <w:tab/>
        </w:r>
        <w:r>
          <w:rPr>
            <w:noProof/>
            <w:webHidden/>
          </w:rPr>
          <w:fldChar w:fldCharType="begin"/>
        </w:r>
        <w:r>
          <w:rPr>
            <w:noProof/>
            <w:webHidden/>
          </w:rPr>
          <w:instrText xml:space="preserve"> PAGEREF _Toc242114418 \h </w:instrText>
        </w:r>
        <w:r>
          <w:rPr>
            <w:noProof/>
            <w:webHidden/>
          </w:rPr>
        </w:r>
        <w:r>
          <w:rPr>
            <w:noProof/>
            <w:webHidden/>
          </w:rPr>
          <w:fldChar w:fldCharType="separate"/>
        </w:r>
        <w:r>
          <w:rPr>
            <w:noProof/>
            <w:webHidden/>
          </w:rPr>
          <w:t>4</w:t>
        </w:r>
        <w:r>
          <w:rPr>
            <w:noProof/>
            <w:webHidden/>
          </w:rPr>
          <w:fldChar w:fldCharType="end"/>
        </w:r>
      </w:hyperlink>
    </w:p>
    <w:p w:rsidR="004A70F2" w:rsidRDefault="004A70F2">
      <w:pPr>
        <w:pStyle w:val="TDC1"/>
        <w:tabs>
          <w:tab w:val="right" w:leader="dot" w:pos="9019"/>
        </w:tabs>
        <w:rPr>
          <w:noProof/>
        </w:rPr>
      </w:pPr>
      <w:hyperlink w:anchor="_Toc242114419" w:history="1">
        <w:r w:rsidRPr="00062EE7">
          <w:rPr>
            <w:rStyle w:val="Hipervnculo"/>
            <w:noProof/>
          </w:rPr>
          <w:t>1. Introducción</w:t>
        </w:r>
        <w:r>
          <w:rPr>
            <w:noProof/>
            <w:webHidden/>
          </w:rPr>
          <w:tab/>
        </w:r>
        <w:r>
          <w:rPr>
            <w:noProof/>
            <w:webHidden/>
          </w:rPr>
          <w:fldChar w:fldCharType="begin"/>
        </w:r>
        <w:r>
          <w:rPr>
            <w:noProof/>
            <w:webHidden/>
          </w:rPr>
          <w:instrText xml:space="preserve"> PAGEREF _Toc242114419 \h </w:instrText>
        </w:r>
        <w:r>
          <w:rPr>
            <w:noProof/>
            <w:webHidden/>
          </w:rPr>
        </w:r>
        <w:r>
          <w:rPr>
            <w:noProof/>
            <w:webHidden/>
          </w:rPr>
          <w:fldChar w:fldCharType="separate"/>
        </w:r>
        <w:r>
          <w:rPr>
            <w:noProof/>
            <w:webHidden/>
          </w:rPr>
          <w:t>4</w:t>
        </w:r>
        <w:r>
          <w:rPr>
            <w:noProof/>
            <w:webHidden/>
          </w:rPr>
          <w:fldChar w:fldCharType="end"/>
        </w:r>
      </w:hyperlink>
    </w:p>
    <w:p w:rsidR="004A70F2" w:rsidRDefault="004A70F2">
      <w:pPr>
        <w:pStyle w:val="TDC1"/>
        <w:tabs>
          <w:tab w:val="right" w:leader="dot" w:pos="9019"/>
        </w:tabs>
        <w:rPr>
          <w:noProof/>
        </w:rPr>
      </w:pPr>
      <w:hyperlink w:anchor="_Toc242114420" w:history="1">
        <w:r w:rsidRPr="00062EE7">
          <w:rPr>
            <w:rStyle w:val="Hipervnculo"/>
            <w:noProof/>
          </w:rPr>
          <w:t>2. Desarrollo de ingeniería</w:t>
        </w:r>
        <w:r>
          <w:rPr>
            <w:noProof/>
            <w:webHidden/>
          </w:rPr>
          <w:tab/>
        </w:r>
        <w:r>
          <w:rPr>
            <w:noProof/>
            <w:webHidden/>
          </w:rPr>
          <w:fldChar w:fldCharType="begin"/>
        </w:r>
        <w:r>
          <w:rPr>
            <w:noProof/>
            <w:webHidden/>
          </w:rPr>
          <w:instrText xml:space="preserve"> PAGEREF _Toc242114420 \h </w:instrText>
        </w:r>
        <w:r>
          <w:rPr>
            <w:noProof/>
            <w:webHidden/>
          </w:rPr>
        </w:r>
        <w:r>
          <w:rPr>
            <w:noProof/>
            <w:webHidden/>
          </w:rPr>
          <w:fldChar w:fldCharType="separate"/>
        </w:r>
        <w:r>
          <w:rPr>
            <w:noProof/>
            <w:webHidden/>
          </w:rPr>
          <w:t>5</w:t>
        </w:r>
        <w:r>
          <w:rPr>
            <w:noProof/>
            <w:webHidden/>
          </w:rPr>
          <w:fldChar w:fldCharType="end"/>
        </w:r>
      </w:hyperlink>
    </w:p>
    <w:p w:rsidR="004A70F2" w:rsidRDefault="004A70F2">
      <w:pPr>
        <w:pStyle w:val="TDC2"/>
        <w:tabs>
          <w:tab w:val="right" w:leader="dot" w:pos="9019"/>
        </w:tabs>
        <w:rPr>
          <w:noProof/>
        </w:rPr>
      </w:pPr>
      <w:hyperlink w:anchor="_Toc242114421" w:history="1">
        <w:r w:rsidRPr="00062EE7">
          <w:rPr>
            <w:rStyle w:val="Hipervnculo"/>
            <w:noProof/>
          </w:rPr>
          <w:t>2.1 Alcance comprometido y requerimientos</w:t>
        </w:r>
        <w:r>
          <w:rPr>
            <w:noProof/>
            <w:webHidden/>
          </w:rPr>
          <w:tab/>
        </w:r>
        <w:r>
          <w:rPr>
            <w:noProof/>
            <w:webHidden/>
          </w:rPr>
          <w:fldChar w:fldCharType="begin"/>
        </w:r>
        <w:r>
          <w:rPr>
            <w:noProof/>
            <w:webHidden/>
          </w:rPr>
          <w:instrText xml:space="preserve"> PAGEREF _Toc242114421 \h </w:instrText>
        </w:r>
        <w:r>
          <w:rPr>
            <w:noProof/>
            <w:webHidden/>
          </w:rPr>
        </w:r>
        <w:r>
          <w:rPr>
            <w:noProof/>
            <w:webHidden/>
          </w:rPr>
          <w:fldChar w:fldCharType="separate"/>
        </w:r>
        <w:r>
          <w:rPr>
            <w:noProof/>
            <w:webHidden/>
          </w:rPr>
          <w:t>5</w:t>
        </w:r>
        <w:r>
          <w:rPr>
            <w:noProof/>
            <w:webHidden/>
          </w:rPr>
          <w:fldChar w:fldCharType="end"/>
        </w:r>
      </w:hyperlink>
    </w:p>
    <w:p w:rsidR="004A70F2" w:rsidRDefault="004A70F2">
      <w:pPr>
        <w:pStyle w:val="TDC2"/>
        <w:tabs>
          <w:tab w:val="right" w:leader="dot" w:pos="9019"/>
        </w:tabs>
        <w:rPr>
          <w:noProof/>
        </w:rPr>
      </w:pPr>
      <w:hyperlink w:anchor="_Toc242114422" w:history="1">
        <w:r w:rsidRPr="00062EE7">
          <w:rPr>
            <w:rStyle w:val="Hipervnculo"/>
            <w:noProof/>
          </w:rPr>
          <w:t>2.2 Modelo de datos</w:t>
        </w:r>
        <w:r>
          <w:rPr>
            <w:noProof/>
            <w:webHidden/>
          </w:rPr>
          <w:tab/>
        </w:r>
        <w:r>
          <w:rPr>
            <w:noProof/>
            <w:webHidden/>
          </w:rPr>
          <w:fldChar w:fldCharType="begin"/>
        </w:r>
        <w:r>
          <w:rPr>
            <w:noProof/>
            <w:webHidden/>
          </w:rPr>
          <w:instrText xml:space="preserve"> PAGEREF _Toc242114422 \h </w:instrText>
        </w:r>
        <w:r>
          <w:rPr>
            <w:noProof/>
            <w:webHidden/>
          </w:rPr>
        </w:r>
        <w:r>
          <w:rPr>
            <w:noProof/>
            <w:webHidden/>
          </w:rPr>
          <w:fldChar w:fldCharType="separate"/>
        </w:r>
        <w:r>
          <w:rPr>
            <w:noProof/>
            <w:webHidden/>
          </w:rPr>
          <w:t>5</w:t>
        </w:r>
        <w:r>
          <w:rPr>
            <w:noProof/>
            <w:webHidden/>
          </w:rPr>
          <w:fldChar w:fldCharType="end"/>
        </w:r>
      </w:hyperlink>
    </w:p>
    <w:p w:rsidR="004A70F2" w:rsidRDefault="004A70F2">
      <w:pPr>
        <w:pStyle w:val="TDC2"/>
        <w:tabs>
          <w:tab w:val="right" w:leader="dot" w:pos="9019"/>
        </w:tabs>
        <w:rPr>
          <w:noProof/>
        </w:rPr>
      </w:pPr>
      <w:hyperlink w:anchor="_Toc242114423" w:history="1">
        <w:r w:rsidRPr="00062EE7">
          <w:rPr>
            <w:rStyle w:val="Hipervnculo"/>
            <w:noProof/>
          </w:rPr>
          <w:t>2.3 Arquitectura de la solución</w:t>
        </w:r>
        <w:r>
          <w:rPr>
            <w:noProof/>
            <w:webHidden/>
          </w:rPr>
          <w:tab/>
        </w:r>
        <w:r>
          <w:rPr>
            <w:noProof/>
            <w:webHidden/>
          </w:rPr>
          <w:fldChar w:fldCharType="begin"/>
        </w:r>
        <w:r>
          <w:rPr>
            <w:noProof/>
            <w:webHidden/>
          </w:rPr>
          <w:instrText xml:space="preserve"> PAGEREF _Toc242114423 \h </w:instrText>
        </w:r>
        <w:r>
          <w:rPr>
            <w:noProof/>
            <w:webHidden/>
          </w:rPr>
        </w:r>
        <w:r>
          <w:rPr>
            <w:noProof/>
            <w:webHidden/>
          </w:rPr>
          <w:fldChar w:fldCharType="separate"/>
        </w:r>
        <w:r>
          <w:rPr>
            <w:noProof/>
            <w:webHidden/>
          </w:rPr>
          <w:t>6</w:t>
        </w:r>
        <w:r>
          <w:rPr>
            <w:noProof/>
            <w:webHidden/>
          </w:rPr>
          <w:fldChar w:fldCharType="end"/>
        </w:r>
      </w:hyperlink>
    </w:p>
    <w:p w:rsidR="004A70F2" w:rsidRDefault="004A70F2">
      <w:pPr>
        <w:pStyle w:val="TDC2"/>
        <w:tabs>
          <w:tab w:val="right" w:leader="dot" w:pos="9019"/>
        </w:tabs>
        <w:rPr>
          <w:noProof/>
        </w:rPr>
      </w:pPr>
      <w:hyperlink w:anchor="_Toc242114424" w:history="1">
        <w:r w:rsidRPr="00062EE7">
          <w:rPr>
            <w:rStyle w:val="Hipervnculo"/>
            <w:noProof/>
          </w:rPr>
          <w:t>2.4 Seguridad y protección de datos</w:t>
        </w:r>
        <w:r>
          <w:rPr>
            <w:noProof/>
            <w:webHidden/>
          </w:rPr>
          <w:tab/>
        </w:r>
        <w:r>
          <w:rPr>
            <w:noProof/>
            <w:webHidden/>
          </w:rPr>
          <w:fldChar w:fldCharType="begin"/>
        </w:r>
        <w:r>
          <w:rPr>
            <w:noProof/>
            <w:webHidden/>
          </w:rPr>
          <w:instrText xml:space="preserve"> PAGEREF _Toc242114424 \h </w:instrText>
        </w:r>
        <w:r>
          <w:rPr>
            <w:noProof/>
            <w:webHidden/>
          </w:rPr>
        </w:r>
        <w:r>
          <w:rPr>
            <w:noProof/>
            <w:webHidden/>
          </w:rPr>
          <w:fldChar w:fldCharType="separate"/>
        </w:r>
        <w:r>
          <w:rPr>
            <w:noProof/>
            <w:webHidden/>
          </w:rPr>
          <w:t>6</w:t>
        </w:r>
        <w:r>
          <w:rPr>
            <w:noProof/>
            <w:webHidden/>
          </w:rPr>
          <w:fldChar w:fldCharType="end"/>
        </w:r>
      </w:hyperlink>
    </w:p>
    <w:p w:rsidR="004A70F2" w:rsidRDefault="004A70F2">
      <w:pPr>
        <w:pStyle w:val="TDC2"/>
        <w:tabs>
          <w:tab w:val="right" w:leader="dot" w:pos="9019"/>
        </w:tabs>
        <w:rPr>
          <w:noProof/>
        </w:rPr>
      </w:pPr>
      <w:hyperlink w:anchor="_Toc242114425" w:history="1">
        <w:r w:rsidRPr="00062EE7">
          <w:rPr>
            <w:rStyle w:val="Hipervnculo"/>
            <w:noProof/>
          </w:rPr>
          <w:t>2.5 Pruebas</w:t>
        </w:r>
        <w:r>
          <w:rPr>
            <w:noProof/>
            <w:webHidden/>
          </w:rPr>
          <w:tab/>
        </w:r>
        <w:r>
          <w:rPr>
            <w:noProof/>
            <w:webHidden/>
          </w:rPr>
          <w:fldChar w:fldCharType="begin"/>
        </w:r>
        <w:r>
          <w:rPr>
            <w:noProof/>
            <w:webHidden/>
          </w:rPr>
          <w:instrText xml:space="preserve"> PAGEREF _Toc242114425 \h </w:instrText>
        </w:r>
        <w:r>
          <w:rPr>
            <w:noProof/>
            <w:webHidden/>
          </w:rPr>
        </w:r>
        <w:r>
          <w:rPr>
            <w:noProof/>
            <w:webHidden/>
          </w:rPr>
          <w:fldChar w:fldCharType="separate"/>
        </w:r>
        <w:r>
          <w:rPr>
            <w:noProof/>
            <w:webHidden/>
          </w:rPr>
          <w:t>6</w:t>
        </w:r>
        <w:r>
          <w:rPr>
            <w:noProof/>
            <w:webHidden/>
          </w:rPr>
          <w:fldChar w:fldCharType="end"/>
        </w:r>
      </w:hyperlink>
    </w:p>
    <w:p w:rsidR="004A70F2" w:rsidRDefault="004A70F2">
      <w:pPr>
        <w:pStyle w:val="TDC2"/>
        <w:tabs>
          <w:tab w:val="right" w:leader="dot" w:pos="9019"/>
        </w:tabs>
        <w:rPr>
          <w:noProof/>
        </w:rPr>
      </w:pPr>
      <w:hyperlink w:anchor="_Toc242114426" w:history="1">
        <w:r w:rsidRPr="00062EE7">
          <w:rPr>
            <w:rStyle w:val="Hipervnculo"/>
            <w:noProof/>
          </w:rPr>
          <w:t>2.6 Autenticación</w:t>
        </w:r>
        <w:r>
          <w:rPr>
            <w:noProof/>
            <w:webHidden/>
          </w:rPr>
          <w:tab/>
        </w:r>
        <w:r>
          <w:rPr>
            <w:noProof/>
            <w:webHidden/>
          </w:rPr>
          <w:fldChar w:fldCharType="begin"/>
        </w:r>
        <w:r>
          <w:rPr>
            <w:noProof/>
            <w:webHidden/>
          </w:rPr>
          <w:instrText xml:space="preserve"> PAGEREF _Toc242114426 \h </w:instrText>
        </w:r>
        <w:r>
          <w:rPr>
            <w:noProof/>
            <w:webHidden/>
          </w:rPr>
        </w:r>
        <w:r>
          <w:rPr>
            <w:noProof/>
            <w:webHidden/>
          </w:rPr>
          <w:fldChar w:fldCharType="separate"/>
        </w:r>
        <w:r>
          <w:rPr>
            <w:noProof/>
            <w:webHidden/>
          </w:rPr>
          <w:t>7</w:t>
        </w:r>
        <w:r>
          <w:rPr>
            <w:noProof/>
            <w:webHidden/>
          </w:rPr>
          <w:fldChar w:fldCharType="end"/>
        </w:r>
      </w:hyperlink>
    </w:p>
    <w:p w:rsidR="004A70F2" w:rsidRDefault="004A70F2">
      <w:pPr>
        <w:pStyle w:val="TDC2"/>
        <w:tabs>
          <w:tab w:val="right" w:leader="dot" w:pos="9019"/>
        </w:tabs>
        <w:rPr>
          <w:noProof/>
        </w:rPr>
      </w:pPr>
      <w:hyperlink w:anchor="_Toc242114427" w:history="1">
        <w:r w:rsidRPr="00062EE7">
          <w:rPr>
            <w:rStyle w:val="Hipervnculo"/>
            <w:noProof/>
          </w:rPr>
          <w:t>2.7 Estado de la aplicación móvil</w:t>
        </w:r>
        <w:r>
          <w:rPr>
            <w:noProof/>
            <w:webHidden/>
          </w:rPr>
          <w:tab/>
        </w:r>
        <w:r>
          <w:rPr>
            <w:noProof/>
            <w:webHidden/>
          </w:rPr>
          <w:fldChar w:fldCharType="begin"/>
        </w:r>
        <w:r>
          <w:rPr>
            <w:noProof/>
            <w:webHidden/>
          </w:rPr>
          <w:instrText xml:space="preserve"> PAGEREF _Toc242114427 \h </w:instrText>
        </w:r>
        <w:r>
          <w:rPr>
            <w:noProof/>
            <w:webHidden/>
          </w:rPr>
        </w:r>
        <w:r>
          <w:rPr>
            <w:noProof/>
            <w:webHidden/>
          </w:rPr>
          <w:fldChar w:fldCharType="separate"/>
        </w:r>
        <w:r>
          <w:rPr>
            <w:noProof/>
            <w:webHidden/>
          </w:rPr>
          <w:t>7</w:t>
        </w:r>
        <w:r>
          <w:rPr>
            <w:noProof/>
            <w:webHidden/>
          </w:rPr>
          <w:fldChar w:fldCharType="end"/>
        </w:r>
      </w:hyperlink>
    </w:p>
    <w:p w:rsidR="004A70F2" w:rsidRDefault="004A70F2">
      <w:pPr>
        <w:pStyle w:val="TDC1"/>
        <w:tabs>
          <w:tab w:val="right" w:leader="dot" w:pos="9019"/>
        </w:tabs>
        <w:rPr>
          <w:noProof/>
        </w:rPr>
      </w:pPr>
      <w:hyperlink w:anchor="_Toc242114428" w:history="1">
        <w:r w:rsidRPr="00062EE7">
          <w:rPr>
            <w:rStyle w:val="Hipervnculo"/>
            <w:noProof/>
          </w:rPr>
          <w:t>3. Estado de avance por evidencia comprometida</w:t>
        </w:r>
        <w:r>
          <w:rPr>
            <w:noProof/>
            <w:webHidden/>
          </w:rPr>
          <w:tab/>
        </w:r>
        <w:r>
          <w:rPr>
            <w:noProof/>
            <w:webHidden/>
          </w:rPr>
          <w:fldChar w:fldCharType="begin"/>
        </w:r>
        <w:r>
          <w:rPr>
            <w:noProof/>
            <w:webHidden/>
          </w:rPr>
          <w:instrText xml:space="preserve"> PAGEREF _Toc242114428 \h </w:instrText>
        </w:r>
        <w:r>
          <w:rPr>
            <w:noProof/>
            <w:webHidden/>
          </w:rPr>
        </w:r>
        <w:r>
          <w:rPr>
            <w:noProof/>
            <w:webHidden/>
          </w:rPr>
          <w:fldChar w:fldCharType="separate"/>
        </w:r>
        <w:r>
          <w:rPr>
            <w:noProof/>
            <w:webHidden/>
          </w:rPr>
          <w:t>7</w:t>
        </w:r>
        <w:r>
          <w:rPr>
            <w:noProof/>
            <w:webHidden/>
          </w:rPr>
          <w:fldChar w:fldCharType="end"/>
        </w:r>
      </w:hyperlink>
    </w:p>
    <w:p w:rsidR="004A70F2" w:rsidRDefault="004A70F2">
      <w:pPr>
        <w:pStyle w:val="TDC1"/>
        <w:tabs>
          <w:tab w:val="right" w:leader="dot" w:pos="9019"/>
        </w:tabs>
        <w:rPr>
          <w:noProof/>
        </w:rPr>
      </w:pPr>
      <w:hyperlink w:anchor="_Toc242114429" w:history="1">
        <w:r w:rsidRPr="00062EE7">
          <w:rPr>
            <w:rStyle w:val="Hipervnculo"/>
            <w:noProof/>
          </w:rPr>
          <w:t>4. Dificultades y decisiones tomadas</w:t>
        </w:r>
        <w:r>
          <w:rPr>
            <w:noProof/>
            <w:webHidden/>
          </w:rPr>
          <w:tab/>
        </w:r>
        <w:r>
          <w:rPr>
            <w:noProof/>
            <w:webHidden/>
          </w:rPr>
          <w:fldChar w:fldCharType="begin"/>
        </w:r>
        <w:r>
          <w:rPr>
            <w:noProof/>
            <w:webHidden/>
          </w:rPr>
          <w:instrText xml:space="preserve"> PAGEREF _Toc242114429 \h </w:instrText>
        </w:r>
        <w:r>
          <w:rPr>
            <w:noProof/>
            <w:webHidden/>
          </w:rPr>
        </w:r>
        <w:r>
          <w:rPr>
            <w:noProof/>
            <w:webHidden/>
          </w:rPr>
          <w:fldChar w:fldCharType="separate"/>
        </w:r>
        <w:r>
          <w:rPr>
            <w:noProof/>
            <w:webHidden/>
          </w:rPr>
          <w:t>8</w:t>
        </w:r>
        <w:r>
          <w:rPr>
            <w:noProof/>
            <w:webHidden/>
          </w:rPr>
          <w:fldChar w:fldCharType="end"/>
        </w:r>
      </w:hyperlink>
    </w:p>
    <w:p w:rsidR="004A70F2" w:rsidRDefault="004A70F2">
      <w:pPr>
        <w:pStyle w:val="TDC1"/>
        <w:tabs>
          <w:tab w:val="right" w:leader="dot" w:pos="9019"/>
        </w:tabs>
        <w:rPr>
          <w:noProof/>
        </w:rPr>
      </w:pPr>
      <w:hyperlink w:anchor="_Toc242114430" w:history="1">
        <w:r w:rsidRPr="00062EE7">
          <w:rPr>
            <w:rStyle w:val="Hipervnculo"/>
            <w:noProof/>
          </w:rPr>
          <w:t>5. Trabajo pendiente para la Fase 3</w:t>
        </w:r>
        <w:r>
          <w:rPr>
            <w:noProof/>
            <w:webHidden/>
          </w:rPr>
          <w:tab/>
        </w:r>
        <w:r>
          <w:rPr>
            <w:noProof/>
            <w:webHidden/>
          </w:rPr>
          <w:fldChar w:fldCharType="begin"/>
        </w:r>
        <w:r>
          <w:rPr>
            <w:noProof/>
            <w:webHidden/>
          </w:rPr>
          <w:instrText xml:space="preserve"> PAGEREF _Toc242114430 \h </w:instrText>
        </w:r>
        <w:r>
          <w:rPr>
            <w:noProof/>
            <w:webHidden/>
          </w:rPr>
        </w:r>
        <w:r>
          <w:rPr>
            <w:noProof/>
            <w:webHidden/>
          </w:rPr>
          <w:fldChar w:fldCharType="separate"/>
        </w:r>
        <w:r>
          <w:rPr>
            <w:noProof/>
            <w:webHidden/>
          </w:rPr>
          <w:t>8</w:t>
        </w:r>
        <w:r>
          <w:rPr>
            <w:noProof/>
            <w:webHidden/>
          </w:rPr>
          <w:fldChar w:fldCharType="end"/>
        </w:r>
      </w:hyperlink>
    </w:p>
    <w:p w:rsidR="004A70F2" w:rsidRDefault="004A70F2">
      <w:pPr>
        <w:pStyle w:val="TDC1"/>
        <w:tabs>
          <w:tab w:val="right" w:leader="dot" w:pos="9019"/>
        </w:tabs>
        <w:rPr>
          <w:noProof/>
        </w:rPr>
      </w:pPr>
      <w:hyperlink w:anchor="_Toc242114431" w:history="1">
        <w:r w:rsidRPr="00062EE7">
          <w:rPr>
            <w:rStyle w:val="Hipervnculo"/>
            <w:noProof/>
          </w:rPr>
          <w:t>6. Riesgos abiertos</w:t>
        </w:r>
        <w:r>
          <w:rPr>
            <w:noProof/>
            <w:webHidden/>
          </w:rPr>
          <w:tab/>
        </w:r>
        <w:r>
          <w:rPr>
            <w:noProof/>
            <w:webHidden/>
          </w:rPr>
          <w:fldChar w:fldCharType="begin"/>
        </w:r>
        <w:r>
          <w:rPr>
            <w:noProof/>
            <w:webHidden/>
          </w:rPr>
          <w:instrText xml:space="preserve"> PAGEREF _Toc242114431 \h </w:instrText>
        </w:r>
        <w:r>
          <w:rPr>
            <w:noProof/>
            <w:webHidden/>
          </w:rPr>
        </w:r>
        <w:r>
          <w:rPr>
            <w:noProof/>
            <w:webHidden/>
          </w:rPr>
          <w:fldChar w:fldCharType="separate"/>
        </w:r>
        <w:r>
          <w:rPr>
            <w:noProof/>
            <w:webHidden/>
          </w:rPr>
          <w:t>9</w:t>
        </w:r>
        <w:r>
          <w:rPr>
            <w:noProof/>
            <w:webHidden/>
          </w:rPr>
          <w:fldChar w:fldCharType="end"/>
        </w:r>
      </w:hyperlink>
    </w:p>
    <w:p w:rsidR="004A70F2" w:rsidRDefault="004A70F2">
      <w:pPr>
        <w:pStyle w:val="TDC1"/>
        <w:tabs>
          <w:tab w:val="right" w:leader="dot" w:pos="9019"/>
        </w:tabs>
        <w:rPr>
          <w:noProof/>
        </w:rPr>
      </w:pPr>
      <w:hyperlink w:anchor="_Toc242114432" w:history="1">
        <w:r w:rsidRPr="00062EE7">
          <w:rPr>
            <w:rStyle w:val="Hipervnculo"/>
            <w:noProof/>
          </w:rPr>
          <w:t>7. Conclusiones generales</w:t>
        </w:r>
        <w:r>
          <w:rPr>
            <w:noProof/>
            <w:webHidden/>
          </w:rPr>
          <w:tab/>
        </w:r>
        <w:r>
          <w:rPr>
            <w:noProof/>
            <w:webHidden/>
          </w:rPr>
          <w:fldChar w:fldCharType="begin"/>
        </w:r>
        <w:r>
          <w:rPr>
            <w:noProof/>
            <w:webHidden/>
          </w:rPr>
          <w:instrText xml:space="preserve"> PAGEREF _Toc242114432 \h </w:instrText>
        </w:r>
        <w:r>
          <w:rPr>
            <w:noProof/>
            <w:webHidden/>
          </w:rPr>
        </w:r>
        <w:r>
          <w:rPr>
            <w:noProof/>
            <w:webHidden/>
          </w:rPr>
          <w:fldChar w:fldCharType="separate"/>
        </w:r>
        <w:r>
          <w:rPr>
            <w:noProof/>
            <w:webHidden/>
          </w:rPr>
          <w:t>10</w:t>
        </w:r>
        <w:r>
          <w:rPr>
            <w:noProof/>
            <w:webHidden/>
          </w:rPr>
          <w:fldChar w:fldCharType="end"/>
        </w:r>
      </w:hyperlink>
    </w:p>
    <w:p w:rsidR="004A70F2" w:rsidRDefault="004A70F2">
      <w:pPr>
        <w:pStyle w:val="TDC1"/>
        <w:tabs>
          <w:tab w:val="right" w:leader="dot" w:pos="9019"/>
        </w:tabs>
        <w:rPr>
          <w:noProof/>
        </w:rPr>
      </w:pPr>
      <w:hyperlink w:anchor="_Toc242114433" w:history="1">
        <w:r w:rsidRPr="00062EE7">
          <w:rPr>
            <w:rStyle w:val="Hipervnculo"/>
            <w:noProof/>
          </w:rPr>
          <w:t>8. Reflexión del equipo</w:t>
        </w:r>
        <w:r>
          <w:rPr>
            <w:noProof/>
            <w:webHidden/>
          </w:rPr>
          <w:tab/>
        </w:r>
        <w:r>
          <w:rPr>
            <w:noProof/>
            <w:webHidden/>
          </w:rPr>
          <w:fldChar w:fldCharType="begin"/>
        </w:r>
        <w:r>
          <w:rPr>
            <w:noProof/>
            <w:webHidden/>
          </w:rPr>
          <w:instrText xml:space="preserve"> PAGEREF _Toc242114433 \h </w:instrText>
        </w:r>
        <w:r>
          <w:rPr>
            <w:noProof/>
            <w:webHidden/>
          </w:rPr>
        </w:r>
        <w:r>
          <w:rPr>
            <w:noProof/>
            <w:webHidden/>
          </w:rPr>
          <w:fldChar w:fldCharType="separate"/>
        </w:r>
        <w:r>
          <w:rPr>
            <w:noProof/>
            <w:webHidden/>
          </w:rPr>
          <w:t>10</w:t>
        </w:r>
        <w:r>
          <w:rPr>
            <w:noProof/>
            <w:webHidden/>
          </w:rPr>
          <w:fldChar w:fldCharType="end"/>
        </w:r>
      </w:hyperlink>
    </w:p>
    <w:p w:rsidR="004A70F2" w:rsidRDefault="004A70F2">
      <w:pPr>
        <w:pStyle w:val="TDC1"/>
        <w:tabs>
          <w:tab w:val="right" w:leader="dot" w:pos="9019"/>
        </w:tabs>
        <w:rPr>
          <w:noProof/>
        </w:rPr>
      </w:pPr>
      <w:hyperlink w:anchor="_Toc242114434" w:history="1">
        <w:r w:rsidRPr="00062EE7">
          <w:rPr>
            <w:rStyle w:val="Hipervnculo"/>
            <w:noProof/>
          </w:rPr>
          <w:t>9. Individual conclusions — José Paillán</w:t>
        </w:r>
        <w:r>
          <w:rPr>
            <w:noProof/>
            <w:webHidden/>
          </w:rPr>
          <w:tab/>
        </w:r>
        <w:r>
          <w:rPr>
            <w:noProof/>
            <w:webHidden/>
          </w:rPr>
          <w:fldChar w:fldCharType="begin"/>
        </w:r>
        <w:r>
          <w:rPr>
            <w:noProof/>
            <w:webHidden/>
          </w:rPr>
          <w:instrText xml:space="preserve"> PAGEREF _Toc242114434 \h </w:instrText>
        </w:r>
        <w:r>
          <w:rPr>
            <w:noProof/>
            <w:webHidden/>
          </w:rPr>
        </w:r>
        <w:r>
          <w:rPr>
            <w:noProof/>
            <w:webHidden/>
          </w:rPr>
          <w:fldChar w:fldCharType="separate"/>
        </w:r>
        <w:r>
          <w:rPr>
            <w:noProof/>
            <w:webHidden/>
          </w:rPr>
          <w:t>10</w:t>
        </w:r>
        <w:r>
          <w:rPr>
            <w:noProof/>
            <w:webHidden/>
          </w:rPr>
          <w:fldChar w:fldCharType="end"/>
        </w:r>
      </w:hyperlink>
    </w:p>
    <w:p w:rsidR="004A70F2" w:rsidRDefault="004A70F2">
      <w:pPr>
        <w:pStyle w:val="TDC1"/>
        <w:tabs>
          <w:tab w:val="right" w:leader="dot" w:pos="9019"/>
        </w:tabs>
        <w:rPr>
          <w:noProof/>
        </w:rPr>
      </w:pPr>
      <w:hyperlink w:anchor="_Toc242114435" w:history="1">
        <w:r w:rsidRPr="00062EE7">
          <w:rPr>
            <w:rStyle w:val="Hipervnculo"/>
            <w:noProof/>
          </w:rPr>
          <w:t>10. Individual reflection — José Paillán</w:t>
        </w:r>
        <w:r>
          <w:rPr>
            <w:noProof/>
            <w:webHidden/>
          </w:rPr>
          <w:tab/>
        </w:r>
        <w:r>
          <w:rPr>
            <w:noProof/>
            <w:webHidden/>
          </w:rPr>
          <w:fldChar w:fldCharType="begin"/>
        </w:r>
        <w:r>
          <w:rPr>
            <w:noProof/>
            <w:webHidden/>
          </w:rPr>
          <w:instrText xml:space="preserve"> PAGEREF _Toc242114435 \h </w:instrText>
        </w:r>
        <w:r>
          <w:rPr>
            <w:noProof/>
            <w:webHidden/>
          </w:rPr>
        </w:r>
        <w:r>
          <w:rPr>
            <w:noProof/>
            <w:webHidden/>
          </w:rPr>
          <w:fldChar w:fldCharType="separate"/>
        </w:r>
        <w:r>
          <w:rPr>
            <w:noProof/>
            <w:webHidden/>
          </w:rPr>
          <w:t>11</w:t>
        </w:r>
        <w:r>
          <w:rPr>
            <w:noProof/>
            <w:webHidden/>
          </w:rPr>
          <w:fldChar w:fldCharType="end"/>
        </w:r>
      </w:hyperlink>
    </w:p>
    <w:p w:rsidR="004A70F2" w:rsidRDefault="004A70F2">
      <w:pPr>
        <w:pStyle w:val="TDC1"/>
        <w:tabs>
          <w:tab w:val="right" w:leader="dot" w:pos="9019"/>
        </w:tabs>
        <w:rPr>
          <w:noProof/>
        </w:rPr>
      </w:pPr>
      <w:hyperlink w:anchor="_Toc242114436" w:history="1">
        <w:r w:rsidRPr="00062EE7">
          <w:rPr>
            <w:rStyle w:val="Hipervnculo"/>
            <w:noProof/>
          </w:rPr>
          <w:t>11. Bibliografía</w:t>
        </w:r>
        <w:r>
          <w:rPr>
            <w:noProof/>
            <w:webHidden/>
          </w:rPr>
          <w:tab/>
        </w:r>
        <w:r>
          <w:rPr>
            <w:noProof/>
            <w:webHidden/>
          </w:rPr>
          <w:fldChar w:fldCharType="begin"/>
        </w:r>
        <w:r>
          <w:rPr>
            <w:noProof/>
            <w:webHidden/>
          </w:rPr>
          <w:instrText xml:space="preserve"> PAGEREF _Toc242114436 \h </w:instrText>
        </w:r>
        <w:r>
          <w:rPr>
            <w:noProof/>
            <w:webHidden/>
          </w:rPr>
        </w:r>
        <w:r>
          <w:rPr>
            <w:noProof/>
            <w:webHidden/>
          </w:rPr>
          <w:fldChar w:fldCharType="separate"/>
        </w:r>
        <w:r>
          <w:rPr>
            <w:noProof/>
            <w:webHidden/>
          </w:rPr>
          <w:t>12</w:t>
        </w:r>
        <w:r>
          <w:rPr>
            <w:noProof/>
            <w:webHidden/>
          </w:rPr>
          <w:fldChar w:fldCharType="end"/>
        </w:r>
      </w:hyperlink>
    </w:p>
    <w:p w:rsidR="0032306C" w:rsidRDefault="004C31FC">
      <w:pPr>
        <w:spacing w:after="0"/>
      </w:pPr>
      <w:r>
        <w:rPr>
          <w:sz w:val="20"/>
        </w:rPr>
        <w:fldChar w:fldCharType="end"/>
      </w:r>
    </w:p>
    <w:p w:rsidR="0032306C" w:rsidRDefault="004C31FC">
      <w:r>
        <w:br w:type="page"/>
      </w:r>
    </w:p>
    <w:p w:rsidR="0032306C" w:rsidRDefault="004C31FC">
      <w:pPr>
        <w:pStyle w:val="Ttulo"/>
      </w:pPr>
      <w:r>
        <w:lastRenderedPageBreak/>
        <w:t>NFC-FoodTech</w:t>
      </w:r>
    </w:p>
    <w:p w:rsidR="0032306C" w:rsidRDefault="004C31FC">
      <w:pPr>
        <w:pStyle w:val="Subttulo"/>
      </w:pPr>
      <w:r>
        <w:t>Informe de Avance — Fase 2</w:t>
      </w:r>
    </w:p>
    <w:p w:rsidR="0032306C" w:rsidRDefault="004C31FC">
      <w:r>
        <w:t>Asignatura: PTY4614 — Capstone</w:t>
      </w:r>
    </w:p>
    <w:p w:rsidR="0032306C" w:rsidRDefault="004C31FC">
      <w:r>
        <w:t>Carrera: Ingeniería en Informática</w:t>
      </w:r>
    </w:p>
    <w:p w:rsidR="0032306C" w:rsidRDefault="004C31FC">
      <w:r>
        <w:t>Sede: Concepción</w:t>
      </w:r>
    </w:p>
    <w:p w:rsidR="0032306C" w:rsidRDefault="0032306C"/>
    <w:p w:rsidR="0032306C" w:rsidRDefault="004C31FC">
      <w:r>
        <w:t>Integrantes:</w:t>
      </w:r>
    </w:p>
    <w:p w:rsidR="0032306C" w:rsidRDefault="004C31FC">
      <w:r>
        <w:t>Rodrigo Casanova — 21.504.324-K</w:t>
      </w:r>
    </w:p>
    <w:p w:rsidR="0032306C" w:rsidRDefault="004C31FC">
      <w:r>
        <w:t>Samuel Acuña — 20.087.673-3</w:t>
      </w:r>
    </w:p>
    <w:p w:rsidR="0032306C" w:rsidRDefault="004C31FC">
      <w:r>
        <w:t>José Paillán — 19.157.502-4</w:t>
      </w:r>
    </w:p>
    <w:p w:rsidR="0032306C" w:rsidRDefault="0032306C"/>
    <w:p w:rsidR="0032306C" w:rsidRDefault="004C31FC">
      <w:r>
        <w:t>Fecha: octubre de 2026</w:t>
      </w:r>
    </w:p>
    <w:p w:rsidR="0032306C" w:rsidRDefault="004C31FC">
      <w:pPr>
        <w:pStyle w:val="Ttulo1"/>
        <w:pBdr>
          <w:bottom w:val="single" w:sz="6" w:space="4" w:color="AFC5B8"/>
        </w:pBdr>
      </w:pPr>
      <w:bookmarkStart w:id="0" w:name="_Toc242114417"/>
      <w:r>
        <w:t>Abstract</w:t>
      </w:r>
      <w:bookmarkEnd w:id="0"/>
    </w:p>
    <w:p w:rsidR="0032306C" w:rsidRDefault="004C31FC">
      <w:pPr>
        <w:pBdr>
          <w:left w:val="single" w:sz="18" w:space="10" w:color="2D6A4F"/>
        </w:pBdr>
        <w:shd w:val="clear" w:color="auto" w:fill="F4F8F5"/>
        <w:spacing w:after="140"/>
        <w:ind w:left="283" w:right="113"/>
      </w:pPr>
      <w:r>
        <w:rPr>
          <w:sz w:val="21"/>
        </w:rPr>
        <w:t>NFC-FoodTech is a mobile application that helps households manage the food they already have and reduce how much of it they end up throwing away. This report describes the state of the project at the end of Phase 2, which covered requirements analysis, dat</w:t>
      </w:r>
      <w:r>
        <w:rPr>
          <w:sz w:val="21"/>
        </w:rPr>
        <w:t>a modelling, system architecture and test planning. The project follows a waterfall methodology: analysis preceded design, and design preceded construction.</w:t>
      </w:r>
    </w:p>
    <w:p w:rsidR="0032306C" w:rsidRDefault="004C31FC">
      <w:pPr>
        <w:pBdr>
          <w:left w:val="single" w:sz="18" w:space="10" w:color="2D6A4F"/>
        </w:pBdr>
        <w:shd w:val="clear" w:color="auto" w:fill="F4F8F5"/>
        <w:spacing w:after="140"/>
        <w:ind w:left="283" w:right="113"/>
      </w:pPr>
      <w:r>
        <w:rPr>
          <w:sz w:val="21"/>
        </w:rPr>
        <w:t>The committed scope is governed by a requirements spreadsheet containing 131 numbered requirements,</w:t>
      </w:r>
      <w:r>
        <w:rPr>
          <w:sz w:val="21"/>
        </w:rPr>
        <w:t xml:space="preserve"> of which 116 are accepted and 15 are rejected. The data model is implemented in Supabase on PostgreSQL 17.6 and consists of 25 tables and 125 declared constraints, applied through 14 versioned migrations. The architecture relies on a managed data platform</w:t>
      </w:r>
      <w:r>
        <w:rPr>
          <w:sz w:val="21"/>
        </w:rPr>
        <w:t>: the mobile application talks directly to Supabase, and the isolation between households is enforced inside the database engine through Row Level Security rather than in the application layer.</w:t>
      </w:r>
    </w:p>
    <w:p w:rsidR="0032306C" w:rsidRDefault="004C31FC">
      <w:pPr>
        <w:pBdr>
          <w:left w:val="single" w:sz="18" w:space="10" w:color="2D6A4F"/>
        </w:pBdr>
        <w:shd w:val="clear" w:color="auto" w:fill="F4F8F5"/>
        <w:spacing w:after="140"/>
        <w:ind w:left="283" w:right="113"/>
      </w:pPr>
      <w:r>
        <w:rPr>
          <w:sz w:val="21"/>
        </w:rPr>
        <w:t>Two sets of automated tests were executed against the data mod</w:t>
      </w:r>
      <w:r>
        <w:rPr>
          <w:sz w:val="21"/>
        </w:rPr>
        <w:t>el: 23 isolation tests and 15 constraint tests, all of which passed. Four of those constraint tests are nevertheless inconclusive, because they accept any engine error instead of only the expected one, so they must be rewritten. The Row Level Security poli</w:t>
      </w:r>
      <w:r>
        <w:rPr>
          <w:sz w:val="21"/>
        </w:rPr>
        <w:t>cies have been written and verified against the 23-test contract, but they have not yet been applied to the Supabase project. Until that happens, the application cannot read or write data end to end, and that is the main dependency carried into the next ph</w:t>
      </w:r>
      <w:r>
        <w:rPr>
          <w:sz w:val="21"/>
        </w:rPr>
        <w:t>ase.</w:t>
      </w:r>
    </w:p>
    <w:p w:rsidR="0032306C" w:rsidRDefault="004C31FC">
      <w:pPr>
        <w:pBdr>
          <w:left w:val="single" w:sz="18" w:space="10" w:color="2D6A4F"/>
        </w:pBdr>
        <w:shd w:val="clear" w:color="auto" w:fill="F4F8F5"/>
        <w:spacing w:before="80"/>
        <w:ind w:left="283" w:right="113"/>
        <w:jc w:val="left"/>
      </w:pPr>
      <w:r>
        <w:rPr>
          <w:b/>
          <w:color w:val="2D6A4F"/>
          <w:sz w:val="20"/>
        </w:rPr>
        <w:t>Keywords:</w:t>
      </w:r>
      <w:r>
        <w:rPr>
          <w:i/>
          <w:color w:val="5B6B62"/>
          <w:sz w:val="20"/>
        </w:rPr>
        <w:t xml:space="preserve"> food waste, Row Level Security, PostgreSQL, Supabase, requirements engineering, waterfall methodology.</w:t>
      </w:r>
    </w:p>
    <w:p w:rsidR="0032306C" w:rsidRDefault="004C31FC">
      <w:pPr>
        <w:pStyle w:val="Ttulo1"/>
        <w:pBdr>
          <w:bottom w:val="single" w:sz="6" w:space="4" w:color="AFC5B8"/>
        </w:pBdr>
      </w:pPr>
      <w:bookmarkStart w:id="1" w:name="_Toc242114418"/>
      <w:r>
        <w:lastRenderedPageBreak/>
        <w:t>Resumen</w:t>
      </w:r>
      <w:bookmarkEnd w:id="1"/>
    </w:p>
    <w:p w:rsidR="0032306C" w:rsidRDefault="004C31FC">
      <w:pPr>
        <w:pBdr>
          <w:left w:val="single" w:sz="18" w:space="10" w:color="2D6A4F"/>
        </w:pBdr>
        <w:shd w:val="clear" w:color="auto" w:fill="F4F8F5"/>
        <w:spacing w:after="140"/>
        <w:ind w:left="283" w:right="113"/>
      </w:pPr>
      <w:r>
        <w:rPr>
          <w:sz w:val="21"/>
        </w:rPr>
        <w:t>NFC-FoodTech es una aplicación móvil que ayuda a los hogares a gestionar los alimentos que ya tienen y a reducir la cantidad que t</w:t>
      </w:r>
      <w:r>
        <w:rPr>
          <w:sz w:val="21"/>
        </w:rPr>
        <w:t>erminan desechando. Este informe da cuenta del estado del proyecto al cierre de la Fase 2, que comprender el análisis de requerimientos, el modelado de datos, la arquitectura del sistema y la planificación de las pruebas. El proyecto se desarrolla con meto</w:t>
      </w:r>
      <w:r>
        <w:rPr>
          <w:sz w:val="21"/>
        </w:rPr>
        <w:t>dología Cascada: el análisis precedió al diseño, y el diseño precedió a la construcción.</w:t>
      </w:r>
    </w:p>
    <w:p w:rsidR="0032306C" w:rsidRDefault="004C31FC">
      <w:pPr>
        <w:pBdr>
          <w:left w:val="single" w:sz="18" w:space="10" w:color="2D6A4F"/>
        </w:pBdr>
        <w:shd w:val="clear" w:color="auto" w:fill="F4F8F5"/>
        <w:spacing w:after="140"/>
        <w:ind w:left="283" w:right="113"/>
      </w:pPr>
      <w:r>
        <w:rPr>
          <w:sz w:val="21"/>
        </w:rPr>
        <w:t>El alcance comprometido se rige por una Planilla de requerimientos con 131 requerimientos numerados, de los cuales 116 están aceptados y 15 rechazados. El modelo de da</w:t>
      </w:r>
      <w:r>
        <w:rPr>
          <w:sz w:val="21"/>
        </w:rPr>
        <w:t>tos está implementado en Supabase sobre PostgreSQL 17.6 y consta de 25 tablas y 125 restricciones declaradas, aplicadas mediante 14 migraciones versionadas. La arquitectura se apoya en una plataforma de datos gestionada: la aplicación móvil se comunica dir</w:t>
      </w:r>
      <w:r>
        <w:rPr>
          <w:sz w:val="21"/>
        </w:rPr>
        <w:t>ectamente con Supabase, y el aislamiento entre hogares se impone dentro del motor de base de datos mediante Row Level Security, y no en la capa de aplicación.</w:t>
      </w:r>
    </w:p>
    <w:p w:rsidR="0032306C" w:rsidRDefault="004C31FC">
      <w:pPr>
        <w:pBdr>
          <w:left w:val="single" w:sz="18" w:space="10" w:color="2D6A4F"/>
        </w:pBdr>
        <w:shd w:val="clear" w:color="auto" w:fill="F4F8F5"/>
        <w:spacing w:after="140"/>
        <w:ind w:left="283" w:right="113"/>
      </w:pPr>
      <w:r>
        <w:rPr>
          <w:sz w:val="21"/>
        </w:rPr>
        <w:t>Se ejecutaron dos conjuntos de pruebas automatizadas sobre el modelo de datos: 23 pruebas de aislamiento y 15 de restricciones, todas aprobadas. Cuatro de esas pruebas de restricciones son, no obstante, no concluyentes, porque aceptan cualquier error del m</w:t>
      </w:r>
      <w:r>
        <w:rPr>
          <w:sz w:val="21"/>
        </w:rPr>
        <w:t>otor en lugar de solo el esperado, y deben rehacerse. Las políticas de Row Level Security están escritas y verificadas contra el contrato de 23 pruebas, pero todavía no se aplican al proyecto de Supabase. Hasta que eso ocurra, la aplicación no puede leer n</w:t>
      </w:r>
      <w:r>
        <w:rPr>
          <w:sz w:val="21"/>
        </w:rPr>
        <w:t>i escribir datos de punta a punta, y esa es la dependencia principal que se arrastra a la fase siguiente.</w:t>
      </w:r>
    </w:p>
    <w:p w:rsidR="0032306C" w:rsidRDefault="004C31FC">
      <w:pPr>
        <w:pBdr>
          <w:left w:val="single" w:sz="18" w:space="10" w:color="2D6A4F"/>
        </w:pBdr>
        <w:shd w:val="clear" w:color="auto" w:fill="F4F8F5"/>
        <w:spacing w:before="80"/>
        <w:ind w:left="283" w:right="113"/>
        <w:jc w:val="left"/>
      </w:pPr>
      <w:r>
        <w:rPr>
          <w:b/>
          <w:color w:val="2D6A4F"/>
          <w:sz w:val="20"/>
        </w:rPr>
        <w:t>Palabras clave:</w:t>
      </w:r>
      <w:r>
        <w:rPr>
          <w:i/>
          <w:color w:val="5B6B62"/>
          <w:sz w:val="20"/>
        </w:rPr>
        <w:t xml:space="preserve"> desperdicio de alimentos, Row Level Security, PostgreSQL, Supabase, ingeniería de requerimientos, metodología Cascada.</w:t>
      </w:r>
    </w:p>
    <w:p w:rsidR="0032306C" w:rsidRDefault="004C31FC">
      <w:pPr>
        <w:pStyle w:val="Ttulo1"/>
        <w:pBdr>
          <w:bottom w:val="single" w:sz="6" w:space="4" w:color="AFC5B8"/>
        </w:pBdr>
      </w:pPr>
      <w:bookmarkStart w:id="2" w:name="_Toc242114419"/>
      <w:r>
        <w:t>1. Introducción</w:t>
      </w:r>
      <w:bookmarkEnd w:id="2"/>
    </w:p>
    <w:p w:rsidR="0032306C" w:rsidRDefault="004C31FC">
      <w:r>
        <w:t>Este informe da cuenta del avance del Proyecto APT NFC-FoodTech al cierre de la Fase 2 de la asignatura Capstone. La Fase 1 definió la propuesta, sus objetivos y su alcance. Esta fase corresponde al diseño de la solución y a la construcción de su base téc</w:t>
      </w:r>
      <w:r>
        <w:t>nica: el modelo de datos, la arquitectura, la especificación de requerimientos y el plan de pruebas. El desarrollo de la aplicación está planificado para la Fase 3, de acuerdo con la metodología Cascada que el proyecto adoptó.</w:t>
      </w:r>
    </w:p>
    <w:p w:rsidR="0032306C" w:rsidRDefault="004C31FC">
      <w:r>
        <w:t>NFC-FoodTech es una aplicació</w:t>
      </w:r>
      <w:r>
        <w:t>n móvil para que los hogares gestionen los alimentos que poseen y reduzcan la cantidad que terminan desechando. El sistema mantiene el inventario de despensa, refrigerador y congelador, estima la duración de cada alimento a partir de una vida útil referenc</w:t>
      </w:r>
      <w:r>
        <w:t>ial por categoría, emite alertas antes del vencimiento, registra los descartes con su causa y su costo, y sugiere cantidades de compra a partir del historial del propio hogar.</w:t>
      </w:r>
    </w:p>
    <w:p w:rsidR="0032306C" w:rsidRDefault="004C31FC">
      <w:r>
        <w:t>El informe se redacta con un criterio explícito: distinguir lo que está aplicado</w:t>
      </w:r>
      <w:r>
        <w:t xml:space="preserve"> en el entorno real de lo que está escrito en el repositorio del equipo. Esa distinción es la diferencia entre un avance verificable y una declaración de intenciones, y la comisión puede comprobarla abriendo el proyecto.</w:t>
      </w:r>
    </w:p>
    <w:p w:rsidR="0032306C" w:rsidRDefault="004C31FC">
      <w:r>
        <w:lastRenderedPageBreak/>
        <w:t>El proyecto se desarrolla con metod</w:t>
      </w:r>
      <w:r>
        <w:t>ología Cascada. El levantamiento y análisis de requerimientos precedió al diseño, el diseño precedió a la construcción, y las pruebas se ejecutan sobre lo construido. Esta fase corresponde a las etapas de diseño y construcción.</w:t>
      </w:r>
    </w:p>
    <w:p w:rsidR="0032306C" w:rsidRDefault="004C31FC">
      <w:pPr>
        <w:pStyle w:val="Ttulo1"/>
        <w:pBdr>
          <w:bottom w:val="single" w:sz="6" w:space="4" w:color="AFC5B8"/>
        </w:pBdr>
      </w:pPr>
      <w:bookmarkStart w:id="3" w:name="_Toc242114420"/>
      <w:r>
        <w:t>2. Desarrollo de ingeniería</w:t>
      </w:r>
      <w:bookmarkEnd w:id="3"/>
    </w:p>
    <w:p w:rsidR="0032306C" w:rsidRDefault="004C31FC">
      <w:pPr>
        <w:pStyle w:val="Ttulo2"/>
      </w:pPr>
      <w:bookmarkStart w:id="4" w:name="_Toc242114421"/>
      <w:r>
        <w:t>2.1 Alcance comprometido y requerimientos</w:t>
      </w:r>
      <w:bookmarkEnd w:id="4"/>
    </w:p>
    <w:p w:rsidR="0032306C" w:rsidRDefault="004C31FC">
      <w:r>
        <w:t>El proyecto se rige por una Planilla de requerimientos con 131 requerimientos numerados del 1 al 131: los números 1 a 107 son funcionales y los 108 a 131 no funcionales. De ellos, 116 están aceptados y 15 rechazado</w:t>
      </w:r>
      <w:r>
        <w:t>s.</w:t>
      </w:r>
    </w:p>
    <w:p w:rsidR="0032306C" w:rsidRDefault="004C31FC">
      <w:r>
        <w:t>Los 15 rechazados, junto con los dos requerimientos que la Planilla retiró de su numeración, quedaron fuera del alcance por razones de factibilidad dentro del semestre o por depender de insumos que el equipo no puede construir. Los más significativos so</w:t>
      </w:r>
      <w:r>
        <w:t xml:space="preserve">n el registro mediante lectura de código de barras, descartado porque exigía un catálogo de productos envasados que el equipo no puede mantener; las tres funcionalidades de recetas, que dependían de un recetario externo; y la operación sin conexión con su </w:t>
      </w:r>
      <w:r>
        <w:t>resolución de conflictos, que la Planilla retiró de su numeración porque exigen control de versiones por fila que el modelo no incorpora, y cuyo agregado obligaría a rediseñar lo ya construido. El detalle completo, con el motivo de cada descarte, está en e</w:t>
      </w:r>
      <w:r>
        <w:t>l apartado 4 de la Especificación de Requerimientos.</w:t>
      </w:r>
    </w:p>
    <w:p w:rsidR="0032306C" w:rsidRDefault="004C31FC">
      <w:r>
        <w:t xml:space="preserve">La consecuencia de mayor peso sobre el diseño fue el cambio en el catálogo: al quedar descartada la lectura de código de barras, el catálogo dejó de ser de productos envasados con código y pasó a ser un </w:t>
      </w:r>
      <w:r>
        <w:t>catálogo de alimentos genéricos, al que cada hogar puede agregar los suyos y proponerlos al catálogo global. Eso reestructuró el modelo de datos.</w:t>
      </w:r>
    </w:p>
    <w:p w:rsidR="0032306C" w:rsidRDefault="004C31FC">
      <w:pPr>
        <w:pStyle w:val="Ttulo2"/>
      </w:pPr>
      <w:bookmarkStart w:id="5" w:name="_Toc242114422"/>
      <w:r>
        <w:t>2.2 Modelo de datos</w:t>
      </w:r>
      <w:bookmarkEnd w:id="5"/>
    </w:p>
    <w:p w:rsidR="0032306C" w:rsidRDefault="004C31FC">
      <w:r>
        <w:t>El modelo está implementado en Supabase sobre PostgreSQL 17.6, con 25 tablas en el esquema</w:t>
      </w:r>
      <w:r>
        <w:t xml:space="preserve"> público y 125 restricciones declaradas: 25 claves primarias, 45 foráneas, 44 verificaciones y 11 de unicidad. Se aplicó mediante 14 migraciones versionadas y nombradas por módulo, lo que permite reconstruir la base desde cero y rastrear cuándo entró cada </w:t>
      </w:r>
      <w:r>
        <w:t>cambio.</w:t>
      </w:r>
    </w:p>
    <w:p w:rsidR="0032306C" w:rsidRDefault="004C31FC">
      <w:r>
        <w:t xml:space="preserve">Las decisiones de diseño que sostienen el modelo son tres. Primero, las reglas del dominio se expresan como restricciones del motor y no como validaciones de la aplicación: un dato inconsistente no </w:t>
      </w:r>
      <w:r w:rsidR="004A70F2">
        <w:t>entra,</w:t>
      </w:r>
      <w:r>
        <w:t xml:space="preserve"> a</w:t>
      </w:r>
      <w:bookmarkStart w:id="6" w:name="_GoBack"/>
      <w:bookmarkEnd w:id="6"/>
      <w:r>
        <w:t>unque el cliente falle. Segundo, los conjun</w:t>
      </w:r>
      <w:r>
        <w:t>tos de valores fijos (estados, ubicaciones, unidades) se implementan con restricciones de verificación y no con tablas de apoyo, de modo que leer un estado no obliga a un join. Tercero, el dinero se guarda como entero en pesos chilenos, sin decimales.</w:t>
      </w:r>
    </w:p>
    <w:p w:rsidR="0032306C" w:rsidRDefault="004C31FC">
      <w:r>
        <w:t>El m</w:t>
      </w:r>
      <w:r>
        <w:t>odelo está documentado tabla por tabla y columna por columna en el Diccionario de datos, que cubre las 25 tablas y sus 181 columnas.</w:t>
      </w:r>
    </w:p>
    <w:p w:rsidR="0032306C" w:rsidRDefault="004C31FC">
      <w:pPr>
        <w:pStyle w:val="Ttulo2"/>
      </w:pPr>
      <w:bookmarkStart w:id="7" w:name="_Toc242114423"/>
      <w:r>
        <w:lastRenderedPageBreak/>
        <w:t>2.3 Arquitectura de la solución</w:t>
      </w:r>
      <w:bookmarkEnd w:id="7"/>
    </w:p>
    <w:p w:rsidR="0032306C" w:rsidRDefault="004C31FC">
      <w:r>
        <w:t xml:space="preserve">La arquitectura se apoya en una plataforma de datos gestionada, Supabase, donde residen el </w:t>
      </w:r>
      <w:r>
        <w:t>modelo relacional, la autenticación y el control de acceso. La aplicación móvil consume directamente su API usando la clave publicable y el token de sesión del usuario, sin un intermediario propio. Un servicio en FastAPI sobre Docker queda reservado para l</w:t>
      </w:r>
      <w:r>
        <w:t>o que la plataforma no resuelve: el despacho de notificaciones push y las tareas programadas.</w:t>
      </w:r>
    </w:p>
    <w:p w:rsidR="0032306C" w:rsidRDefault="004C31FC">
      <w:r>
        <w:t>La decisión central es dónde vive la seguridad. En lugar de confiar el aislamiento entre hogares a la capa de aplicación, se implementa en el motor de base de dat</w:t>
      </w:r>
      <w:r>
        <w:t>os. Un error de programación en el cliente no puede exponer los datos de otro hogar, porque la restricción se evalúa dentro del motor en cada consulta.</w:t>
      </w:r>
    </w:p>
    <w:p w:rsidR="0032306C" w:rsidRDefault="004C31FC">
      <w:r>
        <w:t>El detalle está en el Informe de Arquitectura, versión 4.</w:t>
      </w:r>
    </w:p>
    <w:p w:rsidR="0032306C" w:rsidRDefault="004C31FC">
      <w:pPr>
        <w:pStyle w:val="Ttulo2"/>
      </w:pPr>
      <w:bookmarkStart w:id="8" w:name="_Toc242114424"/>
      <w:r>
        <w:t>2.4 Seguridad y protección de datos</w:t>
      </w:r>
      <w:bookmarkEnd w:id="8"/>
    </w:p>
    <w:p w:rsidR="0032306C" w:rsidRDefault="004C31FC">
      <w:r>
        <w:t xml:space="preserve">El </w:t>
      </w:r>
      <w:r>
        <w:t>aislamiento entre hogares (RNF114) se implementa con Row Level Security. Row Level Security está habilitado en las 25 tablas y las políticas están escritas: 32 políticas que cubren 18 de las 25 tablas, apoyadas en funciones auxiliares declaradas SECURITY D</w:t>
      </w:r>
      <w:r>
        <w:t>EFINER con search_path fijo, que es la defensa correcta contra la captura de esquema.</w:t>
      </w:r>
    </w:p>
    <w:p w:rsidR="0032306C" w:rsidRDefault="004C31FC">
      <w:r>
        <w:t>Esas políticas todavía no se aplican al proyecto de Supabase, y su aplicación está supeditada a la aprobación del modelo de datos. Si la revisión docente pide cambios est</w:t>
      </w:r>
      <w:r>
        <w:t>ructurales, las políticas deben rehacerse sobre el modelo corregido; aplicarlas antes significaría trabajo que habría que deshacer. Es una dependencia de orden y así se consigna en el apartado 6.</w:t>
      </w:r>
    </w:p>
    <w:p w:rsidR="0032306C" w:rsidRDefault="004C31FC">
      <w:r>
        <w:t>Sobre la Ley 21.719, que entra en vigencia en diciembre de 2</w:t>
      </w:r>
      <w:r>
        <w:t>026: el aislamiento por hogar es una medida técnica que contribuye al cumplimiento, pero no lo agota. El cumplimiento exige además bases de licitud, información al titular y atención de sus derechos, que son materia del tratamiento de datos y no de la arqu</w:t>
      </w:r>
      <w:r>
        <w:t>itectura.</w:t>
      </w:r>
    </w:p>
    <w:p w:rsidR="0032306C" w:rsidRDefault="004C31FC">
      <w:pPr>
        <w:pStyle w:val="Ttulo2"/>
      </w:pPr>
      <w:bookmarkStart w:id="9" w:name="_Toc242114425"/>
      <w:r>
        <w:t>2.5 Pruebas</w:t>
      </w:r>
      <w:bookmarkEnd w:id="9"/>
    </w:p>
    <w:p w:rsidR="0032306C" w:rsidRDefault="004C31FC">
      <w:r>
        <w:t>Se ejecutaron dos conjuntos de pruebas automatizadas sobre el modelo, en un entorno PostgreSQL local equivalente al de Supabase.</w:t>
      </w:r>
    </w:p>
    <w:p w:rsidR="0032306C" w:rsidRDefault="004C31FC">
      <w:r>
        <w:t xml:space="preserve">El contrato de aislamiento por hogar son 23 casos que verifican que un miembro de un hogar no pueda leer </w:t>
      </w:r>
      <w:r>
        <w:t>ni escribir datos de otro, y que un perfil incompleto no pueda operar. Resultado: 23 de 23 aprobados.</w:t>
      </w:r>
    </w:p>
    <w:p w:rsidR="0032306C" w:rsidRDefault="004C31FC">
      <w:r>
        <w:t xml:space="preserve">Las pruebas de restricciones del modelo son 15 casos que verifican que las restricciones rechacen los datos inválidos. Resultado: 15 de 15 aprobados, con </w:t>
      </w:r>
      <w:r>
        <w:t>una salvedad que el equipo declara por rigor: 4 de esos casos dan por aprobado cualquier error del motor y no solo el esperado, de modo que su resultado no es concluyente y deben rehacerse.</w:t>
      </w:r>
    </w:p>
    <w:p w:rsidR="0032306C" w:rsidRDefault="004C31FC">
      <w:r>
        <w:lastRenderedPageBreak/>
        <w:t>El plan de pruebas y la planilla de 107 casos de prueba funcionale</w:t>
      </w:r>
      <w:r>
        <w:t>s están elaborados. No se han ejecutado contra el sistema completo porque la aplicación aún no opera de punta a punta.</w:t>
      </w:r>
    </w:p>
    <w:p w:rsidR="0032306C" w:rsidRDefault="004C31FC">
      <w:pPr>
        <w:pStyle w:val="Ttulo2"/>
      </w:pPr>
      <w:bookmarkStart w:id="10" w:name="_Toc242114426"/>
      <w:r>
        <w:t>2.6 Autenticación</w:t>
      </w:r>
      <w:bookmarkEnd w:id="10"/>
    </w:p>
    <w:p w:rsidR="0032306C" w:rsidRDefault="004C31FC">
      <w:r>
        <w:t xml:space="preserve">La autenticación se resuelve con Supabase Auth. Está implementado y probado el inicio de sesión con correo y el inicio </w:t>
      </w:r>
      <w:r>
        <w:t>de sesión con proveedor externo mediante Google (RF04), verificado contra el proyecto real. La autenticación reforzada de administradores (RF81) utilizará el soporte de MFA por contraseña temporal que Supabase Auth trae incorporado, y se construirá junto c</w:t>
      </w:r>
      <w:r>
        <w:t>on el portal administrativo.</w:t>
      </w:r>
    </w:p>
    <w:p w:rsidR="0032306C" w:rsidRDefault="004C31FC">
      <w:r>
        <w:t>Un ajuste pendiente: el disparador que crea el perfil al registrarse un usuario lee el nombre de una clave que el proveedor externo no entrega, de modo que un usuario que entra con Google obtiene un perfil sin nombre. Se corrig</w:t>
      </w:r>
      <w:r>
        <w:t>e con una migración menor, que queda a la espera de la aprobación del modelo.</w:t>
      </w:r>
    </w:p>
    <w:p w:rsidR="0032306C" w:rsidRDefault="004C31FC">
      <w:pPr>
        <w:pStyle w:val="Ttulo2"/>
      </w:pPr>
      <w:bookmarkStart w:id="11" w:name="_Toc242114427"/>
      <w:r>
        <w:t>2.7 Estado de la aplicación móvil</w:t>
      </w:r>
      <w:bookmarkEnd w:id="11"/>
    </w:p>
    <w:p w:rsidR="0032306C" w:rsidRDefault="004C31FC">
      <w:r>
        <w:t>El desarrollo de la aplicación corresponde a la Fase 3. A la fecha existe una base de proyecto en Flutter para Android con el inicio de sesión f</w:t>
      </w:r>
      <w:r>
        <w:t>uncionando, construida para validar la integración con Supabase Auth.</w:t>
      </w:r>
    </w:p>
    <w:p w:rsidR="0032306C" w:rsidRDefault="004C31FC">
      <w:pPr>
        <w:pStyle w:val="Ttulo1"/>
        <w:pBdr>
          <w:bottom w:val="single" w:sz="6" w:space="4" w:color="AFC5B8"/>
        </w:pBdr>
      </w:pPr>
      <w:bookmarkStart w:id="12" w:name="_Toc242114428"/>
      <w:r>
        <w:t>3. Estado de avance por evidencia comprometida</w:t>
      </w:r>
      <w:bookmarkEnd w:id="12"/>
    </w:p>
    <w:p w:rsidR="0032306C" w:rsidRDefault="004C31FC">
      <w:r>
        <w:t xml:space="preserve">La Guía de la Fase 1 comprometió un conjunto de evidencias para el informe de avance. La tabla declara el estado real de cada una, </w:t>
      </w:r>
      <w:r>
        <w:t>distinguiendo lo aplicado en el entorno real de lo escrito en el repositorio.</w:t>
      </w:r>
    </w:p>
    <w:tbl>
      <w:tblPr>
        <w:tblStyle w:val="TableNormal"/>
        <w:tblW w:w="0" w:type="auto"/>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880"/>
        <w:gridCol w:w="1440"/>
        <w:gridCol w:w="4680"/>
      </w:tblGrid>
      <w:tr w:rsidR="0032306C">
        <w:trPr>
          <w:tblHeader/>
          <w:jc w:val="center"/>
        </w:trPr>
        <w:tc>
          <w:tcPr>
            <w:tcW w:w="2880" w:type="dxa"/>
            <w:shd w:val="clear" w:color="auto" w:fill="1F4D38"/>
          </w:tcPr>
          <w:p w:rsidR="0032306C" w:rsidRDefault="004C31FC">
            <w:pPr>
              <w:spacing w:before="80" w:after="80" w:line="240" w:lineRule="auto"/>
              <w:jc w:val="left"/>
            </w:pPr>
            <w:r>
              <w:rPr>
                <w:b/>
                <w:color w:val="FFFFFF"/>
                <w:sz w:val="19"/>
              </w:rPr>
              <w:t>Evidencia comprometida</w:t>
            </w:r>
          </w:p>
        </w:tc>
        <w:tc>
          <w:tcPr>
            <w:tcW w:w="1440" w:type="dxa"/>
            <w:shd w:val="clear" w:color="auto" w:fill="1F4D38"/>
          </w:tcPr>
          <w:p w:rsidR="0032306C" w:rsidRDefault="004C31FC">
            <w:pPr>
              <w:spacing w:before="80" w:after="80" w:line="240" w:lineRule="auto"/>
              <w:jc w:val="left"/>
            </w:pPr>
            <w:r>
              <w:rPr>
                <w:b/>
                <w:color w:val="FFFFFF"/>
                <w:sz w:val="19"/>
              </w:rPr>
              <w:t>Estado</w:t>
            </w:r>
          </w:p>
        </w:tc>
        <w:tc>
          <w:tcPr>
            <w:tcW w:w="4680" w:type="dxa"/>
            <w:shd w:val="clear" w:color="auto" w:fill="1F4D38"/>
          </w:tcPr>
          <w:p w:rsidR="0032306C" w:rsidRDefault="004C31FC">
            <w:pPr>
              <w:spacing w:before="80" w:after="80" w:line="240" w:lineRule="auto"/>
              <w:jc w:val="left"/>
            </w:pPr>
            <w:r>
              <w:rPr>
                <w:b/>
                <w:color w:val="FFFFFF"/>
                <w:sz w:val="19"/>
              </w:rPr>
              <w:t>Observación</w:t>
            </w:r>
          </w:p>
        </w:tc>
      </w:tr>
      <w:tr w:rsidR="0032306C">
        <w:trPr>
          <w:jc w:val="center"/>
        </w:trPr>
        <w:tc>
          <w:tcPr>
            <w:tcW w:w="2880" w:type="dxa"/>
          </w:tcPr>
          <w:p w:rsidR="0032306C" w:rsidRDefault="004C31FC">
            <w:pPr>
              <w:spacing w:before="60" w:after="60" w:line="252" w:lineRule="auto"/>
              <w:jc w:val="left"/>
            </w:pPr>
            <w:r>
              <w:rPr>
                <w:sz w:val="18"/>
              </w:rPr>
              <w:t>Modelo de datos</w:t>
            </w:r>
          </w:p>
        </w:tc>
        <w:tc>
          <w:tcPr>
            <w:tcW w:w="1440" w:type="dxa"/>
          </w:tcPr>
          <w:p w:rsidR="0032306C" w:rsidRDefault="004C31FC">
            <w:pPr>
              <w:spacing w:before="60" w:after="60" w:line="252" w:lineRule="auto"/>
              <w:jc w:val="left"/>
            </w:pPr>
            <w:r>
              <w:rPr>
                <w:sz w:val="18"/>
              </w:rPr>
              <w:t>Entregado</w:t>
            </w:r>
          </w:p>
        </w:tc>
        <w:tc>
          <w:tcPr>
            <w:tcW w:w="4680" w:type="dxa"/>
          </w:tcPr>
          <w:p w:rsidR="0032306C" w:rsidRDefault="004C31FC">
            <w:pPr>
              <w:spacing w:before="60" w:after="60" w:line="252" w:lineRule="auto"/>
              <w:jc w:val="left"/>
            </w:pPr>
            <w:r>
              <w:rPr>
                <w:sz w:val="18"/>
              </w:rPr>
              <w:t>25 tablas y 125 restricciones aplicadas en Supabase, con 14 migraciones versionadas.</w:t>
            </w:r>
          </w:p>
        </w:tc>
      </w:tr>
      <w:tr w:rsidR="0032306C">
        <w:trPr>
          <w:jc w:val="center"/>
        </w:trPr>
        <w:tc>
          <w:tcPr>
            <w:tcW w:w="2880" w:type="dxa"/>
            <w:shd w:val="clear" w:color="auto" w:fill="F4F8F5"/>
          </w:tcPr>
          <w:p w:rsidR="0032306C" w:rsidRDefault="004C31FC">
            <w:pPr>
              <w:spacing w:before="60" w:after="60" w:line="252" w:lineRule="auto"/>
              <w:jc w:val="left"/>
            </w:pPr>
            <w:r>
              <w:rPr>
                <w:sz w:val="18"/>
              </w:rPr>
              <w:t>Diccionario de datos</w:t>
            </w:r>
          </w:p>
        </w:tc>
        <w:tc>
          <w:tcPr>
            <w:tcW w:w="1440" w:type="dxa"/>
            <w:shd w:val="clear" w:color="auto" w:fill="F4F8F5"/>
          </w:tcPr>
          <w:p w:rsidR="0032306C" w:rsidRDefault="004C31FC">
            <w:pPr>
              <w:spacing w:before="60" w:after="60" w:line="252" w:lineRule="auto"/>
              <w:jc w:val="left"/>
            </w:pPr>
            <w:r>
              <w:rPr>
                <w:sz w:val="18"/>
              </w:rPr>
              <w:t>Entregado</w:t>
            </w:r>
          </w:p>
        </w:tc>
        <w:tc>
          <w:tcPr>
            <w:tcW w:w="4680" w:type="dxa"/>
            <w:shd w:val="clear" w:color="auto" w:fill="F4F8F5"/>
          </w:tcPr>
          <w:p w:rsidR="0032306C" w:rsidRDefault="004C31FC">
            <w:pPr>
              <w:spacing w:before="60" w:after="60" w:line="252" w:lineRule="auto"/>
              <w:jc w:val="left"/>
            </w:pPr>
            <w:r>
              <w:rPr>
                <w:sz w:val="18"/>
              </w:rPr>
              <w:t>25 tablas y 181 columnas documentadas.</w:t>
            </w:r>
          </w:p>
        </w:tc>
      </w:tr>
      <w:tr w:rsidR="0032306C">
        <w:trPr>
          <w:jc w:val="center"/>
        </w:trPr>
        <w:tc>
          <w:tcPr>
            <w:tcW w:w="2880" w:type="dxa"/>
          </w:tcPr>
          <w:p w:rsidR="0032306C" w:rsidRDefault="004C31FC">
            <w:pPr>
              <w:spacing w:before="60" w:after="60" w:line="252" w:lineRule="auto"/>
              <w:jc w:val="left"/>
            </w:pPr>
            <w:r>
              <w:rPr>
                <w:sz w:val="18"/>
              </w:rPr>
              <w:t>Arquitectura</w:t>
            </w:r>
          </w:p>
        </w:tc>
        <w:tc>
          <w:tcPr>
            <w:tcW w:w="1440" w:type="dxa"/>
          </w:tcPr>
          <w:p w:rsidR="0032306C" w:rsidRDefault="004C31FC">
            <w:pPr>
              <w:spacing w:before="60" w:after="60" w:line="252" w:lineRule="auto"/>
              <w:jc w:val="left"/>
            </w:pPr>
            <w:r>
              <w:rPr>
                <w:sz w:val="18"/>
              </w:rPr>
              <w:t>Entregado</w:t>
            </w:r>
          </w:p>
        </w:tc>
        <w:tc>
          <w:tcPr>
            <w:tcW w:w="4680" w:type="dxa"/>
          </w:tcPr>
          <w:p w:rsidR="0032306C" w:rsidRDefault="004C31FC">
            <w:pPr>
              <w:spacing w:before="60" w:after="60" w:line="252" w:lineRule="auto"/>
              <w:jc w:val="left"/>
            </w:pPr>
            <w:r>
              <w:rPr>
                <w:sz w:val="18"/>
              </w:rPr>
              <w:t xml:space="preserve">Informe de arquitectura versión 4, con el diagrama redibujado en la misma versión: cada componente aparece con su estado, de modo que se distinga lo aplicado en el entorno real de lo </w:t>
            </w:r>
            <w:r>
              <w:rPr>
                <w:sz w:val="18"/>
              </w:rPr>
              <w:t>escrito en el repositorio.</w:t>
            </w:r>
          </w:p>
        </w:tc>
      </w:tr>
      <w:tr w:rsidR="0032306C">
        <w:trPr>
          <w:jc w:val="center"/>
        </w:trPr>
        <w:tc>
          <w:tcPr>
            <w:tcW w:w="2880" w:type="dxa"/>
            <w:shd w:val="clear" w:color="auto" w:fill="F4F8F5"/>
          </w:tcPr>
          <w:p w:rsidR="0032306C" w:rsidRDefault="004C31FC">
            <w:pPr>
              <w:spacing w:before="60" w:after="60" w:line="252" w:lineRule="auto"/>
              <w:jc w:val="left"/>
            </w:pPr>
            <w:r>
              <w:rPr>
                <w:sz w:val="18"/>
              </w:rPr>
              <w:t>Requerimientos (ERS)</w:t>
            </w:r>
          </w:p>
        </w:tc>
        <w:tc>
          <w:tcPr>
            <w:tcW w:w="1440" w:type="dxa"/>
            <w:shd w:val="clear" w:color="auto" w:fill="F4F8F5"/>
          </w:tcPr>
          <w:p w:rsidR="0032306C" w:rsidRDefault="004C31FC">
            <w:pPr>
              <w:spacing w:before="60" w:after="60" w:line="252" w:lineRule="auto"/>
              <w:jc w:val="left"/>
            </w:pPr>
            <w:r>
              <w:rPr>
                <w:sz w:val="18"/>
              </w:rPr>
              <w:t>Entregado</w:t>
            </w:r>
          </w:p>
        </w:tc>
        <w:tc>
          <w:tcPr>
            <w:tcW w:w="4680" w:type="dxa"/>
            <w:shd w:val="clear" w:color="auto" w:fill="F4F8F5"/>
          </w:tcPr>
          <w:p w:rsidR="0032306C" w:rsidRDefault="004C31FC">
            <w:pPr>
              <w:spacing w:before="60" w:after="60" w:line="252" w:lineRule="auto"/>
              <w:jc w:val="left"/>
            </w:pPr>
            <w:r>
              <w:rPr>
                <w:sz w:val="18"/>
              </w:rPr>
              <w:t>131 requerimientos, 116 aceptados y 15 rechazados.</w:t>
            </w:r>
          </w:p>
        </w:tc>
      </w:tr>
      <w:tr w:rsidR="0032306C">
        <w:trPr>
          <w:jc w:val="center"/>
        </w:trPr>
        <w:tc>
          <w:tcPr>
            <w:tcW w:w="2880" w:type="dxa"/>
          </w:tcPr>
          <w:p w:rsidR="0032306C" w:rsidRDefault="004C31FC">
            <w:pPr>
              <w:spacing w:before="60" w:after="60" w:line="252" w:lineRule="auto"/>
              <w:jc w:val="left"/>
            </w:pPr>
            <w:r>
              <w:rPr>
                <w:sz w:val="18"/>
              </w:rPr>
              <w:t>Plan de pruebas</w:t>
            </w:r>
          </w:p>
        </w:tc>
        <w:tc>
          <w:tcPr>
            <w:tcW w:w="1440" w:type="dxa"/>
          </w:tcPr>
          <w:p w:rsidR="0032306C" w:rsidRDefault="004C31FC">
            <w:pPr>
              <w:spacing w:before="60" w:after="60" w:line="252" w:lineRule="auto"/>
              <w:jc w:val="left"/>
            </w:pPr>
            <w:r>
              <w:rPr>
                <w:sz w:val="18"/>
              </w:rPr>
              <w:t>Entregado</w:t>
            </w:r>
          </w:p>
        </w:tc>
        <w:tc>
          <w:tcPr>
            <w:tcW w:w="4680" w:type="dxa"/>
          </w:tcPr>
          <w:p w:rsidR="0032306C" w:rsidRDefault="004C31FC">
            <w:pPr>
              <w:spacing w:before="60" w:after="60" w:line="252" w:lineRule="auto"/>
              <w:jc w:val="left"/>
            </w:pPr>
            <w:r>
              <w:rPr>
                <w:sz w:val="18"/>
              </w:rPr>
              <w:t>Plan y planilla de 107 casos funcionales.</w:t>
            </w:r>
          </w:p>
        </w:tc>
      </w:tr>
      <w:tr w:rsidR="0032306C">
        <w:trPr>
          <w:jc w:val="center"/>
        </w:trPr>
        <w:tc>
          <w:tcPr>
            <w:tcW w:w="2880" w:type="dxa"/>
            <w:shd w:val="clear" w:color="auto" w:fill="F4F8F5"/>
          </w:tcPr>
          <w:p w:rsidR="0032306C" w:rsidRDefault="004C31FC">
            <w:pPr>
              <w:spacing w:before="60" w:after="60" w:line="252" w:lineRule="auto"/>
              <w:jc w:val="left"/>
            </w:pPr>
            <w:r>
              <w:rPr>
                <w:sz w:val="18"/>
              </w:rPr>
              <w:t>Pruebas unitarias y de integración</w:t>
            </w:r>
          </w:p>
        </w:tc>
        <w:tc>
          <w:tcPr>
            <w:tcW w:w="1440" w:type="dxa"/>
            <w:shd w:val="clear" w:color="auto" w:fill="F4F8F5"/>
          </w:tcPr>
          <w:p w:rsidR="0032306C" w:rsidRDefault="004C31FC">
            <w:pPr>
              <w:spacing w:before="60" w:after="60" w:line="252" w:lineRule="auto"/>
              <w:jc w:val="left"/>
            </w:pPr>
            <w:r>
              <w:rPr>
                <w:sz w:val="18"/>
              </w:rPr>
              <w:t>Parcial</w:t>
            </w:r>
          </w:p>
        </w:tc>
        <w:tc>
          <w:tcPr>
            <w:tcW w:w="4680" w:type="dxa"/>
            <w:shd w:val="clear" w:color="auto" w:fill="F4F8F5"/>
          </w:tcPr>
          <w:p w:rsidR="0032306C" w:rsidRDefault="004C31FC">
            <w:pPr>
              <w:spacing w:before="60" w:after="60" w:line="252" w:lineRule="auto"/>
              <w:jc w:val="left"/>
            </w:pPr>
            <w:r>
              <w:rPr>
                <w:sz w:val="18"/>
              </w:rPr>
              <w:t>38 pruebas automatizadas sobre el</w:t>
            </w:r>
            <w:r>
              <w:rPr>
                <w:sz w:val="18"/>
              </w:rPr>
              <w:t xml:space="preserve"> modelo, en entorno local. Las pruebas sobre la aplicación corresponden a la Fase 3.</w:t>
            </w:r>
          </w:p>
        </w:tc>
      </w:tr>
      <w:tr w:rsidR="0032306C">
        <w:trPr>
          <w:jc w:val="center"/>
        </w:trPr>
        <w:tc>
          <w:tcPr>
            <w:tcW w:w="2880" w:type="dxa"/>
          </w:tcPr>
          <w:p w:rsidR="0032306C" w:rsidRDefault="004C31FC">
            <w:pPr>
              <w:spacing w:before="60" w:after="60" w:line="252" w:lineRule="auto"/>
              <w:jc w:val="left"/>
            </w:pPr>
            <w:r>
              <w:rPr>
                <w:sz w:val="18"/>
              </w:rPr>
              <w:lastRenderedPageBreak/>
              <w:t>Docker configurado</w:t>
            </w:r>
          </w:p>
        </w:tc>
        <w:tc>
          <w:tcPr>
            <w:tcW w:w="1440" w:type="dxa"/>
          </w:tcPr>
          <w:p w:rsidR="0032306C" w:rsidRDefault="004C31FC">
            <w:pPr>
              <w:spacing w:before="60" w:after="60" w:line="252" w:lineRule="auto"/>
              <w:jc w:val="left"/>
            </w:pPr>
            <w:r>
              <w:rPr>
                <w:sz w:val="18"/>
              </w:rPr>
              <w:t>Parcial</w:t>
            </w:r>
          </w:p>
        </w:tc>
        <w:tc>
          <w:tcPr>
            <w:tcW w:w="4680" w:type="dxa"/>
          </w:tcPr>
          <w:p w:rsidR="0032306C" w:rsidRDefault="004C31FC">
            <w:pPr>
              <w:spacing w:before="60" w:after="60" w:line="252" w:lineRule="auto"/>
              <w:jc w:val="left"/>
            </w:pPr>
            <w:r>
              <w:rPr>
                <w:sz w:val="18"/>
              </w:rPr>
              <w:t>El contenedor del servicio de integraciones levanta. Sin despliegue.</w:t>
            </w:r>
          </w:p>
        </w:tc>
      </w:tr>
      <w:tr w:rsidR="0032306C">
        <w:trPr>
          <w:jc w:val="center"/>
        </w:trPr>
        <w:tc>
          <w:tcPr>
            <w:tcW w:w="2880" w:type="dxa"/>
            <w:shd w:val="clear" w:color="auto" w:fill="F4F8F5"/>
          </w:tcPr>
          <w:p w:rsidR="0032306C" w:rsidRDefault="004C31FC">
            <w:pPr>
              <w:spacing w:before="60" w:after="60" w:line="252" w:lineRule="auto"/>
              <w:jc w:val="left"/>
            </w:pPr>
            <w:r>
              <w:rPr>
                <w:sz w:val="18"/>
              </w:rPr>
              <w:t>Diagramas UML</w:t>
            </w:r>
          </w:p>
        </w:tc>
        <w:tc>
          <w:tcPr>
            <w:tcW w:w="1440" w:type="dxa"/>
            <w:shd w:val="clear" w:color="auto" w:fill="F4F8F5"/>
          </w:tcPr>
          <w:p w:rsidR="0032306C" w:rsidRDefault="004C31FC">
            <w:pPr>
              <w:spacing w:before="60" w:after="60" w:line="252" w:lineRule="auto"/>
              <w:jc w:val="left"/>
            </w:pPr>
            <w:r>
              <w:rPr>
                <w:sz w:val="18"/>
              </w:rPr>
              <w:t>Entregado</w:t>
            </w:r>
          </w:p>
        </w:tc>
        <w:tc>
          <w:tcPr>
            <w:tcW w:w="4680" w:type="dxa"/>
            <w:shd w:val="clear" w:color="auto" w:fill="F4F8F5"/>
          </w:tcPr>
          <w:p w:rsidR="0032306C" w:rsidRDefault="004C31FC">
            <w:pPr>
              <w:spacing w:before="60" w:after="60" w:line="252" w:lineRule="auto"/>
              <w:jc w:val="left"/>
            </w:pPr>
            <w:r>
              <w:rPr>
                <w:sz w:val="18"/>
              </w:rPr>
              <w:t>Once diagramas de casos de uso.</w:t>
            </w:r>
          </w:p>
        </w:tc>
      </w:tr>
      <w:tr w:rsidR="0032306C">
        <w:trPr>
          <w:jc w:val="center"/>
        </w:trPr>
        <w:tc>
          <w:tcPr>
            <w:tcW w:w="2880" w:type="dxa"/>
          </w:tcPr>
          <w:p w:rsidR="0032306C" w:rsidRDefault="004C31FC">
            <w:pPr>
              <w:spacing w:before="60" w:after="60" w:line="252" w:lineRule="auto"/>
              <w:jc w:val="left"/>
            </w:pPr>
            <w:r>
              <w:rPr>
                <w:sz w:val="18"/>
              </w:rPr>
              <w:t xml:space="preserve">Requisitos no </w:t>
            </w:r>
            <w:r>
              <w:rPr>
                <w:sz w:val="18"/>
              </w:rPr>
              <w:t>funcionales</w:t>
            </w:r>
          </w:p>
        </w:tc>
        <w:tc>
          <w:tcPr>
            <w:tcW w:w="1440" w:type="dxa"/>
          </w:tcPr>
          <w:p w:rsidR="0032306C" w:rsidRDefault="004C31FC">
            <w:pPr>
              <w:spacing w:before="60" w:after="60" w:line="252" w:lineRule="auto"/>
              <w:jc w:val="left"/>
            </w:pPr>
            <w:r>
              <w:rPr>
                <w:sz w:val="18"/>
              </w:rPr>
              <w:t>Entregado</w:t>
            </w:r>
          </w:p>
        </w:tc>
        <w:tc>
          <w:tcPr>
            <w:tcW w:w="4680" w:type="dxa"/>
          </w:tcPr>
          <w:p w:rsidR="0032306C" w:rsidRDefault="004C31FC">
            <w:pPr>
              <w:spacing w:before="60" w:after="60" w:line="252" w:lineRule="auto"/>
              <w:jc w:val="left"/>
            </w:pPr>
            <w:r>
              <w:rPr>
                <w:sz w:val="18"/>
              </w:rPr>
              <w:t>24 requerimientos no funcionales especificados; tres declarados y no cumplidos.</w:t>
            </w:r>
          </w:p>
        </w:tc>
      </w:tr>
      <w:tr w:rsidR="0032306C">
        <w:trPr>
          <w:jc w:val="center"/>
        </w:trPr>
        <w:tc>
          <w:tcPr>
            <w:tcW w:w="2880" w:type="dxa"/>
            <w:shd w:val="clear" w:color="auto" w:fill="F4F8F5"/>
          </w:tcPr>
          <w:p w:rsidR="0032306C" w:rsidRDefault="004C31FC">
            <w:pPr>
              <w:spacing w:before="60" w:after="60" w:line="252" w:lineRule="auto"/>
              <w:jc w:val="left"/>
            </w:pPr>
            <w:r>
              <w:rPr>
                <w:sz w:val="18"/>
              </w:rPr>
              <w:t>Documento de diseño</w:t>
            </w:r>
          </w:p>
        </w:tc>
        <w:tc>
          <w:tcPr>
            <w:tcW w:w="1440" w:type="dxa"/>
            <w:shd w:val="clear" w:color="auto" w:fill="F4F8F5"/>
          </w:tcPr>
          <w:p w:rsidR="0032306C" w:rsidRDefault="004C31FC">
            <w:pPr>
              <w:spacing w:before="60" w:after="60" w:line="252" w:lineRule="auto"/>
              <w:jc w:val="left"/>
            </w:pPr>
            <w:r>
              <w:rPr>
                <w:sz w:val="18"/>
              </w:rPr>
              <w:t>No iniciado</w:t>
            </w:r>
          </w:p>
        </w:tc>
        <w:tc>
          <w:tcPr>
            <w:tcW w:w="4680" w:type="dxa"/>
            <w:shd w:val="clear" w:color="auto" w:fill="F4F8F5"/>
          </w:tcPr>
          <w:p w:rsidR="0032306C" w:rsidRDefault="004C31FC">
            <w:pPr>
              <w:spacing w:before="60" w:after="60" w:line="252" w:lineRule="auto"/>
              <w:jc w:val="left"/>
            </w:pPr>
            <w:r>
              <w:rPr>
                <w:sz w:val="18"/>
              </w:rPr>
              <w:t>Interfaces, mapa de navegación y lineamientos visuales.</w:t>
            </w:r>
          </w:p>
        </w:tc>
      </w:tr>
      <w:tr w:rsidR="0032306C">
        <w:trPr>
          <w:jc w:val="center"/>
        </w:trPr>
        <w:tc>
          <w:tcPr>
            <w:tcW w:w="2880" w:type="dxa"/>
          </w:tcPr>
          <w:p w:rsidR="0032306C" w:rsidRDefault="004C31FC">
            <w:pPr>
              <w:spacing w:before="60" w:after="60" w:line="252" w:lineRule="auto"/>
              <w:jc w:val="left"/>
            </w:pPr>
            <w:r>
              <w:rPr>
                <w:sz w:val="18"/>
              </w:rPr>
              <w:t>Manual técnico y de despliegue</w:t>
            </w:r>
          </w:p>
        </w:tc>
        <w:tc>
          <w:tcPr>
            <w:tcW w:w="1440" w:type="dxa"/>
          </w:tcPr>
          <w:p w:rsidR="0032306C" w:rsidRDefault="004C31FC">
            <w:pPr>
              <w:spacing w:before="60" w:after="60" w:line="252" w:lineRule="auto"/>
              <w:jc w:val="left"/>
            </w:pPr>
            <w:r>
              <w:rPr>
                <w:sz w:val="18"/>
              </w:rPr>
              <w:t>No iniciado</w:t>
            </w:r>
          </w:p>
        </w:tc>
        <w:tc>
          <w:tcPr>
            <w:tcW w:w="4680" w:type="dxa"/>
          </w:tcPr>
          <w:p w:rsidR="0032306C" w:rsidRDefault="004C31FC">
            <w:pPr>
              <w:spacing w:before="60" w:after="60" w:line="252" w:lineRule="auto"/>
              <w:jc w:val="left"/>
            </w:pPr>
            <w:r>
              <w:rPr>
                <w:sz w:val="18"/>
              </w:rPr>
              <w:t>Previsto para la Fase</w:t>
            </w:r>
            <w:r>
              <w:rPr>
                <w:sz w:val="18"/>
              </w:rPr>
              <w:t xml:space="preserve"> 3.</w:t>
            </w:r>
          </w:p>
        </w:tc>
      </w:tr>
      <w:tr w:rsidR="0032306C">
        <w:trPr>
          <w:jc w:val="center"/>
        </w:trPr>
        <w:tc>
          <w:tcPr>
            <w:tcW w:w="2880" w:type="dxa"/>
            <w:shd w:val="clear" w:color="auto" w:fill="F4F8F5"/>
          </w:tcPr>
          <w:p w:rsidR="0032306C" w:rsidRDefault="004C31FC">
            <w:pPr>
              <w:spacing w:before="60" w:after="60" w:line="252" w:lineRule="auto"/>
              <w:jc w:val="left"/>
            </w:pPr>
            <w:r>
              <w:rPr>
                <w:sz w:val="18"/>
              </w:rPr>
              <w:t>Desarrollo de la aplicación</w:t>
            </w:r>
          </w:p>
        </w:tc>
        <w:tc>
          <w:tcPr>
            <w:tcW w:w="1440" w:type="dxa"/>
            <w:shd w:val="clear" w:color="auto" w:fill="F4F8F5"/>
          </w:tcPr>
          <w:p w:rsidR="0032306C" w:rsidRDefault="004C31FC">
            <w:pPr>
              <w:spacing w:before="60" w:after="60" w:line="252" w:lineRule="auto"/>
              <w:jc w:val="left"/>
            </w:pPr>
            <w:r>
              <w:rPr>
                <w:sz w:val="18"/>
              </w:rPr>
              <w:t>Fase 3</w:t>
            </w:r>
          </w:p>
        </w:tc>
        <w:tc>
          <w:tcPr>
            <w:tcW w:w="4680" w:type="dxa"/>
            <w:shd w:val="clear" w:color="auto" w:fill="F4F8F5"/>
          </w:tcPr>
          <w:p w:rsidR="0032306C" w:rsidRDefault="004C31FC">
            <w:pPr>
              <w:spacing w:before="60" w:after="60" w:line="252" w:lineRule="auto"/>
              <w:jc w:val="left"/>
            </w:pPr>
            <w:r>
              <w:rPr>
                <w:sz w:val="18"/>
              </w:rPr>
              <w:t>Planificado para la fase siguiente. Existe la base del proyecto con autenticación funcionando.</w:t>
            </w:r>
          </w:p>
        </w:tc>
      </w:tr>
    </w:tbl>
    <w:p w:rsidR="0032306C" w:rsidRDefault="004C31FC">
      <w:pPr>
        <w:pStyle w:val="Ttulo1"/>
        <w:pBdr>
          <w:bottom w:val="single" w:sz="6" w:space="4" w:color="AFC5B8"/>
        </w:pBdr>
      </w:pPr>
      <w:bookmarkStart w:id="13" w:name="_Toc242114429"/>
      <w:r>
        <w:t>4. Dificultades y decisiones tomadas</w:t>
      </w:r>
      <w:bookmarkEnd w:id="13"/>
    </w:p>
    <w:p w:rsidR="0032306C" w:rsidRDefault="004C31FC">
      <w:r>
        <w:rPr>
          <w:b/>
        </w:rPr>
        <w:t>El alcance inicial no era sostenible.</w:t>
      </w:r>
      <w:r>
        <w:t xml:space="preserve"> La propuesta de la Fase 1 comprometía estimar con exactitud la fecha de vencimiento de cada producto, aprendiendo del historial de los hogares. Al examinar qué exigía eso —un volumen de datos que el equipo no podía reunir en un semestre— se reemplazó por </w:t>
      </w:r>
      <w:r>
        <w:t>una duración referencial por categoría que define el administrador. La estimación ya no necesita ser exacta: necesita ser suficiente para activar un recordatorio a tiempo. Una tolerancia de un par de días no rompe la funcionalidad, mientras que exigir prec</w:t>
      </w:r>
      <w:r>
        <w:t>isión habría hecho el proyecto inviable.</w:t>
      </w:r>
    </w:p>
    <w:p w:rsidR="0032306C" w:rsidRDefault="004C31FC">
      <w:r>
        <w:rPr>
          <w:b/>
        </w:rPr>
        <w:t>El catálogo cambió de naturaleza.</w:t>
      </w:r>
      <w:r>
        <w:t xml:space="preserve"> Al quedar descartada la lectura de código de barras, el catálogo dejó de ser de productos envasados y pasó a ser de alimentos genéricos. Fue el cambio de mayor impacto sobre el modelo de datos y obligó a rehacer varias tablas.</w:t>
      </w:r>
    </w:p>
    <w:p w:rsidR="0032306C" w:rsidRDefault="004C31FC">
      <w:r>
        <w:rPr>
          <w:b/>
        </w:rPr>
        <w:t>La seguridad se movió al mot</w:t>
      </w:r>
      <w:r>
        <w:rPr>
          <w:b/>
        </w:rPr>
        <w:t>or.</w:t>
      </w:r>
      <w:r>
        <w:t xml:space="preserve"> Se evaluó implementar el aislamiento entre hogares en la capa de aplicación y se descartó: habría obligado a reescribir la misma regla en cada cliente. Colocarla en la base significa que se cumple para la aplicación móvil hoy y para el portal web mañan</w:t>
      </w:r>
      <w:r>
        <w:t>a, sin tocarla.</w:t>
      </w:r>
    </w:p>
    <w:p w:rsidR="0032306C" w:rsidRDefault="004C31FC">
      <w:r>
        <w:rPr>
          <w:b/>
        </w:rPr>
        <w:t>Se descartó la operación sin conexión. Los dos requerimientos que la exigían —la operación sin conexión y la resolución de conflictos de sincronización— aparecen en la numeración anterior de la Planilla como RF44 y RF45, y estaban aceptados</w:t>
      </w:r>
      <w:r>
        <w:rPr>
          <w:b/>
        </w:rPr>
        <w:t>. La Planilla los retiró de su numeración porque exigen control de versiones por fila para resolver un conflicto entre dos miembros que editaron el mismo ítem sin señal. El modelo no lo incorpora, y agregarlo obligaría a rediseñar un modelo ya construido y</w:t>
      </w:r>
      <w:r>
        <w:rPr>
          <w:b/>
        </w:rPr>
        <w:t xml:space="preserve"> verificado. El equipo optó por retirarlos antes que comprometer lo que sí está sólido.</w:t>
      </w:r>
    </w:p>
    <w:p w:rsidR="0032306C" w:rsidRDefault="004C31FC">
      <w:pPr>
        <w:pStyle w:val="Ttulo1"/>
        <w:pBdr>
          <w:bottom w:val="single" w:sz="6" w:space="4" w:color="AFC5B8"/>
        </w:pBdr>
      </w:pPr>
      <w:bookmarkStart w:id="14" w:name="_Toc242114430"/>
      <w:r>
        <w:t>5. Trabajo pendiente para la Fase 3</w:t>
      </w:r>
      <w:bookmarkEnd w:id="14"/>
    </w:p>
    <w:p w:rsidR="0032306C" w:rsidRDefault="004C31FC">
      <w:r>
        <w:t>El trabajo pendiente está ordenado por lo que desbloquea, no por tamaño.</w:t>
      </w:r>
    </w:p>
    <w:tbl>
      <w:tblPr>
        <w:tblStyle w:val="TableNormal"/>
        <w:tblW w:w="0" w:type="auto"/>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152"/>
        <w:gridCol w:w="3744"/>
        <w:gridCol w:w="4104"/>
      </w:tblGrid>
      <w:tr w:rsidR="0032306C">
        <w:trPr>
          <w:tblHeader/>
          <w:jc w:val="center"/>
        </w:trPr>
        <w:tc>
          <w:tcPr>
            <w:tcW w:w="1152" w:type="dxa"/>
            <w:shd w:val="clear" w:color="auto" w:fill="1F4D38"/>
          </w:tcPr>
          <w:p w:rsidR="0032306C" w:rsidRDefault="004C31FC">
            <w:pPr>
              <w:spacing w:before="80" w:after="80" w:line="240" w:lineRule="auto"/>
              <w:jc w:val="left"/>
            </w:pPr>
            <w:r>
              <w:rPr>
                <w:b/>
                <w:color w:val="FFFFFF"/>
                <w:sz w:val="19"/>
              </w:rPr>
              <w:lastRenderedPageBreak/>
              <w:t>Prioridad</w:t>
            </w:r>
          </w:p>
        </w:tc>
        <w:tc>
          <w:tcPr>
            <w:tcW w:w="3744" w:type="dxa"/>
            <w:shd w:val="clear" w:color="auto" w:fill="1F4D38"/>
          </w:tcPr>
          <w:p w:rsidR="0032306C" w:rsidRDefault="004C31FC">
            <w:pPr>
              <w:spacing w:before="80" w:after="80" w:line="240" w:lineRule="auto"/>
              <w:jc w:val="left"/>
            </w:pPr>
            <w:r>
              <w:rPr>
                <w:b/>
                <w:color w:val="FFFFFF"/>
                <w:sz w:val="19"/>
              </w:rPr>
              <w:t>Tarea</w:t>
            </w:r>
          </w:p>
        </w:tc>
        <w:tc>
          <w:tcPr>
            <w:tcW w:w="4104" w:type="dxa"/>
            <w:shd w:val="clear" w:color="auto" w:fill="1F4D38"/>
          </w:tcPr>
          <w:p w:rsidR="0032306C" w:rsidRDefault="004C31FC">
            <w:pPr>
              <w:spacing w:before="80" w:after="80" w:line="240" w:lineRule="auto"/>
              <w:jc w:val="left"/>
            </w:pPr>
            <w:r>
              <w:rPr>
                <w:b/>
                <w:color w:val="FFFFFF"/>
                <w:sz w:val="19"/>
              </w:rPr>
              <w:t>Qué desbloquea</w:t>
            </w:r>
          </w:p>
        </w:tc>
      </w:tr>
      <w:tr w:rsidR="0032306C">
        <w:trPr>
          <w:jc w:val="center"/>
        </w:trPr>
        <w:tc>
          <w:tcPr>
            <w:tcW w:w="1152" w:type="dxa"/>
          </w:tcPr>
          <w:p w:rsidR="0032306C" w:rsidRDefault="004C31FC">
            <w:pPr>
              <w:spacing w:before="60" w:after="60" w:line="252" w:lineRule="auto"/>
              <w:jc w:val="left"/>
            </w:pPr>
            <w:r>
              <w:rPr>
                <w:sz w:val="18"/>
              </w:rPr>
              <w:t>1</w:t>
            </w:r>
          </w:p>
        </w:tc>
        <w:tc>
          <w:tcPr>
            <w:tcW w:w="3744" w:type="dxa"/>
          </w:tcPr>
          <w:p w:rsidR="0032306C" w:rsidRDefault="004C31FC">
            <w:pPr>
              <w:spacing w:before="60" w:after="60" w:line="252" w:lineRule="auto"/>
              <w:jc w:val="left"/>
            </w:pPr>
            <w:r>
              <w:rPr>
                <w:sz w:val="18"/>
              </w:rPr>
              <w:t>Obtener la aprobación del</w:t>
            </w:r>
            <w:r>
              <w:rPr>
                <w:sz w:val="18"/>
              </w:rPr>
              <w:t xml:space="preserve"> modelo de datos</w:t>
            </w:r>
          </w:p>
        </w:tc>
        <w:tc>
          <w:tcPr>
            <w:tcW w:w="4104" w:type="dxa"/>
          </w:tcPr>
          <w:p w:rsidR="0032306C" w:rsidRDefault="004C31FC">
            <w:pPr>
              <w:spacing w:before="60" w:after="60" w:line="252" w:lineRule="auto"/>
              <w:jc w:val="left"/>
            </w:pPr>
            <w:r>
              <w:rPr>
                <w:sz w:val="18"/>
              </w:rPr>
              <w:t>Todo lo demás: las políticas y los datos iniciales se aplican sobre el modelo aprobado.</w:t>
            </w:r>
          </w:p>
        </w:tc>
      </w:tr>
      <w:tr w:rsidR="0032306C">
        <w:trPr>
          <w:jc w:val="center"/>
        </w:trPr>
        <w:tc>
          <w:tcPr>
            <w:tcW w:w="1152" w:type="dxa"/>
            <w:shd w:val="clear" w:color="auto" w:fill="F4F8F5"/>
          </w:tcPr>
          <w:p w:rsidR="0032306C" w:rsidRDefault="004C31FC">
            <w:pPr>
              <w:spacing w:before="60" w:after="60" w:line="252" w:lineRule="auto"/>
              <w:jc w:val="left"/>
            </w:pPr>
            <w:r>
              <w:rPr>
                <w:sz w:val="18"/>
              </w:rPr>
              <w:t>2</w:t>
            </w:r>
          </w:p>
        </w:tc>
        <w:tc>
          <w:tcPr>
            <w:tcW w:w="3744" w:type="dxa"/>
            <w:shd w:val="clear" w:color="auto" w:fill="F4F8F5"/>
          </w:tcPr>
          <w:p w:rsidR="0032306C" w:rsidRDefault="004C31FC">
            <w:pPr>
              <w:spacing w:before="60" w:after="60" w:line="252" w:lineRule="auto"/>
              <w:jc w:val="left"/>
            </w:pPr>
            <w:r>
              <w:rPr>
                <w:sz w:val="18"/>
              </w:rPr>
              <w:t>Aplicar las políticas de seguridad al proyecto de Supabase</w:t>
            </w:r>
          </w:p>
        </w:tc>
        <w:tc>
          <w:tcPr>
            <w:tcW w:w="4104" w:type="dxa"/>
            <w:shd w:val="clear" w:color="auto" w:fill="F4F8F5"/>
          </w:tcPr>
          <w:p w:rsidR="0032306C" w:rsidRDefault="004C31FC">
            <w:pPr>
              <w:spacing w:before="60" w:after="60" w:line="252" w:lineRule="auto"/>
              <w:jc w:val="left"/>
            </w:pPr>
            <w:r>
              <w:rPr>
                <w:sz w:val="18"/>
              </w:rPr>
              <w:t>Que la aplicación pueda leer y escribir.</w:t>
            </w:r>
          </w:p>
        </w:tc>
      </w:tr>
      <w:tr w:rsidR="0032306C">
        <w:trPr>
          <w:jc w:val="center"/>
        </w:trPr>
        <w:tc>
          <w:tcPr>
            <w:tcW w:w="1152" w:type="dxa"/>
          </w:tcPr>
          <w:p w:rsidR="0032306C" w:rsidRDefault="004C31FC">
            <w:pPr>
              <w:spacing w:before="60" w:after="60" w:line="252" w:lineRule="auto"/>
              <w:jc w:val="left"/>
            </w:pPr>
            <w:r>
              <w:rPr>
                <w:sz w:val="18"/>
              </w:rPr>
              <w:t>3</w:t>
            </w:r>
          </w:p>
        </w:tc>
        <w:tc>
          <w:tcPr>
            <w:tcW w:w="3744" w:type="dxa"/>
          </w:tcPr>
          <w:p w:rsidR="0032306C" w:rsidRDefault="004C31FC">
            <w:pPr>
              <w:spacing w:before="60" w:after="60" w:line="252" w:lineRule="auto"/>
              <w:jc w:val="left"/>
            </w:pPr>
            <w:r>
              <w:rPr>
                <w:sz w:val="18"/>
              </w:rPr>
              <w:t>Cargar los datos iniciales del catálogo</w:t>
            </w:r>
          </w:p>
        </w:tc>
        <w:tc>
          <w:tcPr>
            <w:tcW w:w="4104" w:type="dxa"/>
          </w:tcPr>
          <w:p w:rsidR="0032306C" w:rsidRDefault="004C31FC">
            <w:pPr>
              <w:spacing w:before="60" w:after="60" w:line="252" w:lineRule="auto"/>
              <w:jc w:val="left"/>
            </w:pPr>
            <w:r>
              <w:rPr>
                <w:sz w:val="18"/>
              </w:rPr>
              <w:t xml:space="preserve">El </w:t>
            </w:r>
            <w:r>
              <w:rPr>
                <w:sz w:val="18"/>
              </w:rPr>
              <w:t>registro de descartes, las alertas y el portal administrativo.</w:t>
            </w:r>
          </w:p>
        </w:tc>
      </w:tr>
      <w:tr w:rsidR="0032306C">
        <w:trPr>
          <w:jc w:val="center"/>
        </w:trPr>
        <w:tc>
          <w:tcPr>
            <w:tcW w:w="1152" w:type="dxa"/>
            <w:shd w:val="clear" w:color="auto" w:fill="F4F8F5"/>
          </w:tcPr>
          <w:p w:rsidR="0032306C" w:rsidRDefault="004C31FC">
            <w:pPr>
              <w:spacing w:before="60" w:after="60" w:line="252" w:lineRule="auto"/>
              <w:jc w:val="left"/>
            </w:pPr>
            <w:r>
              <w:rPr>
                <w:sz w:val="18"/>
              </w:rPr>
              <w:t>4</w:t>
            </w:r>
          </w:p>
        </w:tc>
        <w:tc>
          <w:tcPr>
            <w:tcW w:w="3744" w:type="dxa"/>
            <w:shd w:val="clear" w:color="auto" w:fill="F4F8F5"/>
          </w:tcPr>
          <w:p w:rsidR="0032306C" w:rsidRDefault="004C31FC">
            <w:pPr>
              <w:spacing w:before="60" w:after="60" w:line="252" w:lineRule="auto"/>
              <w:jc w:val="left"/>
            </w:pPr>
            <w:r>
              <w:rPr>
                <w:sz w:val="18"/>
              </w:rPr>
              <w:t>Cargar el listado oficial de comunas</w:t>
            </w:r>
          </w:p>
        </w:tc>
        <w:tc>
          <w:tcPr>
            <w:tcW w:w="4104" w:type="dxa"/>
            <w:shd w:val="clear" w:color="auto" w:fill="F4F8F5"/>
          </w:tcPr>
          <w:p w:rsidR="0032306C" w:rsidRDefault="004C31FC">
            <w:pPr>
              <w:spacing w:before="60" w:after="60" w:line="252" w:lineRule="auto"/>
              <w:jc w:val="left"/>
            </w:pPr>
            <w:r>
              <w:rPr>
                <w:sz w:val="18"/>
              </w:rPr>
              <w:t>Que los usuarios puedan completar su perfil y habilitar la escritura.</w:t>
            </w:r>
          </w:p>
        </w:tc>
      </w:tr>
      <w:tr w:rsidR="0032306C">
        <w:trPr>
          <w:jc w:val="center"/>
        </w:trPr>
        <w:tc>
          <w:tcPr>
            <w:tcW w:w="1152" w:type="dxa"/>
          </w:tcPr>
          <w:p w:rsidR="0032306C" w:rsidRDefault="004C31FC">
            <w:pPr>
              <w:spacing w:before="60" w:after="60" w:line="252" w:lineRule="auto"/>
              <w:jc w:val="left"/>
            </w:pPr>
            <w:r>
              <w:rPr>
                <w:sz w:val="18"/>
              </w:rPr>
              <w:t>5</w:t>
            </w:r>
          </w:p>
        </w:tc>
        <w:tc>
          <w:tcPr>
            <w:tcW w:w="3744" w:type="dxa"/>
          </w:tcPr>
          <w:p w:rsidR="0032306C" w:rsidRDefault="004C31FC">
            <w:pPr>
              <w:spacing w:before="60" w:after="60" w:line="252" w:lineRule="auto"/>
              <w:jc w:val="left"/>
            </w:pPr>
            <w:r>
              <w:rPr>
                <w:sz w:val="18"/>
              </w:rPr>
              <w:t>Desarrollar la aplicación móvil</w:t>
            </w:r>
          </w:p>
        </w:tc>
        <w:tc>
          <w:tcPr>
            <w:tcW w:w="4104" w:type="dxa"/>
          </w:tcPr>
          <w:p w:rsidR="0032306C" w:rsidRDefault="004C31FC">
            <w:pPr>
              <w:spacing w:before="60" w:after="60" w:line="252" w:lineRule="auto"/>
              <w:jc w:val="left"/>
            </w:pPr>
            <w:r>
              <w:rPr>
                <w:sz w:val="18"/>
              </w:rPr>
              <w:t>El producto que la comisión evalúa.</w:t>
            </w:r>
          </w:p>
        </w:tc>
      </w:tr>
      <w:tr w:rsidR="0032306C">
        <w:trPr>
          <w:jc w:val="center"/>
        </w:trPr>
        <w:tc>
          <w:tcPr>
            <w:tcW w:w="1152" w:type="dxa"/>
            <w:shd w:val="clear" w:color="auto" w:fill="F4F8F5"/>
          </w:tcPr>
          <w:p w:rsidR="0032306C" w:rsidRDefault="004C31FC">
            <w:pPr>
              <w:spacing w:before="60" w:after="60" w:line="252" w:lineRule="auto"/>
              <w:jc w:val="left"/>
            </w:pPr>
            <w:r>
              <w:rPr>
                <w:sz w:val="18"/>
              </w:rPr>
              <w:t>6</w:t>
            </w:r>
          </w:p>
        </w:tc>
        <w:tc>
          <w:tcPr>
            <w:tcW w:w="3744" w:type="dxa"/>
            <w:shd w:val="clear" w:color="auto" w:fill="F4F8F5"/>
          </w:tcPr>
          <w:p w:rsidR="0032306C" w:rsidRDefault="004C31FC">
            <w:pPr>
              <w:spacing w:before="60" w:after="60" w:line="252" w:lineRule="auto"/>
              <w:jc w:val="left"/>
            </w:pPr>
            <w:r>
              <w:rPr>
                <w:sz w:val="18"/>
              </w:rPr>
              <w:t xml:space="preserve">Rehacer </w:t>
            </w:r>
            <w:r>
              <w:rPr>
                <w:sz w:val="18"/>
              </w:rPr>
              <w:t>los 4 casos de prueba no concluyentes</w:t>
            </w:r>
          </w:p>
        </w:tc>
        <w:tc>
          <w:tcPr>
            <w:tcW w:w="4104" w:type="dxa"/>
            <w:shd w:val="clear" w:color="auto" w:fill="F4F8F5"/>
          </w:tcPr>
          <w:p w:rsidR="0032306C" w:rsidRDefault="004C31FC">
            <w:pPr>
              <w:spacing w:before="60" w:after="60" w:line="252" w:lineRule="auto"/>
              <w:jc w:val="left"/>
            </w:pPr>
            <w:r>
              <w:rPr>
                <w:sz w:val="18"/>
              </w:rPr>
              <w:t>Que las pruebas de restricciones sean confiables.</w:t>
            </w:r>
          </w:p>
        </w:tc>
      </w:tr>
      <w:tr w:rsidR="0032306C">
        <w:trPr>
          <w:jc w:val="center"/>
        </w:trPr>
        <w:tc>
          <w:tcPr>
            <w:tcW w:w="1152" w:type="dxa"/>
          </w:tcPr>
          <w:p w:rsidR="0032306C" w:rsidRDefault="004C31FC">
            <w:pPr>
              <w:spacing w:before="60" w:after="60" w:line="252" w:lineRule="auto"/>
              <w:jc w:val="left"/>
            </w:pPr>
            <w:r>
              <w:rPr>
                <w:sz w:val="18"/>
              </w:rPr>
              <w:t>7</w:t>
            </w:r>
          </w:p>
        </w:tc>
        <w:tc>
          <w:tcPr>
            <w:tcW w:w="3744" w:type="dxa"/>
          </w:tcPr>
          <w:p w:rsidR="0032306C" w:rsidRDefault="004C31FC">
            <w:pPr>
              <w:spacing w:before="60" w:after="60" w:line="252" w:lineRule="auto"/>
              <w:jc w:val="left"/>
            </w:pPr>
            <w:r>
              <w:rPr>
                <w:sz w:val="18"/>
              </w:rPr>
              <w:t>Implementar el despacho de notificaciones push</w:t>
            </w:r>
          </w:p>
        </w:tc>
        <w:tc>
          <w:tcPr>
            <w:tcW w:w="4104" w:type="dxa"/>
          </w:tcPr>
          <w:p w:rsidR="0032306C" w:rsidRDefault="004C31FC">
            <w:pPr>
              <w:spacing w:before="60" w:after="60" w:line="252" w:lineRule="auto"/>
              <w:jc w:val="left"/>
            </w:pPr>
            <w:r>
              <w:rPr>
                <w:sz w:val="18"/>
              </w:rPr>
              <w:t>Las alertas de vencimiento, que son el núcleo del producto.</w:t>
            </w:r>
          </w:p>
        </w:tc>
      </w:tr>
      <w:tr w:rsidR="0032306C">
        <w:trPr>
          <w:jc w:val="center"/>
        </w:trPr>
        <w:tc>
          <w:tcPr>
            <w:tcW w:w="1152" w:type="dxa"/>
            <w:shd w:val="clear" w:color="auto" w:fill="F4F8F5"/>
          </w:tcPr>
          <w:p w:rsidR="0032306C" w:rsidRDefault="004C31FC">
            <w:pPr>
              <w:spacing w:before="60" w:after="60" w:line="252" w:lineRule="auto"/>
              <w:jc w:val="left"/>
            </w:pPr>
            <w:r>
              <w:rPr>
                <w:sz w:val="18"/>
              </w:rPr>
              <w:t>8</w:t>
            </w:r>
          </w:p>
        </w:tc>
        <w:tc>
          <w:tcPr>
            <w:tcW w:w="3744" w:type="dxa"/>
            <w:shd w:val="clear" w:color="auto" w:fill="F4F8F5"/>
          </w:tcPr>
          <w:p w:rsidR="0032306C" w:rsidRDefault="004C31FC">
            <w:pPr>
              <w:spacing w:before="60" w:after="60" w:line="252" w:lineRule="auto"/>
              <w:jc w:val="left"/>
            </w:pPr>
            <w:r>
              <w:rPr>
                <w:sz w:val="18"/>
              </w:rPr>
              <w:t>Construir el portal web administrativo</w:t>
            </w:r>
          </w:p>
        </w:tc>
        <w:tc>
          <w:tcPr>
            <w:tcW w:w="4104" w:type="dxa"/>
            <w:shd w:val="clear" w:color="auto" w:fill="F4F8F5"/>
          </w:tcPr>
          <w:p w:rsidR="0032306C" w:rsidRDefault="004C31FC">
            <w:pPr>
              <w:spacing w:before="60" w:after="60" w:line="252" w:lineRule="auto"/>
              <w:jc w:val="left"/>
            </w:pPr>
            <w:r>
              <w:rPr>
                <w:sz w:val="18"/>
              </w:rPr>
              <w:t xml:space="preserve">La gestión del </w:t>
            </w:r>
            <w:r>
              <w:rPr>
                <w:sz w:val="18"/>
              </w:rPr>
              <w:t>catálogo y de usuarios, y con él el segundo factor de RF81.</w:t>
            </w:r>
          </w:p>
        </w:tc>
      </w:tr>
      <w:tr w:rsidR="0032306C">
        <w:trPr>
          <w:jc w:val="center"/>
        </w:trPr>
        <w:tc>
          <w:tcPr>
            <w:tcW w:w="1152" w:type="dxa"/>
          </w:tcPr>
          <w:p w:rsidR="0032306C" w:rsidRDefault="004C31FC">
            <w:pPr>
              <w:spacing w:before="60" w:after="60" w:line="252" w:lineRule="auto"/>
              <w:jc w:val="left"/>
            </w:pPr>
            <w:r>
              <w:rPr>
                <w:sz w:val="18"/>
              </w:rPr>
              <w:t>9</w:t>
            </w:r>
          </w:p>
        </w:tc>
        <w:tc>
          <w:tcPr>
            <w:tcW w:w="3744" w:type="dxa"/>
          </w:tcPr>
          <w:p w:rsidR="0032306C" w:rsidRDefault="004C31FC">
            <w:pPr>
              <w:spacing w:before="60" w:after="60" w:line="252" w:lineRule="auto"/>
              <w:jc w:val="left"/>
            </w:pPr>
            <w:r>
              <w:rPr>
                <w:sz w:val="18"/>
              </w:rPr>
              <w:t>Desplegar y configurar la integración continua</w:t>
            </w:r>
          </w:p>
        </w:tc>
        <w:tc>
          <w:tcPr>
            <w:tcW w:w="4104" w:type="dxa"/>
          </w:tcPr>
          <w:p w:rsidR="0032306C" w:rsidRDefault="004C31FC">
            <w:pPr>
              <w:spacing w:before="60" w:after="60" w:line="252" w:lineRule="auto"/>
              <w:jc w:val="left"/>
            </w:pPr>
            <w:r>
              <w:rPr>
                <w:sz w:val="18"/>
              </w:rPr>
              <w:t>La verificación de los requerimientos no funcionales.</w:t>
            </w:r>
          </w:p>
        </w:tc>
      </w:tr>
    </w:tbl>
    <w:p w:rsidR="0032306C" w:rsidRDefault="004C31FC">
      <w:pPr>
        <w:pStyle w:val="Ttulo1"/>
        <w:pBdr>
          <w:bottom w:val="single" w:sz="6" w:space="4" w:color="AFC5B8"/>
        </w:pBdr>
      </w:pPr>
      <w:bookmarkStart w:id="15" w:name="_Toc242114431"/>
      <w:r>
        <w:t>6. Riesgos abiertos</w:t>
      </w:r>
      <w:bookmarkEnd w:id="15"/>
    </w:p>
    <w:p w:rsidR="0032306C" w:rsidRDefault="004C31FC">
      <w:r>
        <w:rPr>
          <w:b/>
        </w:rPr>
        <w:t>El plazo del desarrollo.</w:t>
      </w:r>
      <w:r>
        <w:t xml:space="preserve"> El modelo, la arquitectura y la documentación están construidos, pero toda la aplicación corresponde a la Fase 3. Es el riesgo principal del proyecto y el que la comisión evaluará como producto.</w:t>
      </w:r>
    </w:p>
    <w:p w:rsidR="0032306C" w:rsidRDefault="004C31FC">
      <w:r>
        <w:rPr>
          <w:b/>
        </w:rPr>
        <w:t>La aprobación del modelo de datos condiciona el inicio de la</w:t>
      </w:r>
      <w:r>
        <w:rPr>
          <w:b/>
        </w:rPr>
        <w:t xml:space="preserve"> Fase 3.</w:t>
      </w:r>
      <w:r>
        <w:t xml:space="preserve"> Las políticas de seguridad y los datos iniciales se aplican sobre el modelo aprobado; si la revisión docente pide cambios estructurales, ese trabajo se rehace.</w:t>
      </w:r>
    </w:p>
    <w:p w:rsidR="0032306C" w:rsidRDefault="004C31FC">
      <w:r>
        <w:rPr>
          <w:b/>
        </w:rPr>
        <w:t>No hay entorno desplegado.</w:t>
      </w:r>
      <w:r>
        <w:t xml:space="preserve"> Sin despliegue ni canalización de pruebas automáticas, los r</w:t>
      </w:r>
      <w:r>
        <w:t>equerimientos de disponibilidad, tiempo de respuesta y cobertura de pruebas no son verificables, y tres requerimientos no funcionales quedan declarados sin evidencia.</w:t>
      </w:r>
    </w:p>
    <w:p w:rsidR="0032306C" w:rsidRDefault="004C31FC">
      <w:r>
        <w:rPr>
          <w:b/>
        </w:rPr>
        <w:t>El desarrollo de la aplicación móvil concentra el riesgo de plazo.</w:t>
      </w:r>
      <w:r>
        <w:t xml:space="preserve"> Es el componente con m</w:t>
      </w:r>
      <w:r>
        <w:t>ás trabajo pendiente y el que la comisión evaluará como producto.</w:t>
      </w:r>
    </w:p>
    <w:p w:rsidR="0032306C" w:rsidRDefault="004C31FC">
      <w:pPr>
        <w:pStyle w:val="Ttulo1"/>
        <w:pBdr>
          <w:bottom w:val="single" w:sz="6" w:space="4" w:color="AFC5B8"/>
        </w:pBdr>
      </w:pPr>
      <w:bookmarkStart w:id="16" w:name="_Toc242114432"/>
      <w:r>
        <w:lastRenderedPageBreak/>
        <w:t>7. Conclusiones generales</w:t>
      </w:r>
      <w:bookmarkEnd w:id="16"/>
    </w:p>
    <w:p w:rsidR="0032306C" w:rsidRDefault="004C31FC">
      <w:r>
        <w:t>La Fase 2 cumplió su propósito: dejar construido y verificable el fundamento técnico del sistema. El modelo de datos está implementado en el entorno real, documenta</w:t>
      </w:r>
      <w:r>
        <w:t>do tabla por tabla y respaldado por 125 restricciones del motor. La arquitectura es coherente con los requerimientos y deriva de ellos. Las políticas de aislamiento entre hogares están escritas y verificadas contra un contrato de pruebas que las ejercita u</w:t>
      </w:r>
      <w:r>
        <w:t>na por una.</w:t>
      </w:r>
    </w:p>
    <w:p w:rsidR="0032306C" w:rsidRDefault="004C31FC">
      <w:r>
        <w:t xml:space="preserve">Lo que queda para la Fase 3 es la construcción de la aplicación, que la metodología Cascada sitúa después del diseño y que el plan de trabajo del proyecto ubica en ese tramo. Las dos tareas que la anteceden —aplicar las políticas y cargar los </w:t>
      </w:r>
      <w:r>
        <w:t>datos iniciales— son acotadas y están supeditadas a la aprobación del modelo, porque ejecutarlas sobre un modelo que puede cambiar sería trabajo a rehacer.</w:t>
      </w:r>
    </w:p>
    <w:p w:rsidR="0032306C" w:rsidRDefault="004C31FC">
      <w:r>
        <w:t>El equipo considera que el aprendizaje principal de esta fase fue distinguir entre lo escrito y lo a</w:t>
      </w:r>
      <w:r>
        <w:t>plicado. Un repositorio con el trabajo hecho no es lo mismo que un sistema en funcionamiento, y este informe fue redactado con esa distinción explícita: cada estado declarado se puede comprobar en el entorno real y no solo en el código.</w:t>
      </w:r>
    </w:p>
    <w:p w:rsidR="0032306C" w:rsidRDefault="004C31FC">
      <w:pPr>
        <w:pStyle w:val="Ttulo1"/>
        <w:pBdr>
          <w:bottom w:val="single" w:sz="6" w:space="4" w:color="AFC5B8"/>
        </w:pBdr>
      </w:pPr>
      <w:bookmarkStart w:id="17" w:name="_Toc242114433"/>
      <w:r>
        <w:t>8. Reflexión del eq</w:t>
      </w:r>
      <w:r>
        <w:t>uipo</w:t>
      </w:r>
      <w:bookmarkEnd w:id="17"/>
    </w:p>
    <w:p w:rsidR="0032306C" w:rsidRDefault="004C31FC">
      <w:r>
        <w:t>La Fase 2 obligó al equipo a enfrentar la diferencia entre diseñar y construir. En la fase anterior las decisiones eran de alcance y de modelo, y se podían tomar sobre el papel. En esta fase cada decisión tuvo una consecuencia verificable: una restric</w:t>
      </w:r>
      <w:r>
        <w:t>ción mal planteada impide guardar un dato legítimo, una política mal escrita deja a un usuario sin acceso a su propia información.</w:t>
      </w:r>
    </w:p>
    <w:p w:rsidR="0032306C" w:rsidRDefault="004C31FC">
      <w:r>
        <w:t>Colocar la seguridad en el motor de base de datos fue la decisión más discutida y la que el equipo considera mejor fundamenta</w:t>
      </w:r>
      <w:r>
        <w:t>da. Obligó a entender cómo funciona realmente el control de acceso a nivel de fila, incluyendo problemas que no se ven hasta implementarlos, como la recursión que se produce cuando una política sobre una tabla consulta esa misma tabla, o el bloqueo que ocu</w:t>
      </w:r>
      <w:r>
        <w:t>rre cuando se exige un dato que el usuario todavía no pudo ingresar.</w:t>
      </w:r>
    </w:p>
    <w:p w:rsidR="0032306C" w:rsidRDefault="004C31FC">
      <w:r>
        <w:t>El equipo también aprendió a declarar lo que no está hecho. Durante la fase se detectaron documentos propios que afirmaban como implementado lo que solo existía en el repositorio local. C</w:t>
      </w:r>
      <w:r>
        <w:t>orregir eso, en lugar de dejarlo pasar, es parte del trabajo de ingeniería: un informe que exagera el avance no engaña a la comisión, engaña al propio equipo cuando planifica la fase siguiente.</w:t>
      </w:r>
    </w:p>
    <w:p w:rsidR="0032306C" w:rsidRDefault="004C31FC">
      <w:pPr>
        <w:pStyle w:val="Ttulo1"/>
        <w:pBdr>
          <w:bottom w:val="single" w:sz="6" w:space="4" w:color="AFC5B8"/>
        </w:pBdr>
      </w:pPr>
      <w:bookmarkStart w:id="18" w:name="_Toc242114434"/>
      <w:r>
        <w:t>9. Individual conclusions — José Paillán</w:t>
      </w:r>
      <w:bookmarkEnd w:id="18"/>
    </w:p>
    <w:p w:rsidR="0032306C" w:rsidRDefault="004C31FC">
      <w:r>
        <w:t>My responsibilities i</w:t>
      </w:r>
      <w:r>
        <w:t>n this phase were the system architecture and the requirements specification, and both were produced together with the rest of the team rather than in isolation. Working on the architecture forced us to decide where the security of the system would live. W</w:t>
      </w:r>
      <w:r>
        <w:t xml:space="preserve">e first considered enforcing the isolation between households in the application layer, and we discarded that option: the same </w:t>
      </w:r>
      <w:r>
        <w:lastRenderedPageBreak/>
        <w:t>rule would have to be rewritten in every client, including the administrative portal that does not exist yet. Placing it in the d</w:t>
      </w:r>
      <w:r>
        <w:t>atabase engine means the rule holds for any client, today and tomorrow, and it also limits the damage if a vulnerability appears in the application. That decision required us to understand row-level security properly, including problems that only show up w</w:t>
      </w:r>
      <w:r>
        <w:t>hen you actually implement it, such as the recursion that occurs when a policy on a table queries that same table.</w:t>
      </w:r>
    </w:p>
    <w:p w:rsidR="0032306C" w:rsidRDefault="004C31FC">
      <w:r>
        <w:t>On the requirements specification, the most useful lesson was that a document is never more reliable than the source it transcribes. Three of</w:t>
      </w:r>
      <w:r>
        <w:t xml:space="preserve"> our documents disagreed with the requirements spreadsheet, and two of them disagreed with each other about the same two requirements. We corrected them, but the correction only worked because the spreadsheet was treated as the single source of truth. With</w:t>
      </w:r>
      <w:r>
        <w:t>out that rule, we would have kept producing documents that were internally consistent and externally wrong.</w:t>
      </w:r>
    </w:p>
    <w:p w:rsidR="0032306C" w:rsidRDefault="004C31FC">
      <w:r>
        <w:t xml:space="preserve">The main limitation of this phase is that the application itself was not built. The model, the architecture and the documentation are in place, but </w:t>
      </w:r>
      <w:r>
        <w:t xml:space="preserve">the product the committee will evaluate still does not exist. I do not consider this phase a failure, because the waterfall methodology places construction after design, and rushing a partial application would have left both the design and the application </w:t>
      </w:r>
      <w:r>
        <w:t>in a worse state. Still, it is the main risk carried forward.</w:t>
      </w:r>
    </w:p>
    <w:p w:rsidR="0032306C" w:rsidRDefault="004C31FC">
      <w:pPr>
        <w:pStyle w:val="Ttulo1"/>
        <w:pBdr>
          <w:bottom w:val="single" w:sz="6" w:space="4" w:color="AFC5B8"/>
        </w:pBdr>
      </w:pPr>
      <w:bookmarkStart w:id="19" w:name="_Toc242114435"/>
      <w:r>
        <w:t>10. Individual reflection — José Paillán</w:t>
      </w:r>
      <w:bookmarkEnd w:id="19"/>
    </w:p>
    <w:p w:rsidR="0032306C" w:rsidRDefault="004C31FC">
      <w:r>
        <w:t>What changed most in this phase was not my technical knowledge but my understanding of what counts as evidence. During the first half I was inclined to d</w:t>
      </w:r>
      <w:r>
        <w:t>escribe as implemented anything that existed in our repository. Reviewing that attitude, I understood that a repository with the work done and a system that runs are different things, and that only one of them can be verified by somebody else. From that po</w:t>
      </w:r>
      <w:r>
        <w:t>int on, every document we produced distinguishes what is applied in the real environment from what is only written, including where that distinction was unfavourable to us: three non-functional requirements that are specified but not met, four tests that a</w:t>
      </w:r>
      <w:r>
        <w:t>re not conclusive, and two deliverables that were not started.</w:t>
      </w:r>
    </w:p>
    <w:p w:rsidR="0032306C" w:rsidRDefault="004C31FC">
      <w:r>
        <w:t>I also had to accept that a decision I defended in the first phase was not sustainable. We had committed to estimating the exact expiry date of each product by learning from the history of each</w:t>
      </w:r>
      <w:r>
        <w:t xml:space="preserve"> household. Examining what that really required, we saw it needed a volume of data that a team of three cannot gather in one semester. Replacing it with a referential shelf life per category was not a better solution; it was an honest one. The estimate no </w:t>
      </w:r>
      <w:r>
        <w:t>longer needs to be exact, only good enough to trigger a reminder in time, and a tolerance of a couple of days does not break the functionality.</w:t>
      </w:r>
    </w:p>
    <w:p w:rsidR="0032306C" w:rsidRDefault="004C31FC">
      <w:r>
        <w:t xml:space="preserve">For the next phase, the habit I want to keep is writing down what is missing before writing down what works. It </w:t>
      </w:r>
      <w:r>
        <w:t>is uncomfortable, and it is the part of the report that is easiest to leave out. But a report that overstates its own progress does not deceive the committee; it deceives the team when it plans the following phase, and that is where it does real damage.</w:t>
      </w:r>
    </w:p>
    <w:p w:rsidR="0032306C" w:rsidRDefault="004C31FC">
      <w:pPr>
        <w:pStyle w:val="Ttulo1"/>
        <w:pBdr>
          <w:bottom w:val="single" w:sz="6" w:space="4" w:color="AFC5B8"/>
        </w:pBdr>
      </w:pPr>
      <w:bookmarkStart w:id="20" w:name="_Toc242114436"/>
      <w:r>
        <w:lastRenderedPageBreak/>
        <w:t>11</w:t>
      </w:r>
      <w:r>
        <w:t>. Bibliografía</w:t>
      </w:r>
      <w:bookmarkEnd w:id="20"/>
    </w:p>
    <w:p w:rsidR="0032306C" w:rsidRDefault="004C31FC">
      <w:r>
        <w:t>Biblioteca del Congreso Nacional de Chile. (2024). Ley 21.719, que regula la protección y el tratamiento de los datos personales y crea la Agencia de Protección de Datos Personales. https://www.bcn.cl/leychile</w:t>
      </w:r>
    </w:p>
    <w:p w:rsidR="0032306C" w:rsidRDefault="004C31FC">
      <w:r>
        <w:t>PostgreSQL Global Development G</w:t>
      </w:r>
      <w:r>
        <w:t>roup. (2025). PostgreSQL 17 Documentation — Row Security Policies. https://www.postgresql.org/docs/17/ddl-rowsecurity.html</w:t>
      </w:r>
    </w:p>
    <w:p w:rsidR="0032306C" w:rsidRDefault="004C31FC">
      <w:r>
        <w:t>Supabase. (2025). Row Level Security. https://supabase.com/docs/guides/database/postgres/row-level-security</w:t>
      </w:r>
    </w:p>
    <w:sectPr w:rsidR="0032306C">
      <w:headerReference w:type="default" r:id="rId6"/>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31FC" w:rsidRDefault="004C31FC">
      <w:pPr>
        <w:spacing w:after="0" w:line="240" w:lineRule="auto"/>
      </w:pPr>
      <w:r>
        <w:separator/>
      </w:r>
    </w:p>
  </w:endnote>
  <w:endnote w:type="continuationSeparator" w:id="0">
    <w:p w:rsidR="004C31FC" w:rsidRDefault="004C3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1564847-2D85-4B05-9972-92436507DE0B}"/>
    <w:embedBold r:id="rId2" w:fontKey="{92C4F454-AF09-43F2-8A2B-9AA2F2E344D0}"/>
    <w:embedItalic r:id="rId3" w:fontKey="{F7AE24D8-0652-4A6E-B95F-3C1173FF2C07}"/>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190B6ED7-9FEC-4FA2-812B-B80F4899FDD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306C" w:rsidRDefault="004C31FC">
    <w:pPr>
      <w:jc w:val="center"/>
    </w:pPr>
    <w:r>
      <w:rPr>
        <w:color w:val="8A968F"/>
        <w:sz w:val="18"/>
      </w:rPr>
      <w:t xml:space="preserve">Página </w:t>
    </w:r>
    <w:r>
      <w:rPr>
        <w:color w:val="8A968F"/>
        <w:sz w:val="18"/>
      </w:rPr>
      <w:fldChar w:fldCharType="begin"/>
    </w:r>
    <w:r>
      <w:rPr>
        <w:color w:val="8A968F"/>
        <w:sz w:val="18"/>
      </w:rPr>
      <w:instrText xml:space="preserve"> PAGE </w:instrText>
    </w:r>
    <w:r>
      <w:rPr>
        <w:color w:val="8A968F"/>
        <w:sz w:val="18"/>
      </w:rPr>
      <w:fldChar w:fldCharType="separate"/>
    </w:r>
    <w:r w:rsidR="004A70F2">
      <w:rPr>
        <w:noProof/>
        <w:color w:val="8A968F"/>
        <w:sz w:val="18"/>
      </w:rPr>
      <w:t>11</w:t>
    </w:r>
    <w:r>
      <w:rPr>
        <w:color w:val="8A968F"/>
        <w:sz w:val="18"/>
      </w:rPr>
      <w:fldChar w:fldCharType="end"/>
    </w:r>
    <w:r>
      <w:rPr>
        <w:color w:val="8A968F"/>
        <w:sz w:val="18"/>
      </w:rPr>
      <w:t xml:space="preserve"> de </w:t>
    </w:r>
    <w:r>
      <w:rPr>
        <w:color w:val="8A968F"/>
        <w:sz w:val="18"/>
      </w:rPr>
      <w:fldChar w:fldCharType="begin"/>
    </w:r>
    <w:r>
      <w:rPr>
        <w:color w:val="8A968F"/>
        <w:sz w:val="18"/>
      </w:rPr>
      <w:instrText xml:space="preserve"> NUMPAGES </w:instrText>
    </w:r>
    <w:r>
      <w:rPr>
        <w:color w:val="8A968F"/>
        <w:sz w:val="18"/>
      </w:rPr>
      <w:fldChar w:fldCharType="separate"/>
    </w:r>
    <w:r w:rsidR="004A70F2">
      <w:rPr>
        <w:noProof/>
        <w:color w:val="8A968F"/>
        <w:sz w:val="18"/>
      </w:rPr>
      <w:t>12</w:t>
    </w:r>
    <w:r>
      <w:rPr>
        <w:color w:val="8A968F"/>
        <w:sz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31FC" w:rsidRDefault="004C31FC">
      <w:pPr>
        <w:spacing w:after="0" w:line="240" w:lineRule="auto"/>
      </w:pPr>
      <w:r>
        <w:separator/>
      </w:r>
    </w:p>
  </w:footnote>
  <w:footnote w:type="continuationSeparator" w:id="0">
    <w:p w:rsidR="004C31FC" w:rsidRDefault="004C3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306C" w:rsidRDefault="0032306C">
    <w:pPr>
      <w:pBdr>
        <w:bottom w:val="single" w:sz="6" w:space="4" w:color="C9D6CE"/>
      </w:pBdr>
      <w:jc w:val="left"/>
    </w:pPr>
  </w:p>
  <w:tbl>
    <w:tblPr>
      <w:tblStyle w:val="TableNormal"/>
      <w:tblW w:w="0" w:type="auto"/>
      <w:tblInd w:w="0" w:type="dxa"/>
      <w:tblLook w:val="04A0" w:firstRow="1" w:lastRow="0" w:firstColumn="1" w:lastColumn="0" w:noHBand="0" w:noVBand="1"/>
    </w:tblPr>
    <w:tblGrid>
      <w:gridCol w:w="4515"/>
      <w:gridCol w:w="4514"/>
    </w:tblGrid>
    <w:tr w:rsidR="0032306C">
      <w:tc>
        <w:tcPr>
          <w:tcW w:w="4535" w:type="dxa"/>
        </w:tcPr>
        <w:p w:rsidR="0032306C" w:rsidRDefault="004C31FC">
          <w:pPr>
            <w:jc w:val="left"/>
          </w:pPr>
          <w:r>
            <w:rPr>
              <w:b/>
              <w:color w:val="1F4D38"/>
              <w:sz w:val="18"/>
            </w:rPr>
            <w:t>NFC-FoodTech</w:t>
          </w:r>
        </w:p>
      </w:tc>
      <w:tc>
        <w:tcPr>
          <w:tcW w:w="4535" w:type="dxa"/>
        </w:tcPr>
        <w:p w:rsidR="0032306C" w:rsidRDefault="004C31FC">
          <w:pPr>
            <w:jc w:val="right"/>
          </w:pPr>
          <w:r>
            <w:rPr>
              <w:color w:val="8A968F"/>
              <w:sz w:val="18"/>
            </w:rPr>
            <w:t>Informe de Avance — Fase 2</w:t>
          </w: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defaultTabStop w:val="720"/>
  <w:autoHyphenation/>
  <w:hyphenationZone w:val="357"/>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06C"/>
    <w:rsid w:val="0032306C"/>
    <w:rsid w:val="004A70F2"/>
    <w:rsid w:val="004C31F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A2C510B-9FB5-4084-978C-75D4B39F1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160" w:line="288" w:lineRule="auto"/>
      <w:jc w:val="both"/>
    </w:pPr>
    <w:rPr>
      <w:rFonts w:ascii="Calibri" w:eastAsia="Calibri" w:hAnsi="Calibri"/>
      <w:color w:val="222A26"/>
    </w:rPr>
  </w:style>
  <w:style w:type="paragraph" w:styleId="Ttulo1">
    <w:name w:val="heading 1"/>
    <w:basedOn w:val="Normal"/>
    <w:next w:val="Normal"/>
    <w:pPr>
      <w:keepNext/>
      <w:keepLines/>
      <w:spacing w:before="400" w:after="180" w:line="240" w:lineRule="auto"/>
      <w:jc w:val="left"/>
      <w:outlineLvl w:val="0"/>
    </w:pPr>
    <w:rPr>
      <w:b/>
      <w:color w:val="1F4D38"/>
      <w:sz w:val="30"/>
      <w:szCs w:val="40"/>
    </w:rPr>
  </w:style>
  <w:style w:type="paragraph" w:styleId="Ttulo2">
    <w:name w:val="heading 2"/>
    <w:basedOn w:val="Normal"/>
    <w:next w:val="Normal"/>
    <w:pPr>
      <w:keepNext/>
      <w:keepLines/>
      <w:spacing w:before="280" w:after="120" w:line="240" w:lineRule="auto"/>
      <w:jc w:val="left"/>
      <w:outlineLvl w:val="1"/>
    </w:pPr>
    <w:rPr>
      <w:b/>
      <w:color w:val="2D6A4F"/>
      <w:sz w:val="25"/>
      <w:szCs w:val="32"/>
    </w:rPr>
  </w:style>
  <w:style w:type="paragraph" w:styleId="Ttulo3">
    <w:name w:val="heading 3"/>
    <w:basedOn w:val="Normal"/>
    <w:next w:val="Normal"/>
    <w:pPr>
      <w:keepNext/>
      <w:keepLines/>
      <w:spacing w:before="220" w:after="80"/>
      <w:jc w:val="left"/>
      <w:outlineLvl w:val="2"/>
    </w:pPr>
    <w:rPr>
      <w:b/>
      <w:sz w:val="23"/>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rFonts w:ascii="Arial" w:eastAsia="Arial" w:hAnsi="Arial"/>
      <w:color w:val="666666"/>
      <w:sz w:val="30"/>
      <w:szCs w:val="30"/>
    </w:rPr>
  </w:style>
  <w:style w:type="table" w:customStyle="1" w:styleId="a">
    <w:basedOn w:val="TableNormal"/>
    <w:tblPr>
      <w:tblStyleRowBandSize w:val="1"/>
      <w:tblStyleColBandSize w:val="1"/>
    </w:tblPr>
  </w:style>
  <w:style w:type="paragraph" w:styleId="TDC1">
    <w:name w:val="toc 1"/>
    <w:basedOn w:val="Normal"/>
    <w:next w:val="Normal"/>
    <w:autoRedefine/>
    <w:uiPriority w:val="39"/>
    <w:unhideWhenUsed/>
    <w:rsid w:val="004A70F2"/>
    <w:pPr>
      <w:spacing w:after="100"/>
    </w:pPr>
  </w:style>
  <w:style w:type="paragraph" w:styleId="TDC2">
    <w:name w:val="toc 2"/>
    <w:basedOn w:val="Normal"/>
    <w:next w:val="Normal"/>
    <w:autoRedefine/>
    <w:uiPriority w:val="39"/>
    <w:unhideWhenUsed/>
    <w:rsid w:val="004A70F2"/>
    <w:pPr>
      <w:spacing w:after="100"/>
      <w:ind w:left="220"/>
    </w:pPr>
  </w:style>
  <w:style w:type="character" w:styleId="Hipervnculo">
    <w:name w:val="Hyperlink"/>
    <w:basedOn w:val="Fuentedeprrafopredeter"/>
    <w:uiPriority w:val="99"/>
    <w:unhideWhenUsed/>
    <w:rsid w:val="004A70F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3938</Words>
  <Characters>21663</Characters>
  <Application>Microsoft Office Word</Application>
  <DocSecurity>0</DocSecurity>
  <Lines>180</Lines>
  <Paragraphs>51</Paragraphs>
  <ScaleCrop>false</ScaleCrop>
  <Company/>
  <LinksUpToDate>false</LinksUpToDate>
  <CharactersWithSpaces>25550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youka21</cp:lastModifiedBy>
  <cp:revision>2</cp:revision>
  <dcterms:created xsi:type="dcterms:W3CDTF">2026-10-05T20:39:00Z</dcterms:created>
  <dcterms:modified xsi:type="dcterms:W3CDTF">2026-10-05T20:41:00Z</dcterms:modified>
</cp:coreProperties>
</file>