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1F3A8A"/>
          <w:sz w:val="36"/>
        </w:rPr>
        <w:t>AVENANT N° 1 — OFFRE PILOTE DATAMERRY</w:t>
      </w:r>
    </w:p>
    <w:p>
      <w:pPr>
        <w:spacing w:after="120"/>
        <w:jc w:val="center"/>
      </w:pPr>
      <w:r>
        <w:rPr>
          <w:rFonts w:ascii="Arial" w:hAnsi="Arial"/>
          <w:b w:val="0"/>
          <w:i/>
          <w:color w:val="64748B"/>
          <w:sz w:val="22"/>
        </w:rPr>
        <w:t>Au contrat-cadre de prestation de service numérique DATAMERRY®</w:t>
      </w:r>
    </w:p>
    <w:p>
      <w:pPr>
        <w:spacing w:after="120"/>
        <w:jc w:val="center"/>
      </w:pPr>
      <w:r>
        <w:rPr>
          <w:rFonts w:ascii="Arial" w:hAnsi="Arial"/>
          <w:b w:val="0"/>
          <w:i w:val="0"/>
          <w:color w:val="64748B"/>
          <w:sz w:val="20"/>
        </w:rPr>
        <w:t>En date du 25/05/2026</w:t>
      </w:r>
    </w:p>
    <w:p>
      <w:pPr>
        <w:spacing w:after="120"/>
      </w:pPr>
      <w:r>
        <w:rPr>
          <w:rFonts w:ascii="Arial" w:hAnsi="Arial"/>
          <w:b/>
          <w:i w:val="0"/>
          <w:sz w:val="22"/>
        </w:rPr>
        <w:t>Entre les soussignées :</w:t>
      </w:r>
    </w:p>
    <w:tbl>
      <w:tblPr>
        <w:tblW w:type="auto" w:w="0"/>
        <w:tblLayout w:type="fixed"/>
        <w:tblLook w:firstColumn="1" w:firstRow="1" w:lastColumn="0" w:lastRow="0" w:noHBand="0" w:noVBand="1" w:val="04A0"/>
      </w:tblPr>
      <w:tblGrid>
        <w:gridCol w:w="4819"/>
        <w:gridCol w:w="4819"/>
      </w:tblGrid>
      <w:tr>
        <w:tc>
          <w:tcPr>
            <w:tcW w:type="dxa" w:w="4819"/>
            <w:tcBorders>
              <w:top w:val="single" w:sz="4" w:color="CCCCCC"/>
              <w:left w:val="single" w:sz="4" w:color="CCCCCC"/>
              <w:bottom w:val="single" w:sz="4" w:color="CCCCCC"/>
              <w:right w:val="single" w:sz="4" w:color="CCCCCC"/>
            </w:tcBorders>
            <w:vAlign w:val="top"/>
          </w:tcPr>
          <w:p>
            <w:r>
              <w:rPr>
                <w:rFonts w:ascii="Arial" w:hAnsi="Arial"/>
                <w:b/>
                <w:sz w:val="20"/>
              </w:rPr>
              <w:t>EUREALIMMO SARL</w:t>
              <w:br/>
            </w:r>
            <w:r>
              <w:rPr>
                <w:rFonts w:ascii="Arial" w:hAnsi="Arial"/>
                <w:sz w:val="20"/>
              </w:rPr>
              <w:t>Société à responsabilité limitée à associé unique</w:t>
              <w:br/>
              <w:t>Capital : 100 €</w:t>
              <w:br/>
              <w:t>Siège : 60 rue François 1er, 75008 Paris</w:t>
              <w:br/>
              <w:t>RCS Paris : [N° KBIS à compléter]</w:t>
              <w:br/>
              <w:t>Représentée par M. Samuel BRUNO, Gérant</w:t>
              <w:br/>
              <w:br/>
              <w:t>Ci-après dénommée « l'Éditeur »</w:t>
              <w:br/>
              <w:t>ou « DATAMERRY »</w:t>
            </w:r>
          </w:p>
        </w:tc>
        <w:tc>
          <w:tcPr>
            <w:tcW w:type="dxa" w:w="4819"/>
            <w:tcBorders>
              <w:top w:val="single" w:sz="4" w:color="CCCCCC"/>
              <w:left w:val="single" w:sz="4" w:color="CCCCCC"/>
              <w:bottom w:val="single" w:sz="4" w:color="CCCCCC"/>
              <w:right w:val="single" w:sz="4" w:color="CCCCCC"/>
            </w:tcBorders>
            <w:vAlign w:val="top"/>
          </w:tcPr>
          <w:p>
            <w:r>
              <w:rPr>
                <w:rFonts w:ascii="Arial" w:hAnsi="Arial"/>
                <w:b/>
                <w:sz w:val="20"/>
              </w:rPr>
              <w:t>COLLABIMMO</w:t>
              <w:br/>
            </w:r>
            <w:r>
              <w:rPr>
                <w:rFonts w:ascii="Arial" w:hAnsi="Arial"/>
                <w:sz w:val="20"/>
              </w:rPr>
              <w:t>[Forme juridique à compléter]</w:t>
              <w:br/>
              <w:t>[Capital à compléter]</w:t>
              <w:br/>
              <w:t>[Siège social à compléter]</w:t>
              <w:br/>
              <w:t>[RCS à compléter]</w:t>
              <w:br/>
              <w:t>Représentée par Mme Diara CAMARA, [fonction]</w:t>
              <w:br/>
              <w:br/>
              <w:t>Ci-après dénommée « le Client »</w:t>
              <w:br/>
              <w:t>ou « Collabimmo »</w:t>
            </w:r>
          </w:p>
        </w:tc>
      </w:tr>
    </w:tbl>
    <w:p>
      <w:pPr>
        <w:spacing w:after="120"/>
      </w:pPr>
      <w:r>
        <w:rPr>
          <w:rFonts w:ascii="Arial" w:hAnsi="Arial"/>
          <w:b/>
          <w:i w:val="0"/>
          <w:sz w:val="22"/>
        </w:rPr>
        <w:t>Il a été préalablement exposé ce qui suit :</w:t>
      </w:r>
    </w:p>
    <w:p>
      <w:pPr>
        <w:spacing w:before="240" w:after="120"/>
      </w:pPr>
      <w:r>
        <w:rPr>
          <w:rFonts w:ascii="Arial" w:hAnsi="Arial"/>
          <w:b/>
          <w:color w:val="1F3A8A"/>
          <w:sz w:val="28"/>
        </w:rPr>
        <w:t>PRÉAMBULE</w:t>
      </w:r>
    </w:p>
    <w:p>
      <w:pPr>
        <w:spacing w:after="120"/>
      </w:pPr>
      <w:r>
        <w:rPr>
          <w:rFonts w:ascii="Arial" w:hAnsi="Arial"/>
          <w:b w:val="0"/>
          <w:i w:val="0"/>
          <w:sz w:val="22"/>
        </w:rPr>
        <w:t>L'Éditeur exploite, sous la marque DATAMERRY®, une plateforme d'estimation immobilière et d'analyse de marché à destination des professionnels titulaires de la carte T (loi Hoguet) et de leurs mandataires. La plateforme intègre les sources publiques DVF, OLAP, ANIL, INSEE, Cadastre et OpenStreetMap pour produire des indicateurs d'évaluation, de rendement locatif, de plafonds fiscaux et un rapport propriété multi-datasets.</w:t>
      </w:r>
    </w:p>
    <w:p>
      <w:pPr>
        <w:spacing w:after="120"/>
      </w:pPr>
      <w:r>
        <w:rPr>
          <w:rFonts w:ascii="Arial" w:hAnsi="Arial"/>
          <w:b w:val="0"/>
          <w:i w:val="0"/>
          <w:sz w:val="22"/>
        </w:rPr>
        <w:t>Le Client, agence immobilière partenaire, souhaite tester le Service en avant-première et bénéficier en contrepartie d'un tarif avantageux gelé pour la durée de son utilisation, en qualité de cabinet pilote n° 1.</w:t>
      </w:r>
    </w:p>
    <w:p>
      <w:pPr>
        <w:spacing w:after="120"/>
      </w:pPr>
      <w:r>
        <w:rPr>
          <w:rFonts w:ascii="Arial" w:hAnsi="Arial"/>
          <w:b w:val="0"/>
          <w:i/>
          <w:sz w:val="22"/>
        </w:rPr>
        <w:t>Les Parties se sont rapprochées et ont convenu des dispositions qui suivent. Le présent avenant complète les Conditions Générales de Vente et d'Utilisation (CGV) du Service DATAMERRY® en vigueur, qui demeurent applicables pour tout point non expressément modifié par le présent document.</w:t>
      </w:r>
    </w:p>
    <w:p>
      <w:pPr>
        <w:spacing w:before="240" w:after="120"/>
      </w:pPr>
      <w:r>
        <w:rPr>
          <w:rFonts w:ascii="Arial" w:hAnsi="Arial"/>
          <w:b/>
          <w:color w:val="1F3A8A"/>
          <w:sz w:val="28"/>
        </w:rPr>
        <w:t>ARTICLE 1 — OBJET DE L'AVENANT</w:t>
      </w:r>
    </w:p>
    <w:p>
      <w:pPr>
        <w:spacing w:after="120"/>
      </w:pPr>
      <w:r>
        <w:rPr>
          <w:rFonts w:ascii="Arial" w:hAnsi="Arial"/>
          <w:b w:val="0"/>
          <w:i w:val="0"/>
          <w:sz w:val="22"/>
        </w:rPr>
        <w:t>Le présent avenant a pour objet de définir les conditions spécifiques applicables au Client en sa qualité de Cabinet Pilote n° 1 du Service DATAMERRY®, notamment :</w:t>
      </w:r>
    </w:p>
    <w:p>
      <w:pPr>
        <w:pStyle w:val="ListBullet"/>
        <w:ind w:left="425"/>
      </w:pPr>
      <w:r>
        <w:rPr>
          <w:rFonts w:ascii="Arial" w:hAnsi="Arial"/>
          <w:sz w:val="22"/>
        </w:rPr>
        <w:t>le tarif gelé applicable à perpétuité au Service v1 (Article 2) ;</w:t>
      </w:r>
    </w:p>
    <w:p>
      <w:pPr>
        <w:pStyle w:val="ListBullet"/>
        <w:ind w:left="425"/>
      </w:pPr>
      <w:r>
        <w:rPr>
          <w:rFonts w:ascii="Arial" w:hAnsi="Arial"/>
          <w:sz w:val="22"/>
        </w:rPr>
        <w:t>le quota d'utilisation inclus et les modalités de dépassement (Article 3) ;</w:t>
      </w:r>
    </w:p>
    <w:p>
      <w:pPr>
        <w:pStyle w:val="ListBullet"/>
        <w:ind w:left="425"/>
      </w:pPr>
      <w:r>
        <w:rPr>
          <w:rFonts w:ascii="Arial" w:hAnsi="Arial"/>
          <w:sz w:val="22"/>
        </w:rPr>
        <w:t>l'engagement de référence consenti par le Client (Article 4) ;</w:t>
      </w:r>
    </w:p>
    <w:p>
      <w:pPr>
        <w:pStyle w:val="ListBullet"/>
        <w:ind w:left="425"/>
      </w:pPr>
      <w:r>
        <w:rPr>
          <w:rFonts w:ascii="Arial" w:hAnsi="Arial"/>
          <w:sz w:val="22"/>
        </w:rPr>
        <w:t>le périmètre exclu du tarif gelé (Article 5).</w:t>
      </w:r>
    </w:p>
    <w:p>
      <w:pPr>
        <w:spacing w:before="240" w:after="120"/>
      </w:pPr>
      <w:r>
        <w:rPr>
          <w:rFonts w:ascii="Arial" w:hAnsi="Arial"/>
          <w:b/>
          <w:color w:val="1F3A8A"/>
          <w:sz w:val="28"/>
        </w:rPr>
        <w:t>ARTICLE 2 — TARIF GELÉ</w:t>
      </w:r>
    </w:p>
    <w:p>
      <w:pPr>
        <w:spacing w:after="120"/>
      </w:pPr>
      <w:r>
        <w:rPr>
          <w:rFonts w:ascii="Arial" w:hAnsi="Arial"/>
          <w:b/>
          <w:i w:val="0"/>
          <w:sz w:val="22"/>
        </w:rPr>
        <w:t>L'Éditeur consent au Client un tarif gelé de TRENTE-NEUF EUROS toutes taxes comprises (39,00 € TTC) par mois pour l'ensemble du Service v1 défini à l'Article 5.1 ci-après.</w:t>
      </w:r>
    </w:p>
    <w:p>
      <w:pPr>
        <w:spacing w:after="120"/>
      </w:pPr>
      <w:r>
        <w:rPr>
          <w:rFonts w:ascii="Arial" w:hAnsi="Arial"/>
          <w:b w:val="0"/>
          <w:i w:val="0"/>
          <w:sz w:val="22"/>
        </w:rPr>
        <w:t>Ce tarif est gelé pour toute la durée pendant laquelle le Client conserve son abonnement actif et continu, sans interruption supérieure à 90 jours consécutifs. Aucune augmentation tarifaire ne pourra être appliquée au Client tant qu'il bénéficie du présent gel, et ce indépendamment des évolutions tarifaires que l'Éditeur pourrait appliquer à d'autres clients.</w:t>
      </w:r>
    </w:p>
    <w:p>
      <w:pPr>
        <w:spacing w:after="120"/>
      </w:pPr>
      <w:r>
        <w:rPr>
          <w:rFonts w:ascii="Arial" w:hAnsi="Arial"/>
          <w:b w:val="0"/>
          <w:i w:val="0"/>
          <w:sz w:val="22"/>
        </w:rPr>
        <w:t>Le premier mois d'abonnement est offert au Client, conformément à l'offre commerciale standard de l'Éditeur.</w:t>
      </w:r>
    </w:p>
    <w:p>
      <w:pPr>
        <w:spacing w:before="240" w:after="120"/>
      </w:pPr>
      <w:r>
        <w:rPr>
          <w:rFonts w:ascii="Arial" w:hAnsi="Arial"/>
          <w:b/>
          <w:color w:val="1F3A8A"/>
          <w:sz w:val="28"/>
        </w:rPr>
        <w:t>ARTICLE 3 — QUOTA INCLUS ET MODALITÉS DE DÉPASSEMENT</w:t>
      </w:r>
    </w:p>
    <w:p>
      <w:pPr>
        <w:spacing w:after="120"/>
      </w:pPr>
      <w:r>
        <w:rPr>
          <w:rFonts w:ascii="Arial" w:hAnsi="Arial"/>
          <w:b w:val="0"/>
          <w:i w:val="0"/>
          <w:sz w:val="22"/>
        </w:rPr>
        <w:t>Le tarif gelé visé à l'Article 2 inclut un quota de CINQUANTE MILLE (50 000) requêtes API par mois calendaire, applicable indistinctement à l'ensemble des endpoints du Service v1.</w:t>
      </w:r>
    </w:p>
    <w:p>
      <w:pPr>
        <w:spacing w:after="120"/>
      </w:pPr>
      <w:r>
        <w:rPr>
          <w:rFonts w:ascii="Arial" w:hAnsi="Arial"/>
          <w:b w:val="0"/>
          <w:i w:val="0"/>
          <w:sz w:val="22"/>
        </w:rPr>
        <w:t>En cas de dépassement de ce quota, l'Éditeur procédera, au choix du Client :</w:t>
      </w:r>
    </w:p>
    <w:p>
      <w:pPr>
        <w:pStyle w:val="ListBullet"/>
        <w:ind w:left="425"/>
      </w:pPr>
      <w:r>
        <w:rPr>
          <w:rFonts w:ascii="Arial" w:hAnsi="Arial"/>
          <w:sz w:val="22"/>
        </w:rPr>
        <w:t>soit à la suspension automatique des requêtes excédentaires jusqu'au mois suivant ;</w:t>
      </w:r>
    </w:p>
    <w:p>
      <w:pPr>
        <w:pStyle w:val="ListBullet"/>
        <w:ind w:left="425"/>
      </w:pPr>
      <w:r>
        <w:rPr>
          <w:rFonts w:ascii="Arial" w:hAnsi="Arial"/>
          <w:sz w:val="22"/>
        </w:rPr>
        <w:t>soit, sur demande écrite préalable du Client, à la facturation des requêtes excédentaires au tarif standard en vigueur (1,00 € TTC par tranche de 1 000 requêtes), sans remise.</w:t>
      </w:r>
    </w:p>
    <w:p>
      <w:pPr>
        <w:spacing w:after="120"/>
      </w:pPr>
      <w:r>
        <w:rPr>
          <w:rFonts w:ascii="Arial" w:hAnsi="Arial"/>
          <w:b w:val="0"/>
          <w:i/>
          <w:sz w:val="22"/>
        </w:rPr>
        <w:t>Il est expressément convenu que le quota inclus ne constitue pas un droit à un usage illimité gratuit. Le Client s'interdit toute revente ou redistribution à des tiers de son accès, ainsi que toute extraction massive systématique des données.</w:t>
      </w:r>
    </w:p>
    <w:p>
      <w:pPr>
        <w:spacing w:before="240" w:after="120"/>
      </w:pPr>
      <w:r>
        <w:rPr>
          <w:rFonts w:ascii="Arial" w:hAnsi="Arial"/>
          <w:b/>
          <w:color w:val="1F3A8A"/>
          <w:sz w:val="28"/>
        </w:rPr>
        <w:t>ARTICLE 4 — ENGAGEMENT DE RÉFÉRENCE DU CLIENT</w:t>
      </w:r>
    </w:p>
    <w:p>
      <w:pPr>
        <w:spacing w:after="120"/>
      </w:pPr>
      <w:r>
        <w:rPr>
          <w:rFonts w:ascii="Arial" w:hAnsi="Arial"/>
          <w:b w:val="0"/>
          <w:i w:val="0"/>
          <w:sz w:val="22"/>
        </w:rPr>
        <w:t>En contrepartie du tarif gelé consenti au présent avenant, le Client accepte expressément :</w:t>
      </w:r>
    </w:p>
    <w:p>
      <w:pPr>
        <w:pStyle w:val="ListBullet"/>
        <w:ind w:left="425"/>
      </w:pPr>
      <w:r>
        <w:rPr>
          <w:rFonts w:ascii="Arial" w:hAnsi="Arial"/>
          <w:sz w:val="22"/>
        </w:rPr>
        <w:t>l'affichage de sa dénomination commerciale « Collabimmo » et de son logo sur le site internet de l'Éditeur (datamerry.com) dans la section « Cabinets de référence » ou équivalent ;</w:t>
      </w:r>
    </w:p>
    <w:p>
      <w:pPr>
        <w:pStyle w:val="ListBullet"/>
        <w:ind w:left="425"/>
      </w:pPr>
      <w:r>
        <w:rPr>
          <w:rFonts w:ascii="Arial" w:hAnsi="Arial"/>
          <w:sz w:val="22"/>
        </w:rPr>
        <w:t>la mise à disposition d'un témoignage écrit court (1 à 3 phrases) attestant de l'utilisation et de la satisfaction du Service, accompagné d'une photographie ou d'un portrait de Mme Diara CAMARA si elle l'autorise ;</w:t>
      </w:r>
    </w:p>
    <w:p>
      <w:pPr>
        <w:pStyle w:val="ListBullet"/>
        <w:ind w:left="425"/>
      </w:pPr>
      <w:r>
        <w:rPr>
          <w:rFonts w:ascii="Arial" w:hAnsi="Arial"/>
          <w:sz w:val="22"/>
        </w:rPr>
        <w:t>le droit pour l'Éditeur d'utiliser cette référence dans ses supports commerciaux (plaquette, présentation à des prospects, communiqués de presse) sous réserve d'un usage loyal et conforme à l'image du Client.</w:t>
      </w:r>
    </w:p>
    <w:p>
      <w:pPr>
        <w:spacing w:after="120"/>
      </w:pPr>
      <w:r>
        <w:rPr>
          <w:rFonts w:ascii="Arial" w:hAnsi="Arial"/>
          <w:b w:val="0"/>
          <w:i w:val="0"/>
          <w:sz w:val="22"/>
        </w:rPr>
        <w:t>Le Client peut demander à tout moment, par simple email à contact@datamerry.com, le retrait de sa référence. Dans cette hypothèse, le tarif standard de l'Éditeur en vigueur à la date de la demande de retrait s'applique automatiquement à compter du mois suivant, le gel tarifaire de l'Article 2 cessant alors de produire ses effets.</w:t>
      </w:r>
    </w:p>
    <w:p>
      <w:pPr>
        <w:spacing w:before="240" w:after="120"/>
      </w:pPr>
      <w:r>
        <w:rPr>
          <w:rFonts w:ascii="Arial" w:hAnsi="Arial"/>
          <w:b/>
          <w:color w:val="1F3A8A"/>
          <w:sz w:val="28"/>
        </w:rPr>
        <w:t>ARTICLE 5 — PÉRIMÈTRE DU GEL</w:t>
      </w:r>
    </w:p>
    <w:p>
      <w:pPr>
        <w:spacing w:before="240" w:after="120"/>
      </w:pPr>
      <w:r>
        <w:rPr>
          <w:rFonts w:ascii="Arial" w:hAnsi="Arial"/>
          <w:b/>
          <w:color w:val="1F3A8A"/>
          <w:sz w:val="24"/>
        </w:rPr>
        <w:t>5.1 Service v1 couvert par le gel</w:t>
      </w:r>
    </w:p>
    <w:p>
      <w:pPr>
        <w:spacing w:after="120"/>
      </w:pPr>
      <w:r>
        <w:rPr>
          <w:rFonts w:ascii="Arial" w:hAnsi="Arial"/>
          <w:b w:val="0"/>
          <w:i w:val="0"/>
          <w:sz w:val="22"/>
        </w:rPr>
        <w:t>Le tarif gelé visé à l'Article 2 couvre exclusivement le périmètre fonctionnel suivant, ci-après dénommé « Service v1 » :</w:t>
      </w:r>
    </w:p>
    <w:p>
      <w:pPr>
        <w:pStyle w:val="ListBullet"/>
        <w:ind w:left="425"/>
      </w:pPr>
      <w:r>
        <w:rPr>
          <w:rFonts w:ascii="Arial" w:hAnsi="Arial"/>
          <w:sz w:val="22"/>
        </w:rPr>
        <w:t>endpoint /api/address/search (résolution d'adresses par IA) ;</w:t>
      </w:r>
    </w:p>
    <w:p>
      <w:pPr>
        <w:pStyle w:val="ListBullet"/>
        <w:ind w:left="425"/>
      </w:pPr>
      <w:r>
        <w:rPr>
          <w:rFonts w:ascii="Arial" w:hAnsi="Arial"/>
          <w:sz w:val="22"/>
        </w:rPr>
        <w:t>endpoint /api/estimate (estimation par cluster HDBSCAN) ;</w:t>
      </w:r>
    </w:p>
    <w:p>
      <w:pPr>
        <w:pStyle w:val="ListBullet"/>
        <w:ind w:left="425"/>
      </w:pPr>
      <w:r>
        <w:rPr>
          <w:rFonts w:ascii="Arial" w:hAnsi="Arial"/>
          <w:sz w:val="22"/>
        </w:rPr>
        <w:t>endpoint /api/rendement (rendement locatif OLAP/ANIL) ;</w:t>
      </w:r>
    </w:p>
    <w:p>
      <w:pPr>
        <w:pStyle w:val="ListBullet"/>
        <w:ind w:left="425"/>
      </w:pPr>
      <w:r>
        <w:rPr>
          <w:rFonts w:ascii="Arial" w:hAnsi="Arial"/>
          <w:sz w:val="22"/>
        </w:rPr>
        <w:t>endpoint /api/plafonds-fiscaux (Jeanbrun, LLI, Loc'Avantages, Denormandie) ;</w:t>
      </w:r>
    </w:p>
    <w:p>
      <w:pPr>
        <w:pStyle w:val="ListBullet"/>
        <w:ind w:left="425"/>
      </w:pPr>
      <w:r>
        <w:rPr>
          <w:rFonts w:ascii="Arial" w:hAnsi="Arial"/>
          <w:sz w:val="22"/>
        </w:rPr>
        <w:t>endpoint /api/rental-strategies (8 scénarios locatifs comparés) ;</w:t>
      </w:r>
    </w:p>
    <w:p>
      <w:pPr>
        <w:pStyle w:val="ListBullet"/>
        <w:ind w:left="425"/>
      </w:pPr>
      <w:r>
        <w:rPr>
          <w:rFonts w:ascii="Arial" w:hAnsi="Arial"/>
          <w:sz w:val="22"/>
        </w:rPr>
        <w:t>endpoint /api/property-report (rapport agrégé : estimation + rendement + plafonds + écoles + transports + services proximité + streetview) ;</w:t>
      </w:r>
    </w:p>
    <w:p>
      <w:pPr>
        <w:pStyle w:val="ListBullet"/>
        <w:ind w:left="425"/>
      </w:pPr>
      <w:r>
        <w:rPr>
          <w:rFonts w:ascii="Arial" w:hAnsi="Arial"/>
          <w:sz w:val="22"/>
        </w:rPr>
        <w:t>endpoint /api/property-report/pdf (export PDF brandé) ;</w:t>
      </w:r>
    </w:p>
    <w:p>
      <w:pPr>
        <w:pStyle w:val="ListBullet"/>
        <w:ind w:left="425"/>
      </w:pPr>
      <w:r>
        <w:rPr>
          <w:rFonts w:ascii="Arial" w:hAnsi="Arial"/>
          <w:sz w:val="22"/>
        </w:rPr>
        <w:t>endpoint /api/widget/render (rendu HTML stylé) et widget JavaScript embarquable.</w:t>
      </w:r>
    </w:p>
    <w:p>
      <w:pPr>
        <w:spacing w:before="240" w:after="120"/>
      </w:pPr>
      <w:r>
        <w:rPr>
          <w:rFonts w:ascii="Arial" w:hAnsi="Arial"/>
          <w:b/>
          <w:color w:val="1F3A8A"/>
          <w:sz w:val="24"/>
        </w:rPr>
        <w:t>5.2 Fonctionnalités futures exclues du gel</w:t>
      </w:r>
    </w:p>
    <w:p>
      <w:pPr>
        <w:spacing w:after="120"/>
      </w:pPr>
      <w:r>
        <w:rPr>
          <w:rFonts w:ascii="Arial" w:hAnsi="Arial"/>
          <w:b w:val="0"/>
          <w:i w:val="0"/>
          <w:sz w:val="22"/>
        </w:rPr>
        <w:t>Toute nouvelle fonctionnalité majeure ajoutée au catalogue de l'Éditeur après la signature du présent avenant fera l'objet d'une tarification distincte au tarif marché en vigueur à la date de sa mise à disposition. Sont notamment visées, sans que cette liste soit limitative :</w:t>
      </w:r>
    </w:p>
    <w:p>
      <w:pPr>
        <w:pStyle w:val="ListBullet"/>
        <w:ind w:left="425"/>
      </w:pPr>
      <w:r>
        <w:rPr>
          <w:rFonts w:ascii="Arial" w:hAnsi="Arial"/>
          <w:sz w:val="22"/>
        </w:rPr>
        <w:t>le module « Combo carte T » (hébergement de mandataires sous la carte T de l'Éditeur, génération de mandats et compromis, reversement de commissions) ;</w:t>
      </w:r>
    </w:p>
    <w:p>
      <w:pPr>
        <w:pStyle w:val="ListBullet"/>
        <w:ind w:left="425"/>
      </w:pPr>
      <w:r>
        <w:rPr>
          <w:rFonts w:ascii="Arial" w:hAnsi="Arial"/>
          <w:sz w:val="22"/>
        </w:rPr>
        <w:t>le chatbot d'analyse LLM (Phase 3 — post-formation IBM) ;</w:t>
      </w:r>
    </w:p>
    <w:p>
      <w:pPr>
        <w:pStyle w:val="ListBullet"/>
        <w:ind w:left="425"/>
      </w:pPr>
      <w:r>
        <w:rPr>
          <w:rFonts w:ascii="Arial" w:hAnsi="Arial"/>
          <w:sz w:val="22"/>
        </w:rPr>
        <w:t>les datasets premium additionnels (cadastre détaillé, permis de construire, INSEE socio-démo IRIS, etc.) ;</w:t>
      </w:r>
    </w:p>
    <w:p>
      <w:pPr>
        <w:pStyle w:val="ListBullet"/>
        <w:ind w:left="425"/>
      </w:pPr>
      <w:r>
        <w:rPr>
          <w:rFonts w:ascii="Arial" w:hAnsi="Arial"/>
          <w:sz w:val="22"/>
        </w:rPr>
        <w:t>tout nouveau dispositif fiscal ou réglementaire intégré ultérieurement.</w:t>
      </w:r>
    </w:p>
    <w:p>
      <w:pPr>
        <w:spacing w:after="120"/>
      </w:pPr>
      <w:r>
        <w:rPr>
          <w:rFonts w:ascii="Arial" w:hAnsi="Arial"/>
          <w:b w:val="0"/>
          <w:i/>
          <w:sz w:val="22"/>
        </w:rPr>
        <w:t>Le Client pourra librement souscrire ou décliner ces fonctionnalités futures sans que cela n'affecte le gel tarifaire applicable au Service v1.</w:t>
      </w:r>
    </w:p>
    <w:p>
      <w:pPr>
        <w:spacing w:before="240" w:after="120"/>
      </w:pPr>
      <w:r>
        <w:rPr>
          <w:rFonts w:ascii="Arial" w:hAnsi="Arial"/>
          <w:b/>
          <w:color w:val="1F3A8A"/>
          <w:sz w:val="28"/>
        </w:rPr>
        <w:t>ARTICLE 6 — DURÉE ET RÉSILIATION</w:t>
      </w:r>
    </w:p>
    <w:p>
      <w:pPr>
        <w:spacing w:after="120"/>
      </w:pPr>
      <w:r>
        <w:rPr>
          <w:rFonts w:ascii="Arial" w:hAnsi="Arial"/>
          <w:b w:val="0"/>
          <w:i w:val="0"/>
          <w:sz w:val="22"/>
        </w:rPr>
        <w:t>Le présent avenant prend effet à la date de sa signature par les deux Parties et demeure en vigueur tant que le Client conserve son abonnement actif au Service v1, sans interruption supérieure à 90 jours consécutifs.</w:t>
      </w:r>
    </w:p>
    <w:p>
      <w:pPr>
        <w:spacing w:after="120"/>
      </w:pPr>
      <w:r>
        <w:rPr>
          <w:rFonts w:ascii="Arial" w:hAnsi="Arial"/>
          <w:b w:val="0"/>
          <w:i w:val="0"/>
          <w:sz w:val="22"/>
        </w:rPr>
        <w:t>En cas d'interruption de l'abonnement supérieure à 90 jours consécutifs, le présent avenant cesse automatiquement de produire ses effets ; toute nouvelle souscription du Client interviendra alors aux conditions standard en vigueur au jour de la nouvelle souscription.</w:t>
      </w:r>
    </w:p>
    <w:p>
      <w:pPr>
        <w:spacing w:after="120"/>
      </w:pPr>
      <w:r>
        <w:rPr>
          <w:rFonts w:ascii="Arial" w:hAnsi="Arial"/>
          <w:b w:val="0"/>
          <w:i w:val="0"/>
          <w:sz w:val="22"/>
        </w:rPr>
        <w:t>Le présent avenant peut également être résilié par l'une ou l'autre des Parties, sans préavis et sans pénalité, en cas de manquement grave de l'autre Partie à ses obligations, après mise en demeure restée infructueuse pendant 30 jours.</w:t>
      </w:r>
    </w:p>
    <w:p>
      <w:pPr>
        <w:spacing w:before="240" w:after="120"/>
      </w:pPr>
      <w:r>
        <w:rPr>
          <w:rFonts w:ascii="Arial" w:hAnsi="Arial"/>
          <w:b/>
          <w:color w:val="1F3A8A"/>
          <w:sz w:val="28"/>
        </w:rPr>
        <w:t>ARTICLE 7 — BASCULE ÉDITORIALE EUREALIMMO → DATAMERRY SAS</w:t>
      </w:r>
    </w:p>
    <w:p>
      <w:pPr>
        <w:spacing w:after="120"/>
      </w:pPr>
      <w:r>
        <w:rPr>
          <w:rFonts w:ascii="Arial" w:hAnsi="Arial"/>
          <w:b w:val="0"/>
          <w:i w:val="0"/>
          <w:sz w:val="22"/>
        </w:rPr>
        <w:t>Les Parties reconnaissent que l'entité juridique DATAMERRY SAS est en cours d'immatriculation et que, pendant la phase transitoire, le Service est exploité et facturé par EUREALIMMO SARL en sa qualité d'éditeur. Dès l'immatriculation effective de DATAMERRY SAS, l'ensemble des droits et obligations du présent avenant sera transféré de plein droit à DATAMERRY SAS par voie de cession de fonds de commerce numérique, sans qu'aucune action ne soit requise du Client.</w:t>
      </w:r>
    </w:p>
    <w:p>
      <w:pPr>
        <w:spacing w:after="120"/>
      </w:pPr>
      <w:r>
        <w:rPr>
          <w:rFonts w:ascii="Arial" w:hAnsi="Arial"/>
          <w:b w:val="0"/>
          <w:i/>
          <w:sz w:val="22"/>
        </w:rPr>
        <w:t>Le Client en sera informé par email au moins trente (30) jours avant la bascule. Les conditions financières, le périmètre et l'ensemble des stipulations du présent avenant demeureront strictement identiques.</w:t>
      </w:r>
    </w:p>
    <w:p>
      <w:pPr>
        <w:spacing w:before="240" w:after="120"/>
      </w:pPr>
      <w:r>
        <w:rPr>
          <w:rFonts w:ascii="Arial" w:hAnsi="Arial"/>
          <w:b/>
          <w:color w:val="1F3A8A"/>
          <w:sz w:val="28"/>
        </w:rPr>
        <w:t>ARTICLE 8 — DROIT APPLICABLE ET JURIDICTION</w:t>
      </w:r>
    </w:p>
    <w:p>
      <w:pPr>
        <w:spacing w:after="120"/>
      </w:pPr>
      <w:r>
        <w:rPr>
          <w:rFonts w:ascii="Arial" w:hAnsi="Arial"/>
          <w:b w:val="0"/>
          <w:i w:val="0"/>
          <w:sz w:val="22"/>
        </w:rPr>
        <w:t>Le présent avenant est régi par le droit français. Tout litige relatif à sa formation, son exécution ou son interprétation sera soumis à la compétence exclusive des tribunaux de Paris, après tentative préalable de règlement amiable entre les Parties.</w:t>
      </w:r>
    </w:p>
    <w:p>
      <w:pPr>
        <w:spacing w:before="240" w:after="120"/>
      </w:pPr>
      <w:r>
        <w:rPr>
          <w:rFonts w:ascii="Arial" w:hAnsi="Arial"/>
          <w:b/>
          <w:color w:val="1F3A8A"/>
          <w:sz w:val="28"/>
        </w:rPr>
        <w:t>SIGNATURES</w:t>
      </w:r>
    </w:p>
    <w:p>
      <w:pPr>
        <w:spacing w:after="120"/>
      </w:pPr>
      <w:r>
        <w:rPr>
          <w:rFonts w:ascii="Arial" w:hAnsi="Arial"/>
          <w:b w:val="0"/>
          <w:i/>
          <w:sz w:val="22"/>
        </w:rPr>
        <w:t>Fait en deux exemplaires originaux, un pour chaque Partie.</w:t>
      </w:r>
    </w:p>
    <w:p/>
    <w:tbl>
      <w:tblPr>
        <w:tblW w:type="auto" w:w="0"/>
        <w:tblLayout w:type="fixed"/>
        <w:tblLook w:firstColumn="1" w:firstRow="1" w:lastColumn="0" w:lastRow="0" w:noHBand="0" w:noVBand="1" w:val="04A0"/>
      </w:tblPr>
      <w:tblGrid>
        <w:gridCol w:w="4819"/>
        <w:gridCol w:w="4819"/>
      </w:tblGrid>
      <w:tr>
        <w:tc>
          <w:tcPr>
            <w:tcW w:type="dxa" w:w="4986"/>
            <w:tcBorders>
              <w:top w:val="single" w:sz="4" w:color="CCCCCC"/>
              <w:left w:val="single" w:sz="4" w:color="CCCCCC"/>
              <w:bottom w:val="single" w:sz="4" w:color="CCCCCC"/>
              <w:right w:val="single" w:sz="4" w:color="CCCCCC"/>
            </w:tcBorders>
          </w:tcPr>
          <w:p>
            <w:r>
              <w:rPr>
                <w:rFonts w:ascii="Arial" w:hAnsi="Arial"/>
                <w:b/>
                <w:sz w:val="20"/>
              </w:rPr>
              <w:t>Pour l'Éditeur — EUREALIMMO SARL</w:t>
            </w:r>
          </w:p>
        </w:tc>
        <w:tc>
          <w:tcPr>
            <w:tcW w:type="dxa" w:w="4986"/>
            <w:tcBorders>
              <w:top w:val="single" w:sz="4" w:color="CCCCCC"/>
              <w:left w:val="single" w:sz="4" w:color="CCCCCC"/>
              <w:bottom w:val="single" w:sz="4" w:color="CCCCCC"/>
              <w:right w:val="single" w:sz="4" w:color="CCCCCC"/>
            </w:tcBorders>
          </w:tcPr>
          <w:p>
            <w:r>
              <w:rPr>
                <w:rFonts w:ascii="Arial" w:hAnsi="Arial"/>
                <w:b/>
                <w:sz w:val="20"/>
              </w:rPr>
              <w:t>Pour le Client — COLLABIMMO</w:t>
            </w:r>
          </w:p>
        </w:tc>
      </w:tr>
      <w:tr>
        <w:tc>
          <w:tcPr>
            <w:tcW w:type="dxa" w:w="4986"/>
            <w:vAlign w:val="top"/>
            <w:tcBorders>
              <w:top w:val="single" w:sz="4" w:color="CCCCCC"/>
              <w:left w:val="single" w:sz="4" w:color="CCCCCC"/>
              <w:bottom w:val="single" w:sz="4" w:color="CCCCCC"/>
              <w:right w:val="single" w:sz="4" w:color="CCCCCC"/>
            </w:tcBorders>
          </w:tcPr>
          <w:p>
            <w:r>
              <w:rPr>
                <w:rFonts w:ascii="Arial" w:hAnsi="Arial"/>
                <w:sz w:val="20"/>
              </w:rPr>
              <w:t>Fait à _______________ le 25/05/2026</w:t>
              <w:br/>
              <w:br/>
            </w:r>
            <w:r>
              <w:rPr>
                <w:rFonts w:ascii="Arial" w:hAnsi="Arial"/>
                <w:sz w:val="20"/>
              </w:rPr>
              <w:t>Signature (précédée de la mention « Lu et approuvé ») :</w:t>
              <w:br/>
              <w:br/>
              <w:br/>
              <w:br/>
              <w:br/>
            </w:r>
            <w:r>
              <w:rPr>
                <w:rFonts w:ascii="Arial" w:hAnsi="Arial"/>
                <w:b/>
                <w:sz w:val="20"/>
              </w:rPr>
              <w:t>M. Samuel BRUNO</w:t>
              <w:br/>
              <w:t>Gérant</w:t>
            </w:r>
          </w:p>
        </w:tc>
        <w:tc>
          <w:tcPr>
            <w:tcW w:type="dxa" w:w="4986"/>
            <w:vAlign w:val="top"/>
            <w:tcBorders>
              <w:top w:val="single" w:sz="4" w:color="CCCCCC"/>
              <w:left w:val="single" w:sz="4" w:color="CCCCCC"/>
              <w:bottom w:val="single" w:sz="4" w:color="CCCCCC"/>
              <w:right w:val="single" w:sz="4" w:color="CCCCCC"/>
            </w:tcBorders>
          </w:tcPr>
          <w:p>
            <w:r>
              <w:rPr>
                <w:rFonts w:ascii="Arial" w:hAnsi="Arial"/>
                <w:sz w:val="20"/>
              </w:rPr>
              <w:t>Fait à _______________ le 25/05/2026</w:t>
              <w:br/>
              <w:br/>
            </w:r>
            <w:r>
              <w:rPr>
                <w:rFonts w:ascii="Arial" w:hAnsi="Arial"/>
                <w:sz w:val="20"/>
              </w:rPr>
              <w:t>Signature (précédée de la mention « Lu et approuvé ») :</w:t>
              <w:br/>
              <w:br/>
              <w:br/>
              <w:br/>
              <w:br/>
            </w:r>
            <w:r>
              <w:rPr>
                <w:rFonts w:ascii="Arial" w:hAnsi="Arial"/>
                <w:b/>
                <w:sz w:val="20"/>
              </w:rPr>
              <w:t>Mme Diara CAMARA</w:t>
              <w:br/>
              <w:t>[Fonction]</w:t>
            </w:r>
          </w:p>
        </w:tc>
      </w:tr>
    </w:tbl>
    <w:p/>
    <w:p>
      <w:pPr>
        <w:spacing w:after="120"/>
        <w:jc w:val="center"/>
      </w:pPr>
      <w:r>
        <w:rPr>
          <w:rFonts w:ascii="Arial" w:hAnsi="Arial"/>
          <w:b w:val="0"/>
          <w:i/>
          <w:color w:val="64748B"/>
          <w:sz w:val="16"/>
        </w:rPr>
        <w:t>Document v1.0 — généré le 25/05/2026 — Service DATAMERRY® exploité par EUREALIMMO SARL (en attente de bascule sur DATAMERRY SAS en cours d'immatriculation).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