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0000"/>
          <w:sz w:val="40"/>
          <w:szCs w:val="40"/>
        </w:rPr>
        <w:t xml:space="preserve">Vision und Ziele für St@rtMeUp</w:t>
      </w:r>
    </w:p>
    <w:p>
      <w:pPr>
        <w:pBdr>
          <w:bottom w:val="single" w:color="1F6B63" w:sz="6" w:space="1"/>
        </w:pBdr>
        <w:spacing w:after="200"/>
      </w:pPr>
      <w:r>
        <w:rPr>
          <w:i/>
          <w:iCs/>
          <w:color w:val="666666"/>
        </w:rPr>
        <w:t xml:space="preserve">Team BurnDown – Requirements Engineering (Kapitel 2)</w:t>
      </w:r>
    </w:p>
    <w:p>
      <w:pPr>
        <w:pStyle w:val="Heading1"/>
      </w:pPr>
      <w:r>
        <w:t xml:space="preserve">1  Einordnung</w:t>
      </w:r>
    </w:p>
    <w:p>
      <w:pPr>
        <w:spacing w:after="120"/>
      </w:pPr>
      <w:r>
        <w:t xml:space="preserve">Bei St@rtMeUp geht es nicht nur um die Entwicklung einer Web-Anwendung, sondern um eine zentrale Plattform zur Vernetzung von Studierenden, Start-ups, Unternehmen und Unterstützern im Umfeld der Hochschule Bonn-Rhein-Sieg (H-BRS). Die Vision beschreibt den angestrebten Nutzen und die Richtung des Projekts, ohne festzulegen, wie er erreicht wird. Die Ziele konkretisieren diesen Anspruch in überprüfbarer, möglichst SMART-er Form. Zur Formulierung werden die Vision, die SMART-Kriterien, die Zielschablone nach Rupp/Bergsmann, die PAM-Methode und die Design-the-box-Methode (Kapitel 2) herangezogen.</w:t>
      </w:r>
    </w:p>
    <w:p>
      <w:pPr>
        <w:pStyle w:val="Heading1"/>
      </w:pPr>
      <w:r>
        <w:t xml:space="preserve">2  Vision</w:t>
      </w:r>
    </w:p>
    <w:p>
      <w:pPr>
        <w:spacing w:after="120"/>
      </w:pPr>
      <w:r>
        <w:rPr>
          <w:b/>
          <w:bCs/>
        </w:rPr>
        <w:t xml:space="preserve">Übergeordnete Vision: </w:t>
      </w:r>
      <w:r>
        <w:t xml:space="preserve">St@rtMeUp soll innerhalb der ersten drei Jahre nach Einführung zur zentralen digitalen Plattform der H-BRS werden, über die Studierende, Start-ups, Unternehmen und Unterstützer effizient miteinander vernetzt werden – um Gründungsideen sichtbar zu machen, Kooperationen anzustoßen und Karriere- sowie Entwicklungschancen nachhaltig zu fördern.</w:t>
      </w:r>
    </w:p>
    <w:p>
      <w:pPr>
        <w:spacing w:after="120"/>
      </w:pPr>
      <w:r>
        <w:rPr>
          <w:b/>
          <w:bCs/>
        </w:rPr>
        <w:t xml:space="preserve">Wirtschaftliche Vision: </w:t>
      </w:r>
      <w:r>
        <w:t xml:space="preserve">Mit St@rtMeUp schafft die H-BRS eine sichtbare und attraktive Plattform, die die regionale Gründungskultur stärkt, die Zusammenarbeit mit Start-ups und Unternehmen ausbaut und den Mehrwert für Studierende sowie externe Partner deutlich erhöht.</w:t>
      </w:r>
    </w:p>
    <w:p>
      <w:pPr>
        <w:spacing w:after="120"/>
      </w:pPr>
      <w:r>
        <w:rPr>
          <w:b/>
          <w:bCs/>
        </w:rPr>
        <w:t xml:space="preserve">Technische Vision: </w:t>
      </w:r>
      <w:r>
        <w:t xml:space="preserve">St@rtMeUp soll als moderne, sichere und benutzerfreundliche Web-Anwendung entwickelt werden, die auf unterschiedlichen Endgeräten nutzbar ist, externe Systeme integrieren kann und eine skalierbare Grundlage für zukünftige Erweiterungen – einschließlich KI-basierter Funktionen – bietet.</w:t>
      </w:r>
    </w:p>
    <w:p>
      <w:pPr>
        <w:pStyle w:val="Heading1"/>
      </w:pPr>
      <w:r>
        <w:t xml:space="preserve">3  Vision nach der PAM-Methode</w:t>
      </w:r>
    </w:p>
    <w:p>
      <w:pPr>
        <w:pStyle w:val="Heading2"/>
      </w:pPr>
      <w:r>
        <w:t xml:space="preserve">PAM – wirtschaftlich</w:t>
      </w:r>
    </w:p>
    <w:p>
      <w:pPr>
        <w:spacing w:after="120"/>
      </w:pPr>
      <w:r>
        <w:rPr>
          <w:b/>
          <w:bCs/>
        </w:rPr>
        <w:t xml:space="preserve">P (Purpose): </w:t>
      </w:r>
      <w:r>
        <w:t xml:space="preserve">St@rtMeUp bringt Studierende, Start-ups und Unternehmen auf einer gemeinsamen Plattform zusammen.</w:t>
      </w:r>
    </w:p>
    <w:p>
      <w:pPr>
        <w:spacing w:after="120"/>
      </w:pPr>
      <w:r>
        <w:rPr>
          <w:b/>
          <w:bCs/>
        </w:rPr>
        <w:t xml:space="preserve">A (Advantage): </w:t>
      </w:r>
      <w:r>
        <w:t xml:space="preserve">Die Hochschule erhöht ihre Sichtbarkeit, stärkt die regionale Innovationskultur und erleichtert die Vermittlung von Ideen, Projekten, Praktika und Jobs.</w:t>
      </w:r>
    </w:p>
    <w:p>
      <w:pPr>
        <w:spacing w:after="120"/>
      </w:pPr>
      <w:r>
        <w:rPr>
          <w:b/>
          <w:bCs/>
        </w:rPr>
        <w:t xml:space="preserve">M (Measure): </w:t>
      </w:r>
      <w:r>
        <w:t xml:space="preserve">Messbar an der Anzahl registrierter Nutzer, aktiver Start-ups, ausgeschriebener Projekte/Stellen und vermittelter Kontakte.</w:t>
      </w:r>
    </w:p>
    <w:p>
      <w:pPr>
        <w:pStyle w:val="Heading2"/>
      </w:pPr>
      <w:r>
        <w:t xml:space="preserve">PAM – technisch</w:t>
      </w:r>
    </w:p>
    <w:p>
      <w:pPr>
        <w:spacing w:after="120"/>
      </w:pPr>
      <w:r>
        <w:rPr>
          <w:b/>
          <w:bCs/>
        </w:rPr>
        <w:t xml:space="preserve">P (Purpose): </w:t>
      </w:r>
      <w:r>
        <w:t xml:space="preserve">St@rtMeUp stellt eine technisch solide Plattform für Vernetzung, Profilmanagement und digitale Interaktion bereit.</w:t>
      </w:r>
    </w:p>
    <w:p>
      <w:pPr>
        <w:spacing w:after="120"/>
      </w:pPr>
      <w:r>
        <w:rPr>
          <w:b/>
          <w:bCs/>
        </w:rPr>
        <w:t xml:space="preserve">A (Advantage): </w:t>
      </w:r>
      <w:r>
        <w:t xml:space="preserve">Durch responsive Nutzung, sichere Architektur und Erweiterbarkeit entsteht eine langlebige und wartbare Lösung.</w:t>
      </w:r>
    </w:p>
    <w:p>
      <w:pPr>
        <w:spacing w:after="120"/>
      </w:pPr>
      <w:r>
        <w:rPr>
          <w:b/>
          <w:bCs/>
        </w:rPr>
        <w:t xml:space="preserve">M (Measure): </w:t>
      </w:r>
      <w:r>
        <w:t xml:space="preserve">Messbar über Verfügbarkeit, Ladezeiten, Testabdeckung, bestandene Quality Gates und Nutzbarkeit auf verschiedenen Geräten.</w:t>
      </w:r>
    </w:p>
    <w:p>
      <w:pPr>
        <w:pStyle w:val="Heading1"/>
      </w:pPr>
      <w:r>
        <w:t xml:space="preserve">4  Design-the-box-Formulierung</w:t>
      </w:r>
    </w:p>
    <w:p>
      <w:pPr>
        <w:shd w:fill="F7F9FB" w:val="clear"/>
        <w:spacing w:after="120"/>
      </w:pPr>
      <w:r>
        <w:t xml:space="preserve">Zur Lösung von </w:t>
      </w:r>
      <w:r>
        <w:rPr>
          <w:b/>
          <w:bCs/>
        </w:rPr>
        <w:t xml:space="preserve">fehlender Vernetzung, mangelnder Sichtbarkeit von Gründungsideen und erschwerter Kontaktaufnahme</w:t>
      </w:r>
      <w:r>
        <w:t xml:space="preserve"> zwischen Studierenden, Start-ups und Unternehmen für die Zielgruppen </w:t>
      </w:r>
      <w:r>
        <w:rPr>
          <w:b/>
          <w:bCs/>
        </w:rPr>
        <w:t xml:space="preserve">Studierende, Start-ups, Unternehmen und Hochschule</w:t>
      </w:r>
      <w:r>
        <w:t xml:space="preserve"> benötigen wir das Produkt </w:t>
      </w:r>
      <w:r>
        <w:rPr>
          <w:b/>
          <w:bCs/>
        </w:rPr>
        <w:t xml:space="preserve">St@rtMeUp</w:t>
      </w:r>
      <w:r>
        <w:t xml:space="preserve"> mit der Produktkategorie </w:t>
      </w:r>
      <w:r>
        <w:rPr>
          <w:b/>
          <w:bCs/>
        </w:rPr>
        <w:t xml:space="preserve">webbasierte Vernetzungs- und Gründungsplattform</w:t>
      </w:r>
      <w:r>
        <w:t xml:space="preserve">, weil es Profile, Ausschreibungen, Matching, Bewertungen und Kommunikationsmöglichkeiten bündelt und sich von allgemeinen Job- oder Netzwerkplattformen durch den klaren Fokus auf die H-BRS und das regionale Innovationsumfeld unterscheidet.</w:t>
      </w:r>
    </w:p>
    <w:p>
      <w:pPr>
        <w:pStyle w:val="Heading1"/>
      </w:pPr>
      <w:r>
        <w:t xml:space="preserve">5  Ziele (SMART)</w:t>
      </w:r>
    </w:p>
    <w:p>
      <w:pPr>
        <w:spacing w:after="120"/>
      </w:pPr>
      <w:r>
        <w:t xml:space="preserve">Die Ziele sind nach wirtschaftlichen und technischen Zielen gegliedert und nach den SMART-Kriterien formuliert (Spezifisch, Messbar, Akzeptiert, Realistisch, Terminierbar). Alle Ziele wurden mit dem Product Owner (Dr. Kassoni) und mit Dr. von Klein (Gründungszentrum) abgestimmt (Akzeptiert) und auf Basis vergleichbarer Hochschulplattformen als erreichbar eingeschätzt (Realistisch).</w:t>
      </w:r>
    </w:p>
    <w:p>
      <w:pPr>
        <w:pStyle w:val="Heading2"/>
      </w:pPr>
      <w:r>
        <w:t xml:space="preserve">5.1  Wirtschaftliche Ziele</w:t>
      </w:r>
    </w:p>
    <w:p>
      <w:pPr>
        <w:spacing w:after="120"/>
      </w:pPr>
      <w:r>
        <w:rPr>
          <w:b/>
          <w:bCs/>
        </w:rPr>
        <w:t xml:space="preserve">W1: </w:t>
      </w:r>
      <w:r>
        <w:t xml:space="preserve">Bis zum Ende des ersten Projektjahres nach Einführung sollen sich mindestens 150 Studierende und 20 Start-ups auf St@rtMeUp registriert haben.</w:t>
      </w:r>
    </w:p>
    <w:p>
      <w:pPr>
        <w:spacing w:after="120"/>
      </w:pPr>
      <w:r>
        <w:rPr>
          <w:b/>
          <w:bCs/>
        </w:rPr>
        <w:t xml:space="preserve">W2: </w:t>
      </w:r>
      <w:r>
        <w:t xml:space="preserve">Bis sechs Monate nach Einführung sollen mindestens 30 aktive Ausschreibungen (Praktika, Projekte, Werkstudentenstellen) veröffentlicht sowie mindestens 20 Gründungsideen eingereicht worden sein.</w:t>
      </w:r>
    </w:p>
    <w:p>
      <w:pPr>
        <w:spacing w:after="120"/>
      </w:pPr>
      <w:r>
        <w:rPr>
          <w:b/>
          <w:bCs/>
        </w:rPr>
        <w:t xml:space="preserve">W3: </w:t>
      </w:r>
      <w:r>
        <w:t xml:space="preserve">Bis zum Ende des ersten Projektjahres sollen mindestens 25 konkrete Kontakte zwischen Studierenden und Start-ups bzw. Unternehmen über die Plattform initiiert worden sein.</w:t>
      </w:r>
    </w:p>
    <w:p>
      <w:pPr>
        <w:spacing w:after="120"/>
      </w:pPr>
      <w:r>
        <w:rPr>
          <w:b/>
          <w:bCs/>
        </w:rPr>
        <w:t xml:space="preserve">W4: </w:t>
      </w:r>
      <w:r>
        <w:t xml:space="preserve">Innerhalb von zwölf Monaten sollen mindestens 70 % der befragten Nutzer die Plattform als hilfreiche Unterstützung für Vernetzung, Karriere oder Gründung bewerten – gemessen über einen standardisierten Fragebogen (5-stufige Likert-Skala bzw. SUS) an einer Stichprobe von mindestens 30 aktiven Nutzern.</w:t>
      </w:r>
    </w:p>
    <w:p>
      <w:pPr>
        <w:spacing w:after="120"/>
      </w:pPr>
      <w:r>
        <w:rPr>
          <w:b/>
          <w:bCs/>
        </w:rPr>
        <w:t xml:space="preserve">W5: </w:t>
      </w:r>
      <w:r>
        <w:t xml:space="preserve">Bis zum Ende des ersten Projektjahres sollen mindestens 5 externe Partner (z. B. Start-ups, Unternehmen, Unterstützer oder Sponsoren) aktiv eingebunden sein.</w:t>
      </w:r>
    </w:p>
    <w:p>
      <w:pPr>
        <w:pStyle w:val="Heading2"/>
      </w:pPr>
      <w:r>
        <w:t xml:space="preserve">5.2  Technische Ziele</w:t>
      </w:r>
    </w:p>
    <w:p>
      <w:pPr>
        <w:spacing w:after="120"/>
      </w:pPr>
      <w:r>
        <w:rPr>
          <w:b/>
          <w:bCs/>
        </w:rPr>
        <w:t xml:space="preserve">T1: </w:t>
      </w:r>
      <w:r>
        <w:t xml:space="preserve">Bis zum Ende des Projekts soll St@rtMeUp als responsive Web-Anwendung auf Desktop, Tablet und Smartphone nutzbar sein.</w:t>
      </w:r>
    </w:p>
    <w:p>
      <w:pPr>
        <w:spacing w:after="120"/>
      </w:pPr>
      <w:r>
        <w:rPr>
          <w:b/>
          <w:bCs/>
        </w:rPr>
        <w:t xml:space="preserve">T2: </w:t>
      </w:r>
      <w:r>
        <w:t xml:space="preserve">Die Plattform soll bis zur ersten lauffähigen Version eine sichere Benutzerregistrierung, Anmeldung und verschlüsselte (gehashte) Passwortspeicherung bereitstellen.</w:t>
      </w:r>
    </w:p>
    <w:p>
      <w:pPr>
        <w:spacing w:after="120"/>
      </w:pPr>
      <w:r>
        <w:rPr>
          <w:b/>
          <w:bCs/>
        </w:rPr>
        <w:t xml:space="preserve">T3: </w:t>
      </w:r>
      <w:r>
        <w:t xml:space="preserve">Bis zur Abschlusspräsentation sollen mindestens 80 % der zentralen Geschäftslogik durch automatisierte Tests abgedeckt sein.</w:t>
      </w:r>
    </w:p>
    <w:p>
      <w:pPr>
        <w:spacing w:after="120"/>
      </w:pPr>
      <w:r>
        <w:rPr>
          <w:b/>
          <w:bCs/>
        </w:rPr>
        <w:t xml:space="preserve">T4: </w:t>
      </w:r>
      <w:r>
        <w:t xml:space="preserve">Das System soll bis zur Abschlusspräsentation die definierten Qualitätsanforderungen in SonarQube erfüllen, sodass das Quality Gate nicht auf rot steht.</w:t>
      </w:r>
    </w:p>
    <w:p>
      <w:pPr>
        <w:spacing w:after="120"/>
      </w:pPr>
      <w:r>
        <w:rPr>
          <w:b/>
          <w:bCs/>
        </w:rPr>
        <w:t xml:space="preserve">T5: </w:t>
      </w:r>
      <w:r>
        <w:t xml:space="preserve">Bis zum Ende des Projekts soll die Anwendung eine dokumentierte Software-Architektur mit Systemkontext, zentralen Bausteinen und wesentlichen Entwurfsentscheidungen besitzen.</w:t>
      </w:r>
    </w:p>
    <w:p>
      <w:pPr>
        <w:spacing w:after="120"/>
      </w:pPr>
      <w:r>
        <w:rPr>
          <w:b/>
          <w:bCs/>
        </w:rPr>
        <w:t xml:space="preserve">T6 (KI): </w:t>
      </w:r>
      <w:r>
        <w:t xml:space="preserve">Bis zur Abschlusspräsentation soll ein funktionsfähiger KI-gestützter Bewertungs-Prototyp für Gründungsideen (über KI:connect) bereitstehen, dessen Ausgaben klar als KI-generiert gekennzeichnet sind und für den mindestens zwei dokumentierte Fehlerfall-/Halluzinationstests sowie ein definierter Fallback bei Nichtverfügbarkeit vorliegen.</w:t>
      </w:r>
    </w:p>
    <w:p>
      <w:pPr>
        <w:pStyle w:val="Heading1"/>
      </w:pPr>
      <w:r>
        <w:t xml:space="preserve">6  Zielschablone nach Rupp/Bergsmann</w:t>
      </w:r>
    </w:p>
    <w:p>
      <w:pPr>
        <w:spacing w:after="120"/>
      </w:pPr>
      <w:r>
        <w:t xml:space="preserve">Zur Veranschaulichung werden zwei zentrale Ziele zusätzlich in der vierteiligen Zielschablone (Ziel / Stakeholder / Auswirkung auf den Stakeholder / Einschränkungen) ausformuliert.</w:t>
      </w:r>
    </w:p>
    <w:p>
      <w:pPr>
        <w:pStyle w:val="Heading2"/>
      </w:pPr>
      <w:r>
        <w:t xml:space="preserve">6.1  Zielschablone zu W3 (Kontaktvermittlung)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AF3F1" w:val="clear"/>
            <w:tcMar>
              <w:top w:type="dxa" w:w="80"/>
              <w:left w:type="dxa" w:w="120"/>
              <w:bottom w:type="dxa" w:w="80"/>
              <w:right w:type="dxa" w:w="120"/>
            </w:tcMar>
          </w:tcPr>
          <w:p>
            <w:r>
              <w:rPr>
                <w:b/>
                <w:bCs/>
              </w:rPr>
              <w:t xml:space="preserve">Ziel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Über St@rtMeUp sollen bis zum Ende des ersten Projektjahres mindestens 25 konkrete Kontakte zwischen Studierenden und Start-ups bzw. Unternehmen initiiert werden.</w:t>
            </w:r>
          </w:p>
        </w:tc>
      </w:tr>
      <w:tr>
        <w:tc>
          <w:tcPr>
            <w:tcW w:type="dxa" w:w="4680"/>
            <w:tcBorders>
              <w:top w:val="single" w:color="CCCCCC" w:sz="1"/>
              <w:left w:val="single" w:color="CCCCCC" w:sz="1"/>
              <w:bottom w:val="single" w:color="CCCCCC" w:sz="1"/>
              <w:right w:val="single" w:color="CCCCCC" w:sz="1"/>
            </w:tcBorders>
            <w:shd w:fill="EAF3F1" w:val="clear"/>
            <w:tcMar>
              <w:top w:type="dxa" w:w="80"/>
              <w:left w:type="dxa" w:w="120"/>
              <w:bottom w:type="dxa" w:w="80"/>
              <w:right w:type="dxa" w:w="120"/>
            </w:tcMar>
          </w:tcPr>
          <w:p>
            <w:r>
              <w:rPr>
                <w:b/>
                <w:bCs/>
              </w:rPr>
              <w:t xml:space="preserve">Stakeholder / Quelle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Dr. von Klein (Gründungszentrum) als Auftraggeber; profitierend: Studierende und Start-ups, die Teampartner bzw. Talente suchen.</w:t>
            </w:r>
          </w:p>
        </w:tc>
      </w:tr>
      <w:tr>
        <w:tc>
          <w:tcPr>
            <w:tcW w:type="dxa" w:w="4680"/>
            <w:tcBorders>
              <w:top w:val="single" w:color="CCCCCC" w:sz="1"/>
              <w:left w:val="single" w:color="CCCCCC" w:sz="1"/>
              <w:bottom w:val="single" w:color="CCCCCC" w:sz="1"/>
              <w:right w:val="single" w:color="CCCCCC" w:sz="1"/>
            </w:tcBorders>
            <w:shd w:fill="EAF3F1" w:val="clear"/>
            <w:tcMar>
              <w:top w:type="dxa" w:w="80"/>
              <w:left w:type="dxa" w:w="120"/>
              <w:bottom w:type="dxa" w:w="80"/>
              <w:right w:type="dxa" w:w="120"/>
            </w:tcMar>
          </w:tcPr>
          <w:p>
            <w:r>
              <w:rPr>
                <w:b/>
                <w:bCs/>
              </w:rPr>
              <w:t xml:space="preserve">Auswirkung auf den Stakeholder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Die bisher informelle, aufwändige Kontaktanbahnung (Events, Mailverteiler) wird durch gezieltes Matching und plattforminterne Bewerbung ersetzt; geringerer Vermittlungsaufwand und höhere Trefferquote.</w:t>
            </w:r>
          </w:p>
        </w:tc>
      </w:tr>
      <w:tr>
        <w:tc>
          <w:tcPr>
            <w:tcW w:type="dxa" w:w="4680"/>
            <w:tcBorders>
              <w:top w:val="single" w:color="CCCCCC" w:sz="1"/>
              <w:left w:val="single" w:color="CCCCCC" w:sz="1"/>
              <w:bottom w:val="single" w:color="CCCCCC" w:sz="1"/>
              <w:right w:val="single" w:color="CCCCCC" w:sz="1"/>
            </w:tcBorders>
            <w:shd w:fill="EAF3F1" w:val="clear"/>
            <w:tcMar>
              <w:top w:type="dxa" w:w="80"/>
              <w:left w:type="dxa" w:w="120"/>
              <w:bottom w:type="dxa" w:w="80"/>
              <w:right w:type="dxa" w:w="120"/>
            </w:tcMar>
          </w:tcPr>
          <w:p>
            <w:r>
              <w:rPr>
                <w:b/>
                <w:bCs/>
              </w:rPr>
              <w:t xml:space="preserve">Einschränkungen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Beschränkung auf das H-BRS-Umfeld; DSGVO-konforme Datenverarbeitung; nur über die Plattform erfolgte Kontakte sind zählbar.</w:t>
            </w:r>
          </w:p>
        </w:tc>
      </w:tr>
    </w:tbl>
    <w:p>
      <w:pPr>
        <w:pStyle w:val="Heading2"/>
      </w:pPr>
      <w:r>
        <w:t xml:space="preserve">6.2  Zielschablone zu T6 (KI-Bewertung)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AF3F1" w:val="clear"/>
            <w:tcMar>
              <w:top w:type="dxa" w:w="80"/>
              <w:left w:type="dxa" w:w="120"/>
              <w:bottom w:type="dxa" w:w="80"/>
              <w:right w:type="dxa" w:w="120"/>
            </w:tcMar>
          </w:tcPr>
          <w:p>
            <w:r>
              <w:rPr>
                <w:b/>
                <w:bCs/>
              </w:rPr>
              <w:t xml:space="preserve">Ziel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Bis zur Abschlusspräsentation steht ein KI-gestützter Bewertungs-Prototyp für Gründungsideen (über KI:connect) bereit.</w:t>
            </w:r>
          </w:p>
        </w:tc>
      </w:tr>
      <w:tr>
        <w:tc>
          <w:tcPr>
            <w:tcW w:type="dxa" w:w="4680"/>
            <w:tcBorders>
              <w:top w:val="single" w:color="CCCCCC" w:sz="1"/>
              <w:left w:val="single" w:color="CCCCCC" w:sz="1"/>
              <w:bottom w:val="single" w:color="CCCCCC" w:sz="1"/>
              <w:right w:val="single" w:color="CCCCCC" w:sz="1"/>
            </w:tcBorders>
            <w:shd w:fill="EAF3F1" w:val="clear"/>
            <w:tcMar>
              <w:top w:type="dxa" w:w="80"/>
              <w:left w:type="dxa" w:w="120"/>
              <w:bottom w:type="dxa" w:w="80"/>
              <w:right w:type="dxa" w:w="120"/>
            </w:tcMar>
          </w:tcPr>
          <w:p>
            <w:r>
              <w:rPr>
                <w:b/>
                <w:bCs/>
              </w:rPr>
              <w:t xml:space="preserve">Stakeholder / Quelle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Software-Architekt Björn Müller (technisch verantwortlich); profitierend: Studierende, die niedrigschwelliges Feedback zu ihren Ideen suchen.</w:t>
            </w:r>
          </w:p>
        </w:tc>
      </w:tr>
      <w:tr>
        <w:tc>
          <w:tcPr>
            <w:tcW w:type="dxa" w:w="4680"/>
            <w:tcBorders>
              <w:top w:val="single" w:color="CCCCCC" w:sz="1"/>
              <w:left w:val="single" w:color="CCCCCC" w:sz="1"/>
              <w:bottom w:val="single" w:color="CCCCCC" w:sz="1"/>
              <w:right w:val="single" w:color="CCCCCC" w:sz="1"/>
            </w:tcBorders>
            <w:shd w:fill="EAF3F1" w:val="clear"/>
            <w:tcMar>
              <w:top w:type="dxa" w:w="80"/>
              <w:left w:type="dxa" w:w="120"/>
              <w:bottom w:type="dxa" w:w="80"/>
              <w:right w:type="dxa" w:w="120"/>
            </w:tcMar>
          </w:tcPr>
          <w:p>
            <w:r>
              <w:rPr>
                <w:b/>
                <w:bCs/>
              </w:rPr>
              <w:t xml:space="preserve">Auswirkung auf den Stakeholder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Studierende erhalten sofortiges Feedback zu Stärken und Schwächen ihrer Idee, ohne auf menschliche Gutachter zu warten; kürzere Feedback-Schleifen in der frühen Ideenphase.</w:t>
            </w:r>
          </w:p>
        </w:tc>
      </w:tr>
      <w:tr>
        <w:tc>
          <w:tcPr>
            <w:tcW w:type="dxa" w:w="4680"/>
            <w:tcBorders>
              <w:top w:val="single" w:color="CCCCCC" w:sz="1"/>
              <w:left w:val="single" w:color="CCCCCC" w:sz="1"/>
              <w:bottom w:val="single" w:color="CCCCCC" w:sz="1"/>
              <w:right w:val="single" w:color="CCCCCC" w:sz="1"/>
            </w:tcBorders>
            <w:shd w:fill="EAF3F1" w:val="clear"/>
            <w:tcMar>
              <w:top w:type="dxa" w:w="80"/>
              <w:left w:type="dxa" w:w="120"/>
              <w:bottom w:type="dxa" w:w="80"/>
              <w:right w:type="dxa" w:w="120"/>
            </w:tcMar>
          </w:tcPr>
          <w:p>
            <w:r>
              <w:rPr>
                <w:b/>
                <w:bCs/>
              </w:rPr>
              <w:t xml:space="preserve">Einschränkungen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Abhängigkeit von KI:connect (Verfügbarkeit, API-Key); Halluzinationsrisiko erfordert klare Kennzeichnung und Fallback; ethische und DSGVO-Vorgaben bei der Verarbeitung der Ideen.</w:t>
            </w:r>
          </w:p>
        </w:tc>
      </w:tr>
    </w:tbl>
    <w:p>
      <w:pPr>
        <w:pStyle w:val="Heading1"/>
      </w:pPr>
      <w:r>
        <w:t xml:space="preserve">7  Zielübersicht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960"/>
        <w:gridCol w:w="3000"/>
      </w:tblGrid>
      <w:tr>
        <w:trPr>
          <w:tblHeader/>
        </w:trPr>
        <w:tc>
          <w:tcPr>
            <w:tcW w:type="dxa" w:w="900"/>
            <w:tcBorders>
              <w:top w:val="single" w:color="CCCCCC" w:sz="1"/>
              <w:left w:val="single" w:color="CCCCCC" w:sz="1"/>
              <w:bottom w:val="single" w:color="CCCCCC" w:sz="1"/>
              <w:right w:val="single" w:color="CCCCCC" w:sz="1"/>
            </w:tcBorders>
            <w:shd w:fill="1F6B63" w:val="clear"/>
            <w:tcMar>
              <w:top w:type="dxa" w:w="80"/>
              <w:left w:type="dxa" w:w="120"/>
              <w:bottom w:type="dxa" w:w="80"/>
              <w:right w:type="dxa" w:w="120"/>
            </w:tcMar>
            <w:vAlign w:val="center"/>
          </w:tcPr>
          <w:p>
            <w:r>
              <w:rPr>
                <w:b/>
                <w:bCs/>
                <w:color w:val="FFFFFF"/>
              </w:rPr>
              <w:t xml:space="preserve">Nr.</w:t>
            </w:r>
          </w:p>
        </w:tc>
        <w:tc>
          <w:tcPr>
            <w:tcW w:type="dxa" w:w="1500"/>
            <w:tcBorders>
              <w:top w:val="single" w:color="CCCCCC" w:sz="1"/>
              <w:left w:val="single" w:color="CCCCCC" w:sz="1"/>
              <w:bottom w:val="single" w:color="CCCCCC" w:sz="1"/>
              <w:right w:val="single" w:color="CCCCCC" w:sz="1"/>
            </w:tcBorders>
            <w:shd w:fill="1F6B63" w:val="clear"/>
            <w:tcMar>
              <w:top w:type="dxa" w:w="80"/>
              <w:left w:type="dxa" w:w="120"/>
              <w:bottom w:type="dxa" w:w="80"/>
              <w:right w:type="dxa" w:w="120"/>
            </w:tcMar>
            <w:vAlign w:val="center"/>
          </w:tcPr>
          <w:p>
            <w:r>
              <w:rPr>
                <w:b/>
                <w:bCs/>
                <w:color w:val="FFFFFF"/>
              </w:rPr>
              <w:t xml:space="preserve">Zieltyp</w:t>
            </w:r>
          </w:p>
        </w:tc>
        <w:tc>
          <w:tcPr>
            <w:tcW w:type="dxa" w:w="3960"/>
            <w:tcBorders>
              <w:top w:val="single" w:color="CCCCCC" w:sz="1"/>
              <w:left w:val="single" w:color="CCCCCC" w:sz="1"/>
              <w:bottom w:val="single" w:color="CCCCCC" w:sz="1"/>
              <w:right w:val="single" w:color="CCCCCC" w:sz="1"/>
            </w:tcBorders>
            <w:shd w:fill="1F6B63" w:val="clear"/>
            <w:tcMar>
              <w:top w:type="dxa" w:w="80"/>
              <w:left w:type="dxa" w:w="120"/>
              <w:bottom w:type="dxa" w:w="80"/>
              <w:right w:type="dxa" w:w="120"/>
            </w:tcMar>
            <w:vAlign w:val="center"/>
          </w:tcPr>
          <w:p>
            <w:r>
              <w:rPr>
                <w:b/>
                <w:bCs/>
                <w:color w:val="FFFFFF"/>
              </w:rPr>
              <w:t xml:space="preserve">Ziel (SMART)</w:t>
            </w:r>
          </w:p>
        </w:tc>
        <w:tc>
          <w:tcPr>
            <w:tcW w:type="dxa" w:w="3000"/>
            <w:tcBorders>
              <w:top w:val="single" w:color="CCCCCC" w:sz="1"/>
              <w:left w:val="single" w:color="CCCCCC" w:sz="1"/>
              <w:bottom w:val="single" w:color="CCCCCC" w:sz="1"/>
              <w:right w:val="single" w:color="CCCCCC" w:sz="1"/>
            </w:tcBorders>
            <w:shd w:fill="1F6B63" w:val="clear"/>
            <w:tcMar>
              <w:top w:type="dxa" w:w="80"/>
              <w:left w:type="dxa" w:w="120"/>
              <w:bottom w:type="dxa" w:w="80"/>
              <w:right w:type="dxa" w:w="120"/>
            </w:tcMar>
            <w:vAlign w:val="center"/>
          </w:tcPr>
          <w:p>
            <w:r>
              <w:rPr>
                <w:b/>
                <w:bCs/>
                <w:color w:val="FFFFFF"/>
              </w:rPr>
              <w:t xml:space="preserve">Messgröße / Termin / Akzeptanz</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rPr>
              <w:t xml:space="preserve">W1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Wirtschaftlich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150 Studierende und 20 Start-ups registriert.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Registrierungszahlen · Ende Jahr 1 · von Klein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rPr>
              <w:t xml:space="preserve">W2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Wirtschaftlich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30 aktive Ausschreibungen veröffentlicht und 20 Gründungsideen eingereicht.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Plattform-Statistik · 6 Monate · Kassoni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rPr>
              <w:t xml:space="preserve">W3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Wirtschaftlich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25 konkrete Kontakte initiiert.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Kontakt-Log · Ende Jahr 1 · von Klein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rPr>
              <w:t xml:space="preserve">W4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Wirtschaftlich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70 % der befragten Nutzer bewerten die Plattform als hilfreich.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Fragebogen (Likert/SUS), n≥30 · 12 Monate · Kassoni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rPr>
              <w:t xml:space="preserve">W5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Wirtschaftlich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5 externe Partner aktiv eingebunden.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Partnerliste · Ende Jahr 1 · von Klein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rPr>
              <w:t xml:space="preserve">T1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Technisch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Responsive nutzbar auf Desktop, Tablet, Smartphone.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Geräte-Tests · Projektende · Müller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rPr>
              <w:t xml:space="preserve">T2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Technisch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Sichere Registrierung/Anmeldung, gehashte Passwörter.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Security-Review · erste Version · Öztürk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rPr>
              <w:t xml:space="preserve">T3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Technisch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≥80 % Testabdeckung der zentralen Geschäftslogik.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Coverage-Report · Abschlusspräsentation · Team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rPr>
              <w:t xml:space="preserve">T4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Technisch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SonarQube Quality Gate nicht rot.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SonarQube · Abschlusspräsentation · Seppels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rPr>
              <w:t xml:space="preserve">T5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Technisch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Dokumentierte Architektur (Kontext, Bausteine, Entscheidungen).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arc42-Doku · Projektende · Müller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rPr>
              <w:t xml:space="preserve">T6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Technisch (KI)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KI-Bewertungs-Prototyp für Gründungsideen via KI:connect.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Prototyp + 2 Fehlerfalltests · Abschlusspräsentation · Müller</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6B63"/>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und Ziele für St@rtMeUp</dc:title>
  <dc:creator>Team BurnDown</dc:creator>
  <cp:lastModifiedBy>Un-named</cp:lastModifiedBy>
  <cp:revision>1</cp:revision>
  <dcterms:created xsi:type="dcterms:W3CDTF">2026-06-26T16:20:51.293Z</dcterms:created>
  <dcterms:modified xsi:type="dcterms:W3CDTF">2026-06-26T16:20:51.294Z</dcterms:modified>
</cp:coreProperties>
</file>

<file path=docProps/custom.xml><?xml version="1.0" encoding="utf-8"?>
<Properties xmlns="http://schemas.openxmlformats.org/officeDocument/2006/custom-properties" xmlns:vt="http://schemas.openxmlformats.org/officeDocument/2006/docPropsVTypes"/>
</file>