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Aula 1 Como A Internet Funciona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Internet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Surgiu durante o período da guerra fria, na década de 1949. Com o interesse e a necessidade dos EUA em proteger os dados e informações de suas bases militares. Foi então criada ARPANET empresa responsável por criar uma rede que interligaria as bases e faria o backup dos seus dados. Posteriormente com o a implementação de universidades e o crescimento exponencial desta rede, surgiu então a necessidade de subdividir a rede. Foi criada três categorias.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Rede Militar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,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Rede Científica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e a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Rede Comercial.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Tim Berners-Le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vertAlign w:val="baseline"/>
          <w:lang w:val="pt-BR"/>
        </w:rPr>
        <w:t>Responsável por criar o protocolo HTTP, a linguagem HTML e o WWW.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vertAlign w:val="baseline"/>
          <w:lang w:val="pt-BR"/>
        </w:rPr>
        <w:t>WWW = World Wide Web.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Código Multibyte UTF-8?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DNS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vertAlign w:val="baseline"/>
          <w:lang w:val="pt-BR"/>
        </w:rPr>
        <w:t>DNS = Sistema de Nome de Domínio / Domain Name System.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vertAlign w:val="baseline"/>
          <w:lang w:val="pt-BR"/>
        </w:rPr>
        <w:t>O sistema DNS da Internet funciona praticamente como uma agenda de telefone ao gerenciar o mapeamento entre nomes e números. Os servidores DNS convertem solicitações de nomes em endereços IP, controlando qual servidor um usuário final alcançará quando digitar um nome de domínio no navegador da web.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</w:pPr>
    </w:p>
    <w:p>
      <w:pPr>
        <w:rPr>
          <w:rFonts w:hint="default"/>
          <w:lang w:val="pt-BR"/>
        </w:rPr>
      </w:pPr>
    </w:p>
    <w:p>
      <w:pPr>
        <w:jc w:val="center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4829175" cy="3379470"/>
            <wp:effectExtent l="0" t="0" r="9525" b="11430"/>
            <wp:docPr id="1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Aula 2 - O que é um Domínio e Hospedagem?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</w:pPr>
      <w:r>
        <w:drawing>
          <wp:inline distT="0" distB="0" distL="114300" distR="114300">
            <wp:extent cx="5272405" cy="2252345"/>
            <wp:effectExtent l="0" t="0" r="4445" b="146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u w:val="single"/>
          <w:lang w:val="pt-BR"/>
        </w:rPr>
        <w:t>URL</w:t>
      </w:r>
      <w:r>
        <w:rPr>
          <w:rFonts w:hint="default" w:ascii="Arial" w:hAnsi="Arial" w:cs="Arial"/>
          <w:lang w:val="pt-BR"/>
        </w:rPr>
        <w:t xml:space="preserve"> =  </w:t>
      </w:r>
      <w:r>
        <w:rPr>
          <w:rFonts w:hint="default" w:ascii="Arial" w:hAnsi="Arial" w:cs="Arial"/>
          <w:sz w:val="22"/>
          <w:szCs w:val="22"/>
          <w:lang w:val="pt-BR"/>
        </w:rPr>
        <w:t>Uniform Resource Locator / Localizador de Recurso Único ou Uniforme.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u w:val="single"/>
          <w:lang w:val="pt-BR"/>
        </w:rPr>
        <w:t xml:space="preserve">TLD </w:t>
      </w:r>
      <w:r>
        <w:rPr>
          <w:rFonts w:hint="default" w:ascii="Arial" w:hAnsi="Arial" w:cs="Arial"/>
          <w:sz w:val="22"/>
          <w:szCs w:val="22"/>
          <w:lang w:val="pt-BR"/>
        </w:rPr>
        <w:t xml:space="preserve">= </w:t>
      </w:r>
      <w:r>
        <w:rPr>
          <w:rFonts w:hint="default" w:ascii="Arial" w:hAnsi="Arial"/>
          <w:sz w:val="22"/>
          <w:szCs w:val="22"/>
          <w:lang w:val="pt-BR"/>
        </w:rPr>
        <w:t>O TLD, ou Top-Level Domain, faz parte do universo de domínios da Internet. Que se refere à parte do domínio que vem depois do ponto, como “. com.br” ou “. net”, por exemplo.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  <w:r>
        <w:rPr>
          <w:rFonts w:hint="default" w:ascii="Arial" w:hAnsi="Arial"/>
          <w:b/>
          <w:bCs/>
          <w:sz w:val="28"/>
          <w:szCs w:val="28"/>
          <w:u w:val="single"/>
          <w:lang w:val="pt-BR"/>
        </w:rPr>
        <w:t>Domínio</w:t>
      </w:r>
      <w:r>
        <w:rPr>
          <w:rFonts w:hint="default" w:ascii="Arial" w:hAnsi="Arial"/>
          <w:sz w:val="22"/>
          <w:szCs w:val="22"/>
          <w:lang w:val="pt-BR"/>
        </w:rPr>
        <w:t xml:space="preserve"> = É um endereço único para um site. Geralmente, ele consiste no nome do site e numa extensão de domínico.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5260975" cy="1524000"/>
            <wp:effectExtent l="0" t="0" r="158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5271135" cy="1715770"/>
            <wp:effectExtent l="0" t="0" r="5715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Capítulo 3 Aula 1 A diferença entre HTML, CSS e JavaScript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  <w:t>HTML e CSS não são linguagens de programação. Mas são linguagens.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A Linguagem </w:t>
      </w: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HTML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é focada em conteúdo e este pode ser textos, imagens, vídeos, tabelas e etc. Já as </w:t>
      </w: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CSS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são focadas no </w:t>
      </w: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designer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da página. Ex: Cores, sombras, tamanhos, posicionamento e etc.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HTML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: Conteúdo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JavaScript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: Interatividade 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CSS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: Estilo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5650865" cy="3122295"/>
            <wp:effectExtent l="0" t="0" r="6985" b="1905"/>
            <wp:docPr id="5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4008755" cy="3345815"/>
            <wp:effectExtent l="0" t="0" r="10795" b="6985"/>
            <wp:docPr id="6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5378450" cy="4373245"/>
            <wp:effectExtent l="0" t="0" r="12700" b="8255"/>
            <wp:docPr id="7" name="Imagem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Capítulo 3 Aula 2 - Front-End, Back-End e Full Stack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Front-End (Client-Side) de uma maneira mais grosseira de se explicar está focado do lado do usuário, na interação, designer e experiência do cliente quando visita a página na web. 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Back-End (Server-Side) já está mais interessado com a interatividade do código dele com o servidor, com as tecnologias envolvidas na tecnologia de server-side.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val="pt-BR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3937635" cy="2819400"/>
            <wp:effectExtent l="0" t="0" r="5715" b="0"/>
            <wp:docPr id="8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Calibri" w:cs="Arial"/>
          <w:i w:val="0"/>
          <w:iCs w:val="0"/>
          <w:caps w:val="0"/>
          <w:color w:val="000000"/>
          <w:spacing w:val="0"/>
          <w:sz w:val="22"/>
          <w:szCs w:val="22"/>
          <w:vertAlign w:val="baseline"/>
          <w:lang w:val="pt-BR"/>
        </w:rPr>
      </w:pPr>
      <w:r>
        <w:rPr>
          <w:rFonts w:hint="default" w:ascii="Arial" w:hAnsi="Arial" w:eastAsia="Calibri" w:cs="Arial"/>
          <w:i w:val="0"/>
          <w:iCs w:val="0"/>
          <w:caps w:val="0"/>
          <w:color w:val="000000"/>
          <w:spacing w:val="0"/>
          <w:sz w:val="22"/>
          <w:szCs w:val="22"/>
          <w:vertAlign w:val="baseline"/>
          <w:lang w:val="pt-BR"/>
        </w:rPr>
        <w:t>Simulando um cliente entrando em uma loja online e o navegador fazendo requisições ao servidor.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5222875" cy="2938145"/>
            <wp:effectExtent l="0" t="0" r="15875" b="14605"/>
            <wp:docPr id="9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Informações Referentes ao Capí</w:t>
      </w:r>
      <w:bookmarkStart w:id="0" w:name="_GoBack"/>
      <w:bookmarkEnd w:id="0"/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tulo 5 Aulas 1 e 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vertAlign w:val="baseline"/>
          <w:lang w:val="pt-BR"/>
        </w:rPr>
        <w:t xml:space="preserve">Para fazer um emoji, é necessário pesquisar o código dele. </w:t>
      </w:r>
      <w:r>
        <w:rPr>
          <w:rFonts w:hint="default" w:ascii="Arial" w:hAnsi="Arial" w:eastAsia="Segoe UI" w:cs="Arial"/>
          <w:i w:val="0"/>
          <w:iCs w:val="0"/>
          <w:color w:val="000000"/>
          <w:spacing w:val="0"/>
          <w:sz w:val="22"/>
          <w:szCs w:val="22"/>
          <w:shd w:val="clear" w:fill="FFFFFF"/>
          <w:vertAlign w:val="baseline"/>
          <w:lang w:val="pt-BR"/>
        </w:rPr>
        <w:t>N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vertAlign w:val="baseline"/>
          <w:lang w:val="pt-BR"/>
        </w:rPr>
        <w:t>a aula foi informado sobre a biblioteca do emoji pedia.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vertAlign w:val="baseline"/>
          <w:lang w:val="pt-BR"/>
        </w:rPr>
        <w:t>A sintaxe para criar um emoji começa com “&amp;# x” e seguida do código do emoji.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</w:pPr>
      <w:r>
        <w:drawing>
          <wp:inline distT="0" distB="0" distL="114300" distR="114300">
            <wp:extent cx="3067050" cy="1104900"/>
            <wp:effectExtent l="0" t="0" r="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cs="Arial"/>
          <w:b/>
          <w:bCs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2"/>
          <w:szCs w:val="22"/>
          <w:lang w:val="pt-BR"/>
        </w:rPr>
        <w:t>Já para adicionar símbolos especiais, é necessário colocar o “&amp;” seguido da palavra que o identifique.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cs="Arial"/>
          <w:b/>
          <w:bCs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</w:pPr>
      <w:r>
        <w:drawing>
          <wp:inline distT="0" distB="0" distL="114300" distR="114300">
            <wp:extent cx="3074035" cy="2146300"/>
            <wp:effectExtent l="0" t="0" r="12065" b="6350"/>
            <wp:docPr id="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cs="Arial"/>
          <w:b/>
          <w:bCs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2"/>
          <w:szCs w:val="22"/>
          <w:lang w:val="pt-BR"/>
        </w:rPr>
        <w:t>Já para adicionar os sinais de “&lt;” e “&gt;” já é necessário colocar a tag “&amp;lt;” para o sinal “&lt;” e “&amp;gt;” para “&gt;”.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cs="Arial"/>
          <w:b/>
          <w:bCs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</w:pPr>
      <w:r>
        <w:drawing>
          <wp:inline distT="0" distB="0" distL="114300" distR="114300">
            <wp:extent cx="4581525" cy="1638300"/>
            <wp:effectExtent l="0" t="0" r="9525" b="0"/>
            <wp:docPr id="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/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Nirmala UI Semilight">
    <w:panose1 w:val="020B0402040204020203"/>
    <w:charset w:val="00"/>
    <w:family w:val="auto"/>
    <w:pitch w:val="default"/>
    <w:sig w:usb0="80FF8023" w:usb1="0200004A" w:usb2="00000200" w:usb3="00040000" w:csb0="000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scadia Mono SemiBold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1E7911"/>
    <w:rsid w:val="0F9178BB"/>
    <w:rsid w:val="171E7911"/>
    <w:rsid w:val="220D447A"/>
    <w:rsid w:val="300D31DE"/>
    <w:rsid w:val="30F62426"/>
    <w:rsid w:val="32D83E39"/>
    <w:rsid w:val="3ADE462D"/>
    <w:rsid w:val="646A3084"/>
    <w:rsid w:val="696862A8"/>
    <w:rsid w:val="6C2213CA"/>
    <w:rsid w:val="709F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2023-05-06T19:37:00Z</dcterms:created>
  <dc:creator>samue</dc:creator>
  <cp:lastModifiedBy>samue</cp:lastModifiedBy>
  <dcterms:modified xsi:type="dcterms:W3CDTF">2023-05-10T03:24:03Z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D59FB6AA447E446F89C6074FC23DCCAE</vt:lpwstr>
  </property>
</Properties>
</file>