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2F19ED" w14:textId="77777777" w:rsidR="00C57B46" w:rsidRPr="00AF4F24" w:rsidRDefault="00C57B46" w:rsidP="00C57B46">
      <w:pPr>
        <w:spacing w:before="100" w:beforeAutospacing="1" w:after="100" w:afterAutospacing="1" w:line="240" w:lineRule="auto"/>
        <w:outlineLvl w:val="0"/>
        <w:rPr>
          <w:rFonts w:eastAsia="Times New Roman" w:cs="Times New Roman"/>
          <w:b/>
          <w:bCs/>
          <w:kern w:val="36"/>
          <w:sz w:val="22"/>
          <w:szCs w:val="22"/>
          <w14:ligatures w14:val="none"/>
        </w:rPr>
      </w:pPr>
      <w:r w:rsidRPr="00AF4F24">
        <w:rPr>
          <w:rFonts w:eastAsia="Times New Roman" w:cs="Times New Roman"/>
          <w:b/>
          <w:bCs/>
          <w:kern w:val="36"/>
          <w:sz w:val="22"/>
          <w:szCs w:val="22"/>
          <w14:ligatures w14:val="none"/>
        </w:rPr>
        <w:t>Investment Ideas for Hedge Fund Internship Outreach (APAC)</w:t>
      </w:r>
    </w:p>
    <w:p w14:paraId="26025DBC" w14:textId="77777777" w:rsidR="00C57B46" w:rsidRPr="00AF4F24" w:rsidRDefault="00C57B46" w:rsidP="00C57B46">
      <w:pPr>
        <w:spacing w:before="100" w:beforeAutospacing="1" w:after="100" w:afterAutospacing="1" w:line="240" w:lineRule="auto"/>
        <w:rPr>
          <w:rFonts w:eastAsia="Times New Roman" w:cs="Times New Roman"/>
          <w:kern w:val="0"/>
          <w:sz w:val="22"/>
          <w:szCs w:val="22"/>
          <w14:ligatures w14:val="none"/>
        </w:rPr>
      </w:pPr>
    </w:p>
    <w:p w14:paraId="43D2B775" w14:textId="77777777" w:rsidR="00C57B46" w:rsidRPr="00AF4F24" w:rsidRDefault="00C57B46" w:rsidP="00C57B46">
      <w:pPr>
        <w:spacing w:before="100" w:beforeAutospacing="1" w:after="100" w:afterAutospacing="1" w:line="240" w:lineRule="auto"/>
        <w:outlineLvl w:val="1"/>
        <w:rPr>
          <w:rFonts w:eastAsia="Times New Roman" w:cs="Times New Roman"/>
          <w:b/>
          <w:bCs/>
          <w:kern w:val="0"/>
          <w:sz w:val="22"/>
          <w:szCs w:val="22"/>
          <w14:ligatures w14:val="none"/>
        </w:rPr>
      </w:pPr>
      <w:r w:rsidRPr="00AF4F24">
        <w:rPr>
          <w:rFonts w:eastAsia="Times New Roman" w:cs="Times New Roman"/>
          <w:b/>
          <w:bCs/>
          <w:kern w:val="0"/>
          <w:sz w:val="22"/>
          <w:szCs w:val="22"/>
          <w14:ligatures w14:val="none"/>
        </w:rPr>
        <w:t>Overview</w:t>
      </w:r>
    </w:p>
    <w:p w14:paraId="05D4EC42" w14:textId="77777777" w:rsidR="00C57B46" w:rsidRPr="00AF4F24" w:rsidRDefault="00C57B46" w:rsidP="00C57B46">
      <w:pPr>
        <w:spacing w:before="100" w:beforeAutospacing="1" w:after="100" w:afterAutospacing="1" w:line="240" w:lineRule="auto"/>
        <w:rPr>
          <w:rFonts w:eastAsia="Times New Roman" w:cs="Times New Roman"/>
          <w:kern w:val="0"/>
          <w:sz w:val="22"/>
          <w:szCs w:val="22"/>
          <w14:ligatures w14:val="none"/>
        </w:rPr>
      </w:pPr>
    </w:p>
    <w:p w14:paraId="547850E7" w14:textId="77777777" w:rsidR="00C57B46" w:rsidRPr="00AF4F24" w:rsidRDefault="00C57B46" w:rsidP="00C57B46">
      <w:pPr>
        <w:spacing w:before="100" w:beforeAutospacing="1" w:after="100" w:afterAutospacing="1" w:line="240" w:lineRule="auto"/>
        <w:rPr>
          <w:rFonts w:eastAsia="Times New Roman" w:cs="Times New Roman"/>
          <w:kern w:val="0"/>
          <w:sz w:val="22"/>
          <w:szCs w:val="22"/>
          <w14:ligatures w14:val="none"/>
        </w:rPr>
      </w:pPr>
      <w:r w:rsidRPr="00AF4F24">
        <w:rPr>
          <w:rFonts w:eastAsia="Times New Roman" w:cs="Times New Roman"/>
          <w:kern w:val="0"/>
          <w:sz w:val="22"/>
          <w:szCs w:val="22"/>
          <w14:ligatures w14:val="none"/>
        </w:rPr>
        <w:t>This report identifies five APAC</w:t>
      </w:r>
      <w:r w:rsidRPr="00AF4F24">
        <w:rPr>
          <w:rFonts w:eastAsia="Times New Roman" w:cs="Times New Roman"/>
          <w:kern w:val="0"/>
          <w:sz w:val="22"/>
          <w:szCs w:val="22"/>
          <w14:ligatures w14:val="none"/>
        </w:rPr>
        <w:noBreakHyphen/>
        <w:t>based equities that are relatively under</w:t>
      </w:r>
      <w:r w:rsidRPr="00AF4F24">
        <w:rPr>
          <w:rFonts w:eastAsia="Times New Roman" w:cs="Times New Roman"/>
          <w:kern w:val="0"/>
          <w:sz w:val="22"/>
          <w:szCs w:val="22"/>
          <w14:ligatures w14:val="none"/>
        </w:rPr>
        <w:noBreakHyphen/>
        <w:t>the</w:t>
      </w:r>
      <w:r w:rsidRPr="00AF4F24">
        <w:rPr>
          <w:rFonts w:eastAsia="Times New Roman" w:cs="Times New Roman"/>
          <w:kern w:val="0"/>
          <w:sz w:val="22"/>
          <w:szCs w:val="22"/>
          <w14:ligatures w14:val="none"/>
        </w:rPr>
        <w:noBreakHyphen/>
        <w:t>radar but offer quality fundamentals and diversification across technology, manufacturing, renewable power, agricultural inputs and lodging.  Each company’s business model and financial results are summarised using recent (2024–2025) data.  The report also outlines modelling techniques that could be used by hedge funds to analyse and value the stocks.  All financial figures are in the company’s reporting currency unless otherwise specified.</w:t>
      </w:r>
    </w:p>
    <w:p w14:paraId="26C49F36" w14:textId="77777777" w:rsidR="00C57B46" w:rsidRPr="00AF4F24" w:rsidRDefault="00C57B46" w:rsidP="00C57B46">
      <w:pPr>
        <w:spacing w:before="100" w:beforeAutospacing="1" w:after="100" w:afterAutospacing="1" w:line="240" w:lineRule="auto"/>
        <w:rPr>
          <w:rFonts w:eastAsia="Times New Roman" w:cs="Times New Roman"/>
          <w:kern w:val="0"/>
          <w:sz w:val="22"/>
          <w:szCs w:val="22"/>
          <w14:ligatures w14:val="none"/>
        </w:rPr>
      </w:pPr>
    </w:p>
    <w:p w14:paraId="601CA6AB" w14:textId="77777777" w:rsidR="00C57B46" w:rsidRPr="00AF4F24" w:rsidRDefault="00C57B46" w:rsidP="00C57B46">
      <w:pPr>
        <w:spacing w:before="100" w:beforeAutospacing="1" w:after="100" w:afterAutospacing="1" w:line="240" w:lineRule="auto"/>
        <w:outlineLvl w:val="1"/>
        <w:rPr>
          <w:rFonts w:eastAsia="Times New Roman" w:cs="Times New Roman"/>
          <w:b/>
          <w:bCs/>
          <w:kern w:val="0"/>
          <w:sz w:val="22"/>
          <w:szCs w:val="22"/>
          <w14:ligatures w14:val="none"/>
        </w:rPr>
      </w:pPr>
      <w:r w:rsidRPr="00AF4F24">
        <w:rPr>
          <w:rFonts w:eastAsia="Times New Roman" w:cs="Times New Roman"/>
          <w:b/>
          <w:bCs/>
          <w:kern w:val="0"/>
          <w:sz w:val="22"/>
          <w:szCs w:val="22"/>
          <w14:ligatures w14:val="none"/>
        </w:rPr>
        <w:t>1. Kakao Corp. (South Korea, 035720.KS)</w:t>
      </w:r>
    </w:p>
    <w:p w14:paraId="4632D5F9" w14:textId="77777777" w:rsidR="00C57B46" w:rsidRPr="00AF4F24" w:rsidRDefault="00C57B46" w:rsidP="00C57B46">
      <w:pPr>
        <w:numPr>
          <w:ilvl w:val="0"/>
          <w:numId w:val="1"/>
        </w:numPr>
        <w:spacing w:before="100" w:beforeAutospacing="1" w:after="100" w:afterAutospacing="1" w:line="240" w:lineRule="auto"/>
        <w:rPr>
          <w:rFonts w:eastAsia="Times New Roman" w:cs="Times New Roman"/>
          <w:kern w:val="0"/>
          <w:sz w:val="22"/>
          <w:szCs w:val="22"/>
          <w14:ligatures w14:val="none"/>
        </w:rPr>
      </w:pPr>
      <w:r w:rsidRPr="00AF4F24">
        <w:rPr>
          <w:rFonts w:eastAsia="Times New Roman" w:cs="Times New Roman"/>
          <w:b/>
          <w:bCs/>
          <w:kern w:val="0"/>
          <w:sz w:val="22"/>
          <w:szCs w:val="22"/>
          <w14:ligatures w14:val="none"/>
        </w:rPr>
        <w:t>Business model &amp; growth drivers</w:t>
      </w:r>
      <w:r w:rsidRPr="00AF4F24">
        <w:rPr>
          <w:rFonts w:eastAsia="Times New Roman" w:cs="Times New Roman"/>
          <w:kern w:val="0"/>
          <w:sz w:val="22"/>
          <w:szCs w:val="22"/>
          <w14:ligatures w14:val="none"/>
        </w:rPr>
        <w:t xml:space="preserve"> – Kakao operates an ecosystem around its messaging app KakaoTalk.  The company generates revenue through platform services (KakaoTalk advertising, commerce and mobility), content (webtoons via Kakao Piccoma and Kakao Entertainment, music streaming via Melon), gaming (Kakao Games), and fintech services (Kakao Pay and Kakao Bank).  The platform business benefits from network effects, while the content and fintech businesses offer high growth and optionality.</w:t>
      </w:r>
    </w:p>
    <w:p w14:paraId="274781DB" w14:textId="77777777" w:rsidR="00C57B46" w:rsidRPr="00AF4F24" w:rsidRDefault="00C57B46" w:rsidP="00C57B46">
      <w:pPr>
        <w:numPr>
          <w:ilvl w:val="0"/>
          <w:numId w:val="1"/>
        </w:numPr>
        <w:spacing w:before="100" w:beforeAutospacing="1" w:after="100" w:afterAutospacing="1" w:line="240" w:lineRule="auto"/>
        <w:rPr>
          <w:rFonts w:eastAsia="Times New Roman" w:cs="Times New Roman"/>
          <w:kern w:val="0"/>
          <w:sz w:val="22"/>
          <w:szCs w:val="22"/>
          <w14:ligatures w14:val="none"/>
        </w:rPr>
      </w:pPr>
      <w:r w:rsidRPr="00AF4F24">
        <w:rPr>
          <w:rFonts w:eastAsia="Times New Roman" w:cs="Times New Roman"/>
          <w:b/>
          <w:bCs/>
          <w:kern w:val="0"/>
          <w:sz w:val="22"/>
          <w:szCs w:val="22"/>
          <w14:ligatures w14:val="none"/>
        </w:rPr>
        <w:t>Recent financial performance</w:t>
      </w:r>
      <w:r w:rsidRPr="00AF4F24">
        <w:rPr>
          <w:rFonts w:eastAsia="Times New Roman" w:cs="Times New Roman"/>
          <w:kern w:val="0"/>
          <w:sz w:val="22"/>
          <w:szCs w:val="22"/>
          <w14:ligatures w14:val="none"/>
        </w:rPr>
        <w:t xml:space="preserve"> – Kakao’s consolidated income statement for Q2 2025 shows revenue of </w:t>
      </w:r>
      <w:r w:rsidRPr="00AF4F24">
        <w:rPr>
          <w:rFonts w:eastAsia="Times New Roman" w:cs="Times New Roman"/>
          <w:b/>
          <w:bCs/>
          <w:kern w:val="0"/>
          <w:sz w:val="22"/>
          <w:szCs w:val="22"/>
          <w14:ligatures w14:val="none"/>
        </w:rPr>
        <w:t>KRW 2.028 trillion</w:t>
      </w:r>
      <w:r w:rsidRPr="00AF4F24">
        <w:rPr>
          <w:rFonts w:eastAsia="Times New Roman" w:cs="Times New Roman"/>
          <w:kern w:val="0"/>
          <w:sz w:val="22"/>
          <w:szCs w:val="22"/>
          <w14:ligatures w14:val="none"/>
        </w:rPr>
        <w:t xml:space="preserve"> in 2Q25 compared with </w:t>
      </w:r>
      <w:r w:rsidRPr="00AF4F24">
        <w:rPr>
          <w:rFonts w:eastAsia="Times New Roman" w:cs="Times New Roman"/>
          <w:b/>
          <w:bCs/>
          <w:kern w:val="0"/>
          <w:sz w:val="22"/>
          <w:szCs w:val="22"/>
          <w14:ligatures w14:val="none"/>
        </w:rPr>
        <w:t>KRW 1.864 trillion</w:t>
      </w:r>
      <w:r w:rsidRPr="00AF4F24">
        <w:rPr>
          <w:rFonts w:eastAsia="Times New Roman" w:cs="Times New Roman"/>
          <w:kern w:val="0"/>
          <w:sz w:val="22"/>
          <w:szCs w:val="22"/>
          <w14:ligatures w14:val="none"/>
        </w:rPr>
        <w:t xml:space="preserve"> in 1Q25, and operating profit of </w:t>
      </w:r>
      <w:r w:rsidRPr="00AF4F24">
        <w:rPr>
          <w:rFonts w:eastAsia="Times New Roman" w:cs="Times New Roman"/>
          <w:b/>
          <w:bCs/>
          <w:kern w:val="0"/>
          <w:sz w:val="22"/>
          <w:szCs w:val="22"/>
          <w14:ligatures w14:val="none"/>
        </w:rPr>
        <w:t>KRW 291.3 billion</w:t>
      </w:r>
      <w:r w:rsidRPr="00AF4F24">
        <w:rPr>
          <w:rFonts w:eastAsia="Times New Roman" w:cs="Times New Roman"/>
          <w:kern w:val="0"/>
          <w:sz w:val="22"/>
          <w:szCs w:val="22"/>
          <w14:ligatures w14:val="none"/>
        </w:rPr>
        <w:t xml:space="preserve"> in Q2 (up 14.6 % YoY) .  Net profit in Q2 2025 was </w:t>
      </w:r>
      <w:r w:rsidRPr="00AF4F24">
        <w:rPr>
          <w:rFonts w:eastAsia="Times New Roman" w:cs="Times New Roman"/>
          <w:b/>
          <w:bCs/>
          <w:kern w:val="0"/>
          <w:sz w:val="22"/>
          <w:szCs w:val="22"/>
          <w14:ligatures w14:val="none"/>
        </w:rPr>
        <w:t>KRW 372 billion</w:t>
      </w:r>
      <w:r w:rsidRPr="00AF4F24">
        <w:rPr>
          <w:rFonts w:eastAsia="Times New Roman" w:cs="Times New Roman"/>
          <w:kern w:val="0"/>
          <w:sz w:val="22"/>
          <w:szCs w:val="22"/>
          <w14:ligatures w14:val="none"/>
        </w:rPr>
        <w:t>, more than double the prior</w:t>
      </w:r>
      <w:r w:rsidRPr="00AF4F24">
        <w:rPr>
          <w:rFonts w:eastAsia="Times New Roman" w:cs="Times New Roman"/>
          <w:kern w:val="0"/>
          <w:sz w:val="22"/>
          <w:szCs w:val="22"/>
          <w14:ligatures w14:val="none"/>
        </w:rPr>
        <w:noBreakHyphen/>
        <w:t xml:space="preserve">year quarter .  The balance sheet shows total assets of </w:t>
      </w:r>
      <w:r w:rsidRPr="00AF4F24">
        <w:rPr>
          <w:rFonts w:eastAsia="Times New Roman" w:cs="Times New Roman"/>
          <w:b/>
          <w:bCs/>
          <w:kern w:val="0"/>
          <w:sz w:val="22"/>
          <w:szCs w:val="22"/>
          <w14:ligatures w14:val="none"/>
        </w:rPr>
        <w:t>KRW 26.56 trillion</w:t>
      </w:r>
      <w:r w:rsidRPr="00AF4F24">
        <w:rPr>
          <w:rFonts w:eastAsia="Times New Roman" w:cs="Times New Roman"/>
          <w:kern w:val="0"/>
          <w:sz w:val="22"/>
          <w:szCs w:val="22"/>
          <w14:ligatures w14:val="none"/>
        </w:rPr>
        <w:t xml:space="preserve"> and total liabilities of </w:t>
      </w:r>
      <w:r w:rsidRPr="00AF4F24">
        <w:rPr>
          <w:rFonts w:eastAsia="Times New Roman" w:cs="Times New Roman"/>
          <w:b/>
          <w:bCs/>
          <w:kern w:val="0"/>
          <w:sz w:val="22"/>
          <w:szCs w:val="22"/>
          <w14:ligatures w14:val="none"/>
        </w:rPr>
        <w:t>KRW 11.97 trillion</w:t>
      </w:r>
      <w:r w:rsidRPr="00AF4F24">
        <w:rPr>
          <w:rFonts w:eastAsia="Times New Roman" w:cs="Times New Roman"/>
          <w:kern w:val="0"/>
          <w:sz w:val="22"/>
          <w:szCs w:val="22"/>
          <w14:ligatures w14:val="none"/>
        </w:rPr>
        <w:t xml:space="preserve"> .</w:t>
      </w:r>
    </w:p>
    <w:p w14:paraId="7D4D8493" w14:textId="77777777" w:rsidR="00C57B46" w:rsidRPr="00AF4F24" w:rsidRDefault="00C57B46" w:rsidP="00C57B46">
      <w:pPr>
        <w:numPr>
          <w:ilvl w:val="0"/>
          <w:numId w:val="1"/>
        </w:numPr>
        <w:spacing w:before="100" w:beforeAutospacing="1" w:after="100" w:afterAutospacing="1" w:line="240" w:lineRule="auto"/>
        <w:rPr>
          <w:rFonts w:eastAsia="Times New Roman" w:cs="Times New Roman"/>
          <w:kern w:val="0"/>
          <w:sz w:val="22"/>
          <w:szCs w:val="22"/>
          <w14:ligatures w14:val="none"/>
        </w:rPr>
      </w:pPr>
      <w:r w:rsidRPr="00AF4F24">
        <w:rPr>
          <w:rFonts w:eastAsia="Times New Roman" w:cs="Times New Roman"/>
          <w:b/>
          <w:bCs/>
          <w:kern w:val="0"/>
          <w:sz w:val="22"/>
          <w:szCs w:val="22"/>
          <w14:ligatures w14:val="none"/>
        </w:rPr>
        <w:t>Key metrics</w:t>
      </w:r>
      <w:r w:rsidRPr="00AF4F24">
        <w:rPr>
          <w:rFonts w:eastAsia="Times New Roman" w:cs="Times New Roman"/>
          <w:kern w:val="0"/>
          <w:sz w:val="22"/>
          <w:szCs w:val="22"/>
          <w14:ligatures w14:val="none"/>
        </w:rPr>
        <w:t xml:space="preserve"> – Despite record revenue, Kakao’s return on equity remains modest (≈6.7 %) and the stock traded at ~24× forward earnings in mid</w:t>
      </w:r>
      <w:r w:rsidRPr="00AF4F24">
        <w:rPr>
          <w:rFonts w:eastAsia="Times New Roman" w:cs="Times New Roman"/>
          <w:kern w:val="0"/>
          <w:sz w:val="22"/>
          <w:szCs w:val="22"/>
          <w14:ligatures w14:val="none"/>
        </w:rPr>
        <w:noBreakHyphen/>
        <w:t xml:space="preserve">2025 .  Earnings growth is forecast at about </w:t>
      </w:r>
      <w:r w:rsidRPr="00AF4F24">
        <w:rPr>
          <w:rFonts w:eastAsia="Times New Roman" w:cs="Times New Roman"/>
          <w:b/>
          <w:bCs/>
          <w:kern w:val="0"/>
          <w:sz w:val="22"/>
          <w:szCs w:val="22"/>
          <w14:ligatures w14:val="none"/>
        </w:rPr>
        <w:t>28 % p.a.</w:t>
      </w:r>
      <w:r w:rsidRPr="00AF4F24">
        <w:rPr>
          <w:rFonts w:eastAsia="Times New Roman" w:cs="Times New Roman"/>
          <w:kern w:val="0"/>
          <w:sz w:val="22"/>
          <w:szCs w:val="22"/>
          <w14:ligatures w14:val="none"/>
        </w:rPr>
        <w:t xml:space="preserve"> .  Insider ownership (c. 13.8 %) suggests management alignment .</w:t>
      </w:r>
    </w:p>
    <w:p w14:paraId="21E3E953" w14:textId="77777777" w:rsidR="00C57B46" w:rsidRPr="00AF4F24" w:rsidRDefault="00C57B46" w:rsidP="00C57B46">
      <w:pPr>
        <w:spacing w:before="100" w:beforeAutospacing="1" w:after="100" w:afterAutospacing="1" w:line="240" w:lineRule="auto"/>
        <w:rPr>
          <w:rFonts w:eastAsia="Times New Roman" w:cs="Times New Roman"/>
          <w:kern w:val="0"/>
          <w:sz w:val="22"/>
          <w:szCs w:val="22"/>
          <w14:ligatures w14:val="none"/>
        </w:rPr>
      </w:pPr>
    </w:p>
    <w:p w14:paraId="3F7ADA9C" w14:textId="77777777" w:rsidR="00C57B46" w:rsidRPr="00AF4F24" w:rsidRDefault="00C57B46" w:rsidP="00C57B46">
      <w:pPr>
        <w:spacing w:before="100" w:beforeAutospacing="1" w:after="100" w:afterAutospacing="1" w:line="240" w:lineRule="auto"/>
        <w:outlineLvl w:val="2"/>
        <w:rPr>
          <w:rFonts w:eastAsia="Times New Roman" w:cs="Times New Roman"/>
          <w:b/>
          <w:bCs/>
          <w:kern w:val="0"/>
          <w:sz w:val="22"/>
          <w:szCs w:val="22"/>
          <w14:ligatures w14:val="none"/>
        </w:rPr>
      </w:pPr>
      <w:r w:rsidRPr="00AF4F24">
        <w:rPr>
          <w:rFonts w:eastAsia="Times New Roman" w:cs="Times New Roman"/>
          <w:b/>
          <w:bCs/>
          <w:kern w:val="0"/>
          <w:sz w:val="22"/>
          <w:szCs w:val="22"/>
          <w14:ligatures w14:val="none"/>
        </w:rPr>
        <w:t>Modelling considerations</w:t>
      </w:r>
    </w:p>
    <w:p w14:paraId="67217B1F" w14:textId="77777777" w:rsidR="00C57B46" w:rsidRPr="00AF4F24" w:rsidRDefault="00C57B46" w:rsidP="00C57B46">
      <w:pPr>
        <w:numPr>
          <w:ilvl w:val="0"/>
          <w:numId w:val="2"/>
        </w:numPr>
        <w:spacing w:before="100" w:beforeAutospacing="1" w:after="100" w:afterAutospacing="1" w:line="240" w:lineRule="auto"/>
        <w:rPr>
          <w:rFonts w:eastAsia="Times New Roman" w:cs="Times New Roman"/>
          <w:kern w:val="0"/>
          <w:sz w:val="22"/>
          <w:szCs w:val="22"/>
          <w14:ligatures w14:val="none"/>
        </w:rPr>
      </w:pPr>
      <w:r w:rsidRPr="00AF4F24">
        <w:rPr>
          <w:rFonts w:eastAsia="Times New Roman" w:cs="Times New Roman"/>
          <w:b/>
          <w:bCs/>
          <w:kern w:val="0"/>
          <w:sz w:val="22"/>
          <w:szCs w:val="22"/>
          <w14:ligatures w14:val="none"/>
        </w:rPr>
        <w:t>Sum</w:t>
      </w:r>
      <w:r w:rsidRPr="00AF4F24">
        <w:rPr>
          <w:rFonts w:eastAsia="Times New Roman" w:cs="Times New Roman"/>
          <w:b/>
          <w:bCs/>
          <w:kern w:val="0"/>
          <w:sz w:val="22"/>
          <w:szCs w:val="22"/>
          <w14:ligatures w14:val="none"/>
        </w:rPr>
        <w:noBreakHyphen/>
        <w:t>of</w:t>
      </w:r>
      <w:r w:rsidRPr="00AF4F24">
        <w:rPr>
          <w:rFonts w:eastAsia="Times New Roman" w:cs="Times New Roman"/>
          <w:b/>
          <w:bCs/>
          <w:kern w:val="0"/>
          <w:sz w:val="22"/>
          <w:szCs w:val="22"/>
          <w14:ligatures w14:val="none"/>
        </w:rPr>
        <w:noBreakHyphen/>
        <w:t>the</w:t>
      </w:r>
      <w:r w:rsidRPr="00AF4F24">
        <w:rPr>
          <w:rFonts w:eastAsia="Times New Roman" w:cs="Times New Roman"/>
          <w:b/>
          <w:bCs/>
          <w:kern w:val="0"/>
          <w:sz w:val="22"/>
          <w:szCs w:val="22"/>
          <w14:ligatures w14:val="none"/>
        </w:rPr>
        <w:noBreakHyphen/>
        <w:t>parts (SOTP) valuation</w:t>
      </w:r>
      <w:r w:rsidRPr="00AF4F24">
        <w:rPr>
          <w:rFonts w:eastAsia="Times New Roman" w:cs="Times New Roman"/>
          <w:kern w:val="0"/>
          <w:sz w:val="22"/>
          <w:szCs w:val="22"/>
          <w14:ligatures w14:val="none"/>
        </w:rPr>
        <w:t xml:space="preserve"> – Given Kakao’s diversified segments (messaging, content, gaming, fintech), an SOTP approach can be used.  Forecast each segment’s revenue growth (e.g., high</w:t>
      </w:r>
      <w:r w:rsidRPr="00AF4F24">
        <w:rPr>
          <w:rFonts w:eastAsia="Times New Roman" w:cs="Times New Roman"/>
          <w:kern w:val="0"/>
          <w:sz w:val="22"/>
          <w:szCs w:val="22"/>
          <w14:ligatures w14:val="none"/>
        </w:rPr>
        <w:noBreakHyphen/>
        <w:t>20 % for fintech and content, mid</w:t>
      </w:r>
      <w:r w:rsidRPr="00AF4F24">
        <w:rPr>
          <w:rFonts w:eastAsia="Times New Roman" w:cs="Times New Roman"/>
          <w:kern w:val="0"/>
          <w:sz w:val="22"/>
          <w:szCs w:val="22"/>
          <w14:ligatures w14:val="none"/>
        </w:rPr>
        <w:noBreakHyphen/>
        <w:t>single digits for the mature messaging platform), estimate operating margins, and discount cash flows at segment</w:t>
      </w:r>
      <w:r w:rsidRPr="00AF4F24">
        <w:rPr>
          <w:rFonts w:eastAsia="Times New Roman" w:cs="Times New Roman"/>
          <w:kern w:val="0"/>
          <w:sz w:val="22"/>
          <w:szCs w:val="22"/>
          <w14:ligatures w14:val="none"/>
        </w:rPr>
        <w:noBreakHyphen/>
        <w:t>specific WACCs.  Compare implied valuations to listed peers (Naver, Tencent Music, Kakao Bank) to cross</w:t>
      </w:r>
      <w:r w:rsidRPr="00AF4F24">
        <w:rPr>
          <w:rFonts w:eastAsia="Times New Roman" w:cs="Times New Roman"/>
          <w:kern w:val="0"/>
          <w:sz w:val="22"/>
          <w:szCs w:val="22"/>
          <w14:ligatures w14:val="none"/>
        </w:rPr>
        <w:noBreakHyphen/>
        <w:t>check multiples.</w:t>
      </w:r>
    </w:p>
    <w:p w14:paraId="0A7D360C" w14:textId="77777777" w:rsidR="00C57B46" w:rsidRPr="00AF4F24" w:rsidRDefault="00C57B46" w:rsidP="00C57B46">
      <w:pPr>
        <w:numPr>
          <w:ilvl w:val="0"/>
          <w:numId w:val="2"/>
        </w:numPr>
        <w:spacing w:before="100" w:beforeAutospacing="1" w:after="100" w:afterAutospacing="1" w:line="240" w:lineRule="auto"/>
        <w:rPr>
          <w:rFonts w:eastAsia="Times New Roman" w:cs="Times New Roman"/>
          <w:kern w:val="0"/>
          <w:sz w:val="22"/>
          <w:szCs w:val="22"/>
          <w14:ligatures w14:val="none"/>
        </w:rPr>
      </w:pPr>
      <w:r w:rsidRPr="00AF4F24">
        <w:rPr>
          <w:rFonts w:eastAsia="Times New Roman" w:cs="Times New Roman"/>
          <w:b/>
          <w:bCs/>
          <w:kern w:val="0"/>
          <w:sz w:val="22"/>
          <w:szCs w:val="22"/>
          <w14:ligatures w14:val="none"/>
        </w:rPr>
        <w:t>Network</w:t>
      </w:r>
      <w:r w:rsidRPr="00AF4F24">
        <w:rPr>
          <w:rFonts w:eastAsia="Times New Roman" w:cs="Times New Roman"/>
          <w:b/>
          <w:bCs/>
          <w:kern w:val="0"/>
          <w:sz w:val="22"/>
          <w:szCs w:val="22"/>
          <w14:ligatures w14:val="none"/>
        </w:rPr>
        <w:noBreakHyphen/>
        <w:t>effect and platform user modelling</w:t>
      </w:r>
      <w:r w:rsidRPr="00AF4F24">
        <w:rPr>
          <w:rFonts w:eastAsia="Times New Roman" w:cs="Times New Roman"/>
          <w:kern w:val="0"/>
          <w:sz w:val="22"/>
          <w:szCs w:val="22"/>
          <w14:ligatures w14:val="none"/>
        </w:rPr>
        <w:t xml:space="preserve"> – Use logistic growth or ARIMA models on monthly active users to forecast adoption of KakaoTalk and the monetisation per user.  Machine</w:t>
      </w:r>
      <w:r w:rsidRPr="00AF4F24">
        <w:rPr>
          <w:rFonts w:eastAsia="Times New Roman" w:cs="Times New Roman"/>
          <w:kern w:val="0"/>
          <w:sz w:val="22"/>
          <w:szCs w:val="22"/>
          <w14:ligatures w14:val="none"/>
        </w:rPr>
        <w:noBreakHyphen/>
        <w:t>learning models (e.g., gradient boosting) can incorporate macro variables (smartphone penetration, ad spend) to predict revenue per user.</w:t>
      </w:r>
    </w:p>
    <w:p w14:paraId="008F1F6A" w14:textId="77777777" w:rsidR="00C57B46" w:rsidRPr="00AF4F24" w:rsidRDefault="00C57B46" w:rsidP="00C57B46">
      <w:pPr>
        <w:numPr>
          <w:ilvl w:val="0"/>
          <w:numId w:val="2"/>
        </w:numPr>
        <w:spacing w:before="100" w:beforeAutospacing="1" w:after="100" w:afterAutospacing="1" w:line="240" w:lineRule="auto"/>
        <w:rPr>
          <w:rFonts w:eastAsia="Times New Roman" w:cs="Times New Roman"/>
          <w:kern w:val="0"/>
          <w:sz w:val="22"/>
          <w:szCs w:val="22"/>
          <w14:ligatures w14:val="none"/>
        </w:rPr>
      </w:pPr>
      <w:r w:rsidRPr="00AF4F24">
        <w:rPr>
          <w:rFonts w:eastAsia="Times New Roman" w:cs="Times New Roman"/>
          <w:b/>
          <w:bCs/>
          <w:kern w:val="0"/>
          <w:sz w:val="22"/>
          <w:szCs w:val="22"/>
          <w14:ligatures w14:val="none"/>
        </w:rPr>
        <w:lastRenderedPageBreak/>
        <w:t>Scenario analysis for AI integration</w:t>
      </w:r>
      <w:r w:rsidRPr="00AF4F24">
        <w:rPr>
          <w:rFonts w:eastAsia="Times New Roman" w:cs="Times New Roman"/>
          <w:kern w:val="0"/>
          <w:sz w:val="22"/>
          <w:szCs w:val="22"/>
          <w14:ligatures w14:val="none"/>
        </w:rPr>
        <w:t xml:space="preserve"> – Kakao is investing in AI</w:t>
      </w:r>
      <w:r w:rsidRPr="00AF4F24">
        <w:rPr>
          <w:rFonts w:eastAsia="Times New Roman" w:cs="Times New Roman"/>
          <w:kern w:val="0"/>
          <w:sz w:val="22"/>
          <w:szCs w:val="22"/>
          <w14:ligatures w14:val="none"/>
        </w:rPr>
        <w:noBreakHyphen/>
        <w:t>powered recommender engines and generative AI for its platform.  Build optimistic, base and pessimistic scenarios for incremental revenue from AI</w:t>
      </w:r>
      <w:r w:rsidRPr="00AF4F24">
        <w:rPr>
          <w:rFonts w:eastAsia="Times New Roman" w:cs="Times New Roman"/>
          <w:kern w:val="0"/>
          <w:sz w:val="22"/>
          <w:szCs w:val="22"/>
          <w14:ligatures w14:val="none"/>
        </w:rPr>
        <w:noBreakHyphen/>
        <w:t>driven advertising and personalised content.  Stress test valuations by varying user engagement and capital expenditure assumptions.</w:t>
      </w:r>
    </w:p>
    <w:p w14:paraId="0DB4C9B4" w14:textId="77777777" w:rsidR="00C57B46" w:rsidRPr="00AF4F24" w:rsidRDefault="00C57B46" w:rsidP="00C57B46">
      <w:pPr>
        <w:numPr>
          <w:ilvl w:val="0"/>
          <w:numId w:val="2"/>
        </w:numPr>
        <w:spacing w:before="100" w:beforeAutospacing="1" w:after="100" w:afterAutospacing="1" w:line="240" w:lineRule="auto"/>
        <w:rPr>
          <w:rFonts w:eastAsia="Times New Roman" w:cs="Times New Roman"/>
          <w:kern w:val="0"/>
          <w:sz w:val="22"/>
          <w:szCs w:val="22"/>
          <w14:ligatures w14:val="none"/>
        </w:rPr>
      </w:pPr>
      <w:r w:rsidRPr="00AF4F24">
        <w:rPr>
          <w:rFonts w:eastAsia="Times New Roman" w:cs="Times New Roman"/>
          <w:b/>
          <w:bCs/>
          <w:kern w:val="0"/>
          <w:sz w:val="22"/>
          <w:szCs w:val="22"/>
          <w14:ligatures w14:val="none"/>
        </w:rPr>
        <w:t>Relative valuation</w:t>
      </w:r>
      <w:r w:rsidRPr="00AF4F24">
        <w:rPr>
          <w:rFonts w:eastAsia="Times New Roman" w:cs="Times New Roman"/>
          <w:kern w:val="0"/>
          <w:sz w:val="22"/>
          <w:szCs w:val="22"/>
          <w14:ligatures w14:val="none"/>
        </w:rPr>
        <w:t xml:space="preserve"> – Compare Kakao’s P/E, EV/EBITDA and price</w:t>
      </w:r>
      <w:r w:rsidRPr="00AF4F24">
        <w:rPr>
          <w:rFonts w:eastAsia="Times New Roman" w:cs="Times New Roman"/>
          <w:kern w:val="0"/>
          <w:sz w:val="22"/>
          <w:szCs w:val="22"/>
          <w14:ligatures w14:val="none"/>
        </w:rPr>
        <w:noBreakHyphen/>
        <w:t>to</w:t>
      </w:r>
      <w:r w:rsidRPr="00AF4F24">
        <w:rPr>
          <w:rFonts w:eastAsia="Times New Roman" w:cs="Times New Roman"/>
          <w:kern w:val="0"/>
          <w:sz w:val="22"/>
          <w:szCs w:val="22"/>
          <w14:ligatures w14:val="none"/>
        </w:rPr>
        <w:noBreakHyphen/>
        <w:t>sales ratios with comparable Asian internet companies (e.g., Sea Ltd., Naver, Tencent) to benchmark investor expectations.  Adjust for differences in profitability, growth and regulatory risk.</w:t>
      </w:r>
    </w:p>
    <w:p w14:paraId="6BAAA79A" w14:textId="77777777" w:rsidR="00C57B46" w:rsidRPr="00AF4F24" w:rsidRDefault="00C57B46" w:rsidP="00C57B46">
      <w:pPr>
        <w:spacing w:before="100" w:beforeAutospacing="1" w:after="100" w:afterAutospacing="1" w:line="240" w:lineRule="auto"/>
        <w:rPr>
          <w:rFonts w:eastAsia="Times New Roman" w:cs="Times New Roman"/>
          <w:kern w:val="0"/>
          <w:sz w:val="22"/>
          <w:szCs w:val="22"/>
          <w14:ligatures w14:val="none"/>
        </w:rPr>
      </w:pPr>
    </w:p>
    <w:p w14:paraId="0CECA08B" w14:textId="77777777" w:rsidR="00C57B46" w:rsidRPr="00AF4F24" w:rsidRDefault="00C57B46" w:rsidP="00C57B46">
      <w:pPr>
        <w:spacing w:before="100" w:beforeAutospacing="1" w:after="100" w:afterAutospacing="1" w:line="240" w:lineRule="auto"/>
        <w:outlineLvl w:val="1"/>
        <w:rPr>
          <w:rFonts w:eastAsia="Times New Roman" w:cs="Times New Roman"/>
          <w:b/>
          <w:bCs/>
          <w:kern w:val="0"/>
          <w:sz w:val="22"/>
          <w:szCs w:val="22"/>
          <w14:ligatures w14:val="none"/>
        </w:rPr>
      </w:pPr>
      <w:r w:rsidRPr="00AF4F24">
        <w:rPr>
          <w:rFonts w:eastAsia="Times New Roman" w:cs="Times New Roman"/>
          <w:b/>
          <w:bCs/>
          <w:kern w:val="0"/>
          <w:sz w:val="22"/>
          <w:szCs w:val="22"/>
          <w14:ligatures w14:val="none"/>
        </w:rPr>
        <w:t>2. Olympic Circuit Technology Co. Ltd (China, 603920.SS)</w:t>
      </w:r>
    </w:p>
    <w:p w14:paraId="6CD7AB44" w14:textId="77777777" w:rsidR="00C57B46" w:rsidRPr="00AF4F24" w:rsidRDefault="00C57B46" w:rsidP="00C57B46">
      <w:pPr>
        <w:numPr>
          <w:ilvl w:val="0"/>
          <w:numId w:val="3"/>
        </w:numPr>
        <w:spacing w:before="100" w:beforeAutospacing="1" w:after="100" w:afterAutospacing="1" w:line="240" w:lineRule="auto"/>
        <w:rPr>
          <w:rFonts w:eastAsia="Times New Roman" w:cs="Times New Roman"/>
          <w:kern w:val="0"/>
          <w:sz w:val="22"/>
          <w:szCs w:val="22"/>
          <w14:ligatures w14:val="none"/>
        </w:rPr>
      </w:pPr>
      <w:r w:rsidRPr="00AF4F24">
        <w:rPr>
          <w:rFonts w:eastAsia="Times New Roman" w:cs="Times New Roman"/>
          <w:b/>
          <w:bCs/>
          <w:kern w:val="0"/>
          <w:sz w:val="22"/>
          <w:szCs w:val="22"/>
          <w14:ligatures w14:val="none"/>
        </w:rPr>
        <w:t>Business model &amp; growth drivers</w:t>
      </w:r>
      <w:r w:rsidRPr="00AF4F24">
        <w:rPr>
          <w:rFonts w:eastAsia="Times New Roman" w:cs="Times New Roman"/>
          <w:kern w:val="0"/>
          <w:sz w:val="22"/>
          <w:szCs w:val="22"/>
          <w14:ligatures w14:val="none"/>
        </w:rPr>
        <w:t xml:space="preserve"> – Olympic Circuit produces high</w:t>
      </w:r>
      <w:r w:rsidRPr="00AF4F24">
        <w:rPr>
          <w:rFonts w:eastAsia="Times New Roman" w:cs="Times New Roman"/>
          <w:kern w:val="0"/>
          <w:sz w:val="22"/>
          <w:szCs w:val="22"/>
          <w14:ligatures w14:val="none"/>
        </w:rPr>
        <w:noBreakHyphen/>
        <w:t>end rigid printed circuit boards (PCBs) used in data centres, automotive electronics and renewable</w:t>
      </w:r>
      <w:r w:rsidRPr="00AF4F24">
        <w:rPr>
          <w:rFonts w:eastAsia="Times New Roman" w:cs="Times New Roman"/>
          <w:kern w:val="0"/>
          <w:sz w:val="22"/>
          <w:szCs w:val="22"/>
          <w14:ligatures w14:val="none"/>
        </w:rPr>
        <w:noBreakHyphen/>
        <w:t>energy equipment.  Demand is driven by high</w:t>
      </w:r>
      <w:r w:rsidRPr="00AF4F24">
        <w:rPr>
          <w:rFonts w:eastAsia="Times New Roman" w:cs="Times New Roman"/>
          <w:kern w:val="0"/>
          <w:sz w:val="22"/>
          <w:szCs w:val="22"/>
          <w14:ligatures w14:val="none"/>
        </w:rPr>
        <w:noBreakHyphen/>
        <w:t>performance computing (HPC), AI servers and electric vehicles.  The company focuses on complex multi</w:t>
      </w:r>
      <w:r w:rsidRPr="00AF4F24">
        <w:rPr>
          <w:rFonts w:eastAsia="Times New Roman" w:cs="Times New Roman"/>
          <w:kern w:val="0"/>
          <w:sz w:val="22"/>
          <w:szCs w:val="22"/>
          <w14:ligatures w14:val="none"/>
        </w:rPr>
        <w:noBreakHyphen/>
        <w:t>layer boards and has recently expanded into substrate</w:t>
      </w:r>
      <w:r w:rsidRPr="00AF4F24">
        <w:rPr>
          <w:rFonts w:eastAsia="Times New Roman" w:cs="Times New Roman"/>
          <w:kern w:val="0"/>
          <w:sz w:val="22"/>
          <w:szCs w:val="22"/>
          <w14:ligatures w14:val="none"/>
        </w:rPr>
        <w:noBreakHyphen/>
        <w:t>like PCBs.</w:t>
      </w:r>
    </w:p>
    <w:p w14:paraId="28D24771" w14:textId="77777777" w:rsidR="00C57B46" w:rsidRPr="00AF4F24" w:rsidRDefault="00C57B46" w:rsidP="00C57B46">
      <w:pPr>
        <w:numPr>
          <w:ilvl w:val="0"/>
          <w:numId w:val="3"/>
        </w:numPr>
        <w:spacing w:before="100" w:beforeAutospacing="1" w:after="100" w:afterAutospacing="1" w:line="240" w:lineRule="auto"/>
        <w:rPr>
          <w:rFonts w:eastAsia="Times New Roman" w:cs="Times New Roman"/>
          <w:kern w:val="0"/>
          <w:sz w:val="22"/>
          <w:szCs w:val="22"/>
          <w14:ligatures w14:val="none"/>
        </w:rPr>
      </w:pPr>
      <w:r w:rsidRPr="00AF4F24">
        <w:rPr>
          <w:rFonts w:eastAsia="Times New Roman" w:cs="Times New Roman"/>
          <w:b/>
          <w:bCs/>
          <w:kern w:val="0"/>
          <w:sz w:val="22"/>
          <w:szCs w:val="22"/>
          <w14:ligatures w14:val="none"/>
        </w:rPr>
        <w:t>Recent financial performance</w:t>
      </w:r>
      <w:r w:rsidRPr="00AF4F24">
        <w:rPr>
          <w:rFonts w:eastAsia="Times New Roman" w:cs="Times New Roman"/>
          <w:kern w:val="0"/>
          <w:sz w:val="22"/>
          <w:szCs w:val="22"/>
          <w14:ligatures w14:val="none"/>
        </w:rPr>
        <w:t xml:space="preserve"> – Reuters’ annual income statement shows that Olympic Circuit’s revenue grew from </w:t>
      </w:r>
      <w:r w:rsidRPr="00AF4F24">
        <w:rPr>
          <w:rFonts w:eastAsia="Times New Roman" w:cs="Times New Roman"/>
          <w:b/>
          <w:bCs/>
          <w:kern w:val="0"/>
          <w:sz w:val="22"/>
          <w:szCs w:val="22"/>
          <w14:ligatures w14:val="none"/>
        </w:rPr>
        <w:t>CNY 4.43 billion in 2022</w:t>
      </w:r>
      <w:r w:rsidRPr="00AF4F24">
        <w:rPr>
          <w:rFonts w:eastAsia="Times New Roman" w:cs="Times New Roman"/>
          <w:kern w:val="0"/>
          <w:sz w:val="22"/>
          <w:szCs w:val="22"/>
          <w14:ligatures w14:val="none"/>
        </w:rPr>
        <w:t xml:space="preserve"> to </w:t>
      </w:r>
      <w:r w:rsidRPr="00AF4F24">
        <w:rPr>
          <w:rFonts w:eastAsia="Times New Roman" w:cs="Times New Roman"/>
          <w:b/>
          <w:bCs/>
          <w:kern w:val="0"/>
          <w:sz w:val="22"/>
          <w:szCs w:val="22"/>
          <w14:ligatures w14:val="none"/>
        </w:rPr>
        <w:t>CNY 5.02 billion in 2024</w:t>
      </w:r>
      <w:r w:rsidRPr="00AF4F24">
        <w:rPr>
          <w:rFonts w:eastAsia="Times New Roman" w:cs="Times New Roman"/>
          <w:kern w:val="0"/>
          <w:sz w:val="22"/>
          <w:szCs w:val="22"/>
          <w14:ligatures w14:val="none"/>
        </w:rPr>
        <w:t xml:space="preserve"> .  Gross profit increased to </w:t>
      </w:r>
      <w:r w:rsidRPr="00AF4F24">
        <w:rPr>
          <w:rFonts w:eastAsia="Times New Roman" w:cs="Times New Roman"/>
          <w:b/>
          <w:bCs/>
          <w:kern w:val="0"/>
          <w:sz w:val="22"/>
          <w:szCs w:val="22"/>
          <w14:ligatures w14:val="none"/>
        </w:rPr>
        <w:t>CNY 1.14 billion</w:t>
      </w:r>
      <w:r w:rsidRPr="00AF4F24">
        <w:rPr>
          <w:rFonts w:eastAsia="Times New Roman" w:cs="Times New Roman"/>
          <w:kern w:val="0"/>
          <w:sz w:val="22"/>
          <w:szCs w:val="22"/>
          <w14:ligatures w14:val="none"/>
        </w:rPr>
        <w:t xml:space="preserve"> in 2024  and operating income reached </w:t>
      </w:r>
      <w:r w:rsidRPr="00AF4F24">
        <w:rPr>
          <w:rFonts w:eastAsia="Times New Roman" w:cs="Times New Roman"/>
          <w:b/>
          <w:bCs/>
          <w:kern w:val="0"/>
          <w:sz w:val="22"/>
          <w:szCs w:val="22"/>
          <w14:ligatures w14:val="none"/>
        </w:rPr>
        <w:t>CNY 762 million</w:t>
      </w:r>
      <w:r w:rsidRPr="00AF4F24">
        <w:rPr>
          <w:rFonts w:eastAsia="Times New Roman" w:cs="Times New Roman"/>
          <w:kern w:val="0"/>
          <w:sz w:val="22"/>
          <w:szCs w:val="22"/>
          <w14:ligatures w14:val="none"/>
        </w:rPr>
        <w:t xml:space="preserve"> .  Net income after tax was </w:t>
      </w:r>
      <w:r w:rsidRPr="00AF4F24">
        <w:rPr>
          <w:rFonts w:eastAsia="Times New Roman" w:cs="Times New Roman"/>
          <w:b/>
          <w:bCs/>
          <w:kern w:val="0"/>
          <w:sz w:val="22"/>
          <w:szCs w:val="22"/>
          <w14:ligatures w14:val="none"/>
        </w:rPr>
        <w:t>CNY 638 million</w:t>
      </w:r>
      <w:r w:rsidRPr="00AF4F24">
        <w:rPr>
          <w:rFonts w:eastAsia="Times New Roman" w:cs="Times New Roman"/>
          <w:kern w:val="0"/>
          <w:sz w:val="22"/>
          <w:szCs w:val="22"/>
          <w14:ligatures w14:val="none"/>
        </w:rPr>
        <w:t xml:space="preserve"> in 2024 versus </w:t>
      </w:r>
      <w:r w:rsidRPr="00AF4F24">
        <w:rPr>
          <w:rFonts w:eastAsia="Times New Roman" w:cs="Times New Roman"/>
          <w:b/>
          <w:bCs/>
          <w:kern w:val="0"/>
          <w:sz w:val="22"/>
          <w:szCs w:val="22"/>
          <w14:ligatures w14:val="none"/>
        </w:rPr>
        <w:t>CNY 402 million</w:t>
      </w:r>
      <w:r w:rsidRPr="00AF4F24">
        <w:rPr>
          <w:rFonts w:eastAsia="Times New Roman" w:cs="Times New Roman"/>
          <w:kern w:val="0"/>
          <w:sz w:val="22"/>
          <w:szCs w:val="22"/>
          <w14:ligatures w14:val="none"/>
        </w:rPr>
        <w:t xml:space="preserve"> in 2022 .  Diluted EPS rose to </w:t>
      </w:r>
      <w:r w:rsidRPr="00AF4F24">
        <w:rPr>
          <w:rFonts w:eastAsia="Times New Roman" w:cs="Times New Roman"/>
          <w:b/>
          <w:bCs/>
          <w:kern w:val="0"/>
          <w:sz w:val="22"/>
          <w:szCs w:val="22"/>
          <w14:ligatures w14:val="none"/>
        </w:rPr>
        <w:t>CNY 1.11</w:t>
      </w:r>
      <w:r w:rsidRPr="00AF4F24">
        <w:rPr>
          <w:rFonts w:eastAsia="Times New Roman" w:cs="Times New Roman"/>
          <w:kern w:val="0"/>
          <w:sz w:val="22"/>
          <w:szCs w:val="22"/>
          <w14:ligatures w14:val="none"/>
        </w:rPr>
        <w:t xml:space="preserve">  and the dividend per share increased to </w:t>
      </w:r>
      <w:r w:rsidRPr="00AF4F24">
        <w:rPr>
          <w:rFonts w:eastAsia="Times New Roman" w:cs="Times New Roman"/>
          <w:b/>
          <w:bCs/>
          <w:kern w:val="0"/>
          <w:sz w:val="22"/>
          <w:szCs w:val="22"/>
          <w14:ligatures w14:val="none"/>
        </w:rPr>
        <w:t>CNY 0.60</w:t>
      </w:r>
      <w:r w:rsidRPr="00AF4F24">
        <w:rPr>
          <w:rFonts w:eastAsia="Times New Roman" w:cs="Times New Roman"/>
          <w:kern w:val="0"/>
          <w:sz w:val="22"/>
          <w:szCs w:val="22"/>
          <w14:ligatures w14:val="none"/>
        </w:rPr>
        <w:t xml:space="preserve"> .</w:t>
      </w:r>
    </w:p>
    <w:p w14:paraId="260B7792" w14:textId="77777777" w:rsidR="00C57B46" w:rsidRPr="00AF4F24" w:rsidRDefault="00C57B46" w:rsidP="00C57B46">
      <w:pPr>
        <w:numPr>
          <w:ilvl w:val="0"/>
          <w:numId w:val="3"/>
        </w:numPr>
        <w:spacing w:before="100" w:beforeAutospacing="1" w:after="100" w:afterAutospacing="1" w:line="240" w:lineRule="auto"/>
        <w:rPr>
          <w:rFonts w:eastAsia="Times New Roman" w:cs="Times New Roman"/>
          <w:kern w:val="0"/>
          <w:sz w:val="22"/>
          <w:szCs w:val="22"/>
          <w14:ligatures w14:val="none"/>
        </w:rPr>
      </w:pPr>
      <w:r w:rsidRPr="00AF4F24">
        <w:rPr>
          <w:rFonts w:eastAsia="Times New Roman" w:cs="Times New Roman"/>
          <w:b/>
          <w:bCs/>
          <w:kern w:val="0"/>
          <w:sz w:val="22"/>
          <w:szCs w:val="22"/>
          <w14:ligatures w14:val="none"/>
        </w:rPr>
        <w:t>Key metrics</w:t>
      </w:r>
      <w:r w:rsidRPr="00AF4F24">
        <w:rPr>
          <w:rFonts w:eastAsia="Times New Roman" w:cs="Times New Roman"/>
          <w:kern w:val="0"/>
          <w:sz w:val="22"/>
          <w:szCs w:val="22"/>
          <w14:ligatures w14:val="none"/>
        </w:rPr>
        <w:t xml:space="preserve"> – The stock trades at roughly 35× forward earnings with a 1.4 % dividend yield .  Revenue growth averaged about </w:t>
      </w:r>
      <w:r w:rsidRPr="00AF4F24">
        <w:rPr>
          <w:rFonts w:eastAsia="Times New Roman" w:cs="Times New Roman"/>
          <w:b/>
          <w:bCs/>
          <w:kern w:val="0"/>
          <w:sz w:val="22"/>
          <w:szCs w:val="22"/>
          <w14:ligatures w14:val="none"/>
        </w:rPr>
        <w:t>6 % p.a.</w:t>
      </w:r>
      <w:r w:rsidRPr="00AF4F24">
        <w:rPr>
          <w:rFonts w:eastAsia="Times New Roman" w:cs="Times New Roman"/>
          <w:kern w:val="0"/>
          <w:sz w:val="22"/>
          <w:szCs w:val="22"/>
          <w14:ligatures w14:val="none"/>
        </w:rPr>
        <w:t xml:space="preserve"> over 2022–2024 , but half</w:t>
      </w:r>
      <w:r w:rsidRPr="00AF4F24">
        <w:rPr>
          <w:rFonts w:eastAsia="Times New Roman" w:cs="Times New Roman"/>
          <w:kern w:val="0"/>
          <w:sz w:val="22"/>
          <w:szCs w:val="22"/>
          <w14:ligatures w14:val="none"/>
        </w:rPr>
        <w:noBreakHyphen/>
        <w:t>year 2025 results (not publicly available here) show accelerating growth with net income up ~25 % YoY .  Olympic Circuit has relatively low leverage (debt</w:t>
      </w:r>
      <w:r w:rsidRPr="00AF4F24">
        <w:rPr>
          <w:rFonts w:eastAsia="Times New Roman" w:cs="Times New Roman"/>
          <w:kern w:val="0"/>
          <w:sz w:val="22"/>
          <w:szCs w:val="22"/>
          <w14:ligatures w14:val="none"/>
        </w:rPr>
        <w:noBreakHyphen/>
        <w:t>to</w:t>
      </w:r>
      <w:r w:rsidRPr="00AF4F24">
        <w:rPr>
          <w:rFonts w:eastAsia="Times New Roman" w:cs="Times New Roman"/>
          <w:kern w:val="0"/>
          <w:sz w:val="22"/>
          <w:szCs w:val="22"/>
          <w14:ligatures w14:val="none"/>
        </w:rPr>
        <w:noBreakHyphen/>
        <w:t>equity ≈5.6 %) .</w:t>
      </w:r>
    </w:p>
    <w:p w14:paraId="20F6D463" w14:textId="77777777" w:rsidR="00C57B46" w:rsidRPr="00AF4F24" w:rsidRDefault="00C57B46" w:rsidP="00C57B46">
      <w:pPr>
        <w:spacing w:before="100" w:beforeAutospacing="1" w:after="100" w:afterAutospacing="1" w:line="240" w:lineRule="auto"/>
        <w:rPr>
          <w:rFonts w:eastAsia="Times New Roman" w:cs="Times New Roman"/>
          <w:kern w:val="0"/>
          <w:sz w:val="22"/>
          <w:szCs w:val="22"/>
          <w14:ligatures w14:val="none"/>
        </w:rPr>
      </w:pPr>
    </w:p>
    <w:p w14:paraId="383EA438" w14:textId="77777777" w:rsidR="00C57B46" w:rsidRPr="00AF4F24" w:rsidRDefault="00C57B46" w:rsidP="00C57B46">
      <w:pPr>
        <w:spacing w:before="100" w:beforeAutospacing="1" w:after="100" w:afterAutospacing="1" w:line="240" w:lineRule="auto"/>
        <w:outlineLvl w:val="2"/>
        <w:rPr>
          <w:rFonts w:eastAsia="Times New Roman" w:cs="Times New Roman"/>
          <w:b/>
          <w:bCs/>
          <w:kern w:val="0"/>
          <w:sz w:val="22"/>
          <w:szCs w:val="22"/>
          <w14:ligatures w14:val="none"/>
        </w:rPr>
      </w:pPr>
      <w:r w:rsidRPr="00AF4F24">
        <w:rPr>
          <w:rFonts w:eastAsia="Times New Roman" w:cs="Times New Roman"/>
          <w:b/>
          <w:bCs/>
          <w:kern w:val="0"/>
          <w:sz w:val="22"/>
          <w:szCs w:val="22"/>
          <w14:ligatures w14:val="none"/>
        </w:rPr>
        <w:t>Modelling considerations</w:t>
      </w:r>
    </w:p>
    <w:p w14:paraId="562ED268" w14:textId="77777777" w:rsidR="00C57B46" w:rsidRPr="00AF4F24" w:rsidRDefault="00C57B46" w:rsidP="00C57B46">
      <w:pPr>
        <w:numPr>
          <w:ilvl w:val="0"/>
          <w:numId w:val="4"/>
        </w:numPr>
        <w:spacing w:before="100" w:beforeAutospacing="1" w:after="100" w:afterAutospacing="1" w:line="240" w:lineRule="auto"/>
        <w:rPr>
          <w:rFonts w:eastAsia="Times New Roman" w:cs="Times New Roman"/>
          <w:kern w:val="0"/>
          <w:sz w:val="22"/>
          <w:szCs w:val="22"/>
          <w14:ligatures w14:val="none"/>
        </w:rPr>
      </w:pPr>
      <w:r w:rsidRPr="00AF4F24">
        <w:rPr>
          <w:rFonts w:eastAsia="Times New Roman" w:cs="Times New Roman"/>
          <w:b/>
          <w:bCs/>
          <w:kern w:val="0"/>
          <w:sz w:val="22"/>
          <w:szCs w:val="22"/>
          <w14:ligatures w14:val="none"/>
        </w:rPr>
        <w:t>Capacity</w:t>
      </w:r>
      <w:r w:rsidRPr="00AF4F24">
        <w:rPr>
          <w:rFonts w:eastAsia="Times New Roman" w:cs="Times New Roman"/>
          <w:b/>
          <w:bCs/>
          <w:kern w:val="0"/>
          <w:sz w:val="22"/>
          <w:szCs w:val="22"/>
          <w14:ligatures w14:val="none"/>
        </w:rPr>
        <w:noBreakHyphen/>
        <w:t>utilisation DCF model</w:t>
      </w:r>
      <w:r w:rsidRPr="00AF4F24">
        <w:rPr>
          <w:rFonts w:eastAsia="Times New Roman" w:cs="Times New Roman"/>
          <w:kern w:val="0"/>
          <w:sz w:val="22"/>
          <w:szCs w:val="22"/>
          <w14:ligatures w14:val="none"/>
        </w:rPr>
        <w:t xml:space="preserve"> – Build a model linking capital expenditure to PCB manufacturing capacity (square metres).  Forecast utilisation rates based on AI</w:t>
      </w:r>
      <w:r w:rsidRPr="00AF4F24">
        <w:rPr>
          <w:rFonts w:eastAsia="Times New Roman" w:cs="Times New Roman"/>
          <w:kern w:val="0"/>
          <w:sz w:val="22"/>
          <w:szCs w:val="22"/>
          <w14:ligatures w14:val="none"/>
        </w:rPr>
        <w:noBreakHyphen/>
        <w:t>server and EV demand growth, then derive revenue via average selling price (ASP) trends.  This helps estimate free cash flow and terminal value.</w:t>
      </w:r>
    </w:p>
    <w:p w14:paraId="5D4AC65B" w14:textId="77777777" w:rsidR="00C57B46" w:rsidRPr="00AF4F24" w:rsidRDefault="00C57B46" w:rsidP="00C57B46">
      <w:pPr>
        <w:numPr>
          <w:ilvl w:val="0"/>
          <w:numId w:val="4"/>
        </w:numPr>
        <w:spacing w:before="100" w:beforeAutospacing="1" w:after="100" w:afterAutospacing="1" w:line="240" w:lineRule="auto"/>
        <w:rPr>
          <w:rFonts w:eastAsia="Times New Roman" w:cs="Times New Roman"/>
          <w:kern w:val="0"/>
          <w:sz w:val="22"/>
          <w:szCs w:val="22"/>
          <w14:ligatures w14:val="none"/>
        </w:rPr>
      </w:pPr>
      <w:r w:rsidRPr="00AF4F24">
        <w:rPr>
          <w:rFonts w:eastAsia="Times New Roman" w:cs="Times New Roman"/>
          <w:b/>
          <w:bCs/>
          <w:kern w:val="0"/>
          <w:sz w:val="22"/>
          <w:szCs w:val="22"/>
          <w14:ligatures w14:val="none"/>
        </w:rPr>
        <w:t>Commodity sensitivity analysis</w:t>
      </w:r>
      <w:r w:rsidRPr="00AF4F24">
        <w:rPr>
          <w:rFonts w:eastAsia="Times New Roman" w:cs="Times New Roman"/>
          <w:kern w:val="0"/>
          <w:sz w:val="22"/>
          <w:szCs w:val="22"/>
          <w14:ligatures w14:val="none"/>
        </w:rPr>
        <w:t xml:space="preserve"> – PCB margins depend on copper and laminate costs.  Use historical regression to estimate margin sensitivity to copper prices and incorporate into Monte</w:t>
      </w:r>
      <w:r w:rsidRPr="00AF4F24">
        <w:rPr>
          <w:rFonts w:eastAsia="Times New Roman" w:cs="Times New Roman"/>
          <w:kern w:val="0"/>
          <w:sz w:val="22"/>
          <w:szCs w:val="22"/>
          <w14:ligatures w14:val="none"/>
        </w:rPr>
        <w:noBreakHyphen/>
        <w:t>Carlo simulations to assess earnings volatility.</w:t>
      </w:r>
    </w:p>
    <w:p w14:paraId="18A88473" w14:textId="77777777" w:rsidR="00C57B46" w:rsidRPr="00AF4F24" w:rsidRDefault="00C57B46" w:rsidP="00C57B46">
      <w:pPr>
        <w:numPr>
          <w:ilvl w:val="0"/>
          <w:numId w:val="4"/>
        </w:numPr>
        <w:spacing w:before="100" w:beforeAutospacing="1" w:after="100" w:afterAutospacing="1" w:line="240" w:lineRule="auto"/>
        <w:rPr>
          <w:rFonts w:eastAsia="Times New Roman" w:cs="Times New Roman"/>
          <w:kern w:val="0"/>
          <w:sz w:val="22"/>
          <w:szCs w:val="22"/>
          <w14:ligatures w14:val="none"/>
        </w:rPr>
      </w:pPr>
      <w:r w:rsidRPr="00AF4F24">
        <w:rPr>
          <w:rFonts w:eastAsia="Times New Roman" w:cs="Times New Roman"/>
          <w:b/>
          <w:bCs/>
          <w:kern w:val="0"/>
          <w:sz w:val="22"/>
          <w:szCs w:val="22"/>
          <w14:ligatures w14:val="none"/>
        </w:rPr>
        <w:t>Peer multiple comparison</w:t>
      </w:r>
      <w:r w:rsidRPr="00AF4F24">
        <w:rPr>
          <w:rFonts w:eastAsia="Times New Roman" w:cs="Times New Roman"/>
          <w:kern w:val="0"/>
          <w:sz w:val="22"/>
          <w:szCs w:val="22"/>
          <w14:ligatures w14:val="none"/>
        </w:rPr>
        <w:t xml:space="preserve"> – Benchmark Olympic’s P/E, EV/EBITDA and P/B multiples against domestic peers like Shenzhen Kotec, Wus Printed Circuit and international PCB makers (e.g., TTM Technologies).  Adjust for growth, ROE and capital intensity.</w:t>
      </w:r>
    </w:p>
    <w:p w14:paraId="13EDFF21" w14:textId="77777777" w:rsidR="00C57B46" w:rsidRPr="00AF4F24" w:rsidRDefault="00C57B46" w:rsidP="00C57B46">
      <w:pPr>
        <w:numPr>
          <w:ilvl w:val="0"/>
          <w:numId w:val="4"/>
        </w:numPr>
        <w:spacing w:before="100" w:beforeAutospacing="1" w:after="100" w:afterAutospacing="1" w:line="240" w:lineRule="auto"/>
        <w:rPr>
          <w:rFonts w:eastAsia="Times New Roman" w:cs="Times New Roman"/>
          <w:kern w:val="0"/>
          <w:sz w:val="22"/>
          <w:szCs w:val="22"/>
          <w14:ligatures w14:val="none"/>
        </w:rPr>
      </w:pPr>
      <w:r w:rsidRPr="00AF4F24">
        <w:rPr>
          <w:rFonts w:eastAsia="Times New Roman" w:cs="Times New Roman"/>
          <w:b/>
          <w:bCs/>
          <w:kern w:val="0"/>
          <w:sz w:val="22"/>
          <w:szCs w:val="22"/>
          <w14:ligatures w14:val="none"/>
        </w:rPr>
        <w:t>Factor</w:t>
      </w:r>
      <w:r w:rsidRPr="00AF4F24">
        <w:rPr>
          <w:rFonts w:eastAsia="Times New Roman" w:cs="Times New Roman"/>
          <w:b/>
          <w:bCs/>
          <w:kern w:val="0"/>
          <w:sz w:val="22"/>
          <w:szCs w:val="22"/>
          <w14:ligatures w14:val="none"/>
        </w:rPr>
        <w:noBreakHyphen/>
        <w:t>based statistical arbitrage</w:t>
      </w:r>
      <w:r w:rsidRPr="00AF4F24">
        <w:rPr>
          <w:rFonts w:eastAsia="Times New Roman" w:cs="Times New Roman"/>
          <w:kern w:val="0"/>
          <w:sz w:val="22"/>
          <w:szCs w:val="22"/>
          <w14:ligatures w14:val="none"/>
        </w:rPr>
        <w:t xml:space="preserve"> – For a hedge fund, Olympic Circuit could be used in long/short strategies within Asian electronic</w:t>
      </w:r>
      <w:r w:rsidRPr="00AF4F24">
        <w:rPr>
          <w:rFonts w:eastAsia="Times New Roman" w:cs="Times New Roman"/>
          <w:kern w:val="0"/>
          <w:sz w:val="22"/>
          <w:szCs w:val="22"/>
          <w14:ligatures w14:val="none"/>
        </w:rPr>
        <w:noBreakHyphen/>
        <w:t>hardware equities.  Construct factors such as momentum, quality (ROE), and value to identify mis</w:t>
      </w:r>
      <w:r w:rsidRPr="00AF4F24">
        <w:rPr>
          <w:rFonts w:eastAsia="Times New Roman" w:cs="Times New Roman"/>
          <w:kern w:val="0"/>
          <w:sz w:val="22"/>
          <w:szCs w:val="22"/>
          <w14:ligatures w14:val="none"/>
        </w:rPr>
        <w:noBreakHyphen/>
        <w:t>pricing relative to peers.</w:t>
      </w:r>
    </w:p>
    <w:p w14:paraId="2C61562D" w14:textId="77777777" w:rsidR="00C57B46" w:rsidRPr="00AF4F24" w:rsidRDefault="00C57B46" w:rsidP="00C57B46">
      <w:pPr>
        <w:spacing w:before="100" w:beforeAutospacing="1" w:after="100" w:afterAutospacing="1" w:line="240" w:lineRule="auto"/>
        <w:rPr>
          <w:rFonts w:eastAsia="Times New Roman" w:cs="Times New Roman"/>
          <w:kern w:val="0"/>
          <w:sz w:val="22"/>
          <w:szCs w:val="22"/>
          <w14:ligatures w14:val="none"/>
        </w:rPr>
      </w:pPr>
    </w:p>
    <w:p w14:paraId="2D33D73D" w14:textId="77777777" w:rsidR="00C57B46" w:rsidRPr="00AF4F24" w:rsidRDefault="00C57B46" w:rsidP="00C57B46">
      <w:pPr>
        <w:spacing w:before="100" w:beforeAutospacing="1" w:after="100" w:afterAutospacing="1" w:line="240" w:lineRule="auto"/>
        <w:outlineLvl w:val="1"/>
        <w:rPr>
          <w:rFonts w:eastAsia="Times New Roman" w:cs="Times New Roman"/>
          <w:b/>
          <w:bCs/>
          <w:kern w:val="0"/>
          <w:sz w:val="22"/>
          <w:szCs w:val="22"/>
          <w14:ligatures w14:val="none"/>
        </w:rPr>
      </w:pPr>
      <w:r w:rsidRPr="00AF4F24">
        <w:rPr>
          <w:rFonts w:eastAsia="Times New Roman" w:cs="Times New Roman"/>
          <w:b/>
          <w:bCs/>
          <w:kern w:val="0"/>
          <w:sz w:val="22"/>
          <w:szCs w:val="22"/>
          <w14:ligatures w14:val="none"/>
        </w:rPr>
        <w:t>3. Concord New Energy Group Ltd (Hong Kong/China, 0182.HK)</w:t>
      </w:r>
    </w:p>
    <w:p w14:paraId="38D4FF4D" w14:textId="77777777" w:rsidR="00C57B46" w:rsidRPr="00AF4F24" w:rsidRDefault="00C57B46" w:rsidP="00C57B46">
      <w:pPr>
        <w:numPr>
          <w:ilvl w:val="0"/>
          <w:numId w:val="5"/>
        </w:numPr>
        <w:spacing w:before="100" w:beforeAutospacing="1" w:after="100" w:afterAutospacing="1" w:line="240" w:lineRule="auto"/>
        <w:rPr>
          <w:rFonts w:eastAsia="Times New Roman" w:cs="Times New Roman"/>
          <w:kern w:val="0"/>
          <w:sz w:val="22"/>
          <w:szCs w:val="22"/>
          <w14:ligatures w14:val="none"/>
        </w:rPr>
      </w:pPr>
      <w:r w:rsidRPr="00AF4F24">
        <w:rPr>
          <w:rFonts w:eastAsia="Times New Roman" w:cs="Times New Roman"/>
          <w:b/>
          <w:bCs/>
          <w:kern w:val="0"/>
          <w:sz w:val="22"/>
          <w:szCs w:val="22"/>
          <w14:ligatures w14:val="none"/>
        </w:rPr>
        <w:lastRenderedPageBreak/>
        <w:t>Business model &amp; growth drivers</w:t>
      </w:r>
      <w:r w:rsidRPr="00AF4F24">
        <w:rPr>
          <w:rFonts w:eastAsia="Times New Roman" w:cs="Times New Roman"/>
          <w:kern w:val="0"/>
          <w:sz w:val="22"/>
          <w:szCs w:val="22"/>
          <w14:ligatures w14:val="none"/>
        </w:rPr>
        <w:t xml:space="preserve"> – Concord New Energy (CNE) develops, owns and operates wind and solar power plants in China and abroad.  It also engages in green</w:t>
      </w:r>
      <w:r w:rsidRPr="00AF4F24">
        <w:rPr>
          <w:rFonts w:eastAsia="Times New Roman" w:cs="Times New Roman"/>
          <w:kern w:val="0"/>
          <w:sz w:val="22"/>
          <w:szCs w:val="22"/>
          <w14:ligatures w14:val="none"/>
        </w:rPr>
        <w:noBreakHyphen/>
        <w:t>power trading, energy storage and carbon</w:t>
      </w:r>
      <w:r w:rsidRPr="00AF4F24">
        <w:rPr>
          <w:rFonts w:eastAsia="Times New Roman" w:cs="Times New Roman"/>
          <w:kern w:val="0"/>
          <w:sz w:val="22"/>
          <w:szCs w:val="22"/>
          <w14:ligatures w14:val="none"/>
        </w:rPr>
        <w:noBreakHyphen/>
        <w:t>credit sales.  Growth is driven by capacity additions, increasing utilisation hours and participation in green electricity trading markets.</w:t>
      </w:r>
    </w:p>
    <w:p w14:paraId="5E52F307" w14:textId="77777777" w:rsidR="00C57B46" w:rsidRPr="00AF4F24" w:rsidRDefault="00C57B46" w:rsidP="00C57B46">
      <w:pPr>
        <w:numPr>
          <w:ilvl w:val="0"/>
          <w:numId w:val="5"/>
        </w:numPr>
        <w:spacing w:before="100" w:beforeAutospacing="1" w:after="100" w:afterAutospacing="1" w:line="240" w:lineRule="auto"/>
        <w:rPr>
          <w:rFonts w:eastAsia="Times New Roman" w:cs="Times New Roman"/>
          <w:kern w:val="0"/>
          <w:sz w:val="22"/>
          <w:szCs w:val="22"/>
          <w14:ligatures w14:val="none"/>
        </w:rPr>
      </w:pPr>
      <w:r w:rsidRPr="00AF4F24">
        <w:rPr>
          <w:rFonts w:eastAsia="Times New Roman" w:cs="Times New Roman"/>
          <w:b/>
          <w:bCs/>
          <w:kern w:val="0"/>
          <w:sz w:val="22"/>
          <w:szCs w:val="22"/>
          <w14:ligatures w14:val="none"/>
        </w:rPr>
        <w:t>Recent financial performance</w:t>
      </w:r>
      <w:r w:rsidRPr="00AF4F24">
        <w:rPr>
          <w:rFonts w:eastAsia="Times New Roman" w:cs="Times New Roman"/>
          <w:kern w:val="0"/>
          <w:sz w:val="22"/>
          <w:szCs w:val="22"/>
          <w14:ligatures w14:val="none"/>
        </w:rPr>
        <w:t xml:space="preserve"> – The company’s 2024 annual results (released Feb 2025) recorded revenue of </w:t>
      </w:r>
      <w:r w:rsidRPr="00AF4F24">
        <w:rPr>
          <w:rFonts w:eastAsia="Times New Roman" w:cs="Times New Roman"/>
          <w:b/>
          <w:bCs/>
          <w:kern w:val="0"/>
          <w:sz w:val="22"/>
          <w:szCs w:val="22"/>
          <w14:ligatures w14:val="none"/>
        </w:rPr>
        <w:t>RMB 2.75 billion</w:t>
      </w:r>
      <w:r w:rsidRPr="00AF4F24">
        <w:rPr>
          <w:rFonts w:eastAsia="Times New Roman" w:cs="Times New Roman"/>
          <w:kern w:val="0"/>
          <w:sz w:val="22"/>
          <w:szCs w:val="22"/>
          <w14:ligatures w14:val="none"/>
        </w:rPr>
        <w:t xml:space="preserve">, a </w:t>
      </w:r>
      <w:r w:rsidRPr="00AF4F24">
        <w:rPr>
          <w:rFonts w:eastAsia="Times New Roman" w:cs="Times New Roman"/>
          <w:b/>
          <w:bCs/>
          <w:kern w:val="0"/>
          <w:sz w:val="22"/>
          <w:szCs w:val="22"/>
          <w14:ligatures w14:val="none"/>
        </w:rPr>
        <w:t>6.3 %</w:t>
      </w:r>
      <w:r w:rsidRPr="00AF4F24">
        <w:rPr>
          <w:rFonts w:eastAsia="Times New Roman" w:cs="Times New Roman"/>
          <w:kern w:val="0"/>
          <w:sz w:val="22"/>
          <w:szCs w:val="22"/>
          <w14:ligatures w14:val="none"/>
        </w:rPr>
        <w:t xml:space="preserve"> increase year</w:t>
      </w:r>
      <w:r w:rsidRPr="00AF4F24">
        <w:rPr>
          <w:rFonts w:eastAsia="Times New Roman" w:cs="Times New Roman"/>
          <w:kern w:val="0"/>
          <w:sz w:val="22"/>
          <w:szCs w:val="22"/>
          <w14:ligatures w14:val="none"/>
        </w:rPr>
        <w:noBreakHyphen/>
        <w:t>on</w:t>
      </w:r>
      <w:r w:rsidRPr="00AF4F24">
        <w:rPr>
          <w:rFonts w:eastAsia="Times New Roman" w:cs="Times New Roman"/>
          <w:kern w:val="0"/>
          <w:sz w:val="22"/>
          <w:szCs w:val="22"/>
          <w14:ligatures w14:val="none"/>
        </w:rPr>
        <w:noBreakHyphen/>
        <w:t>year .  Subsidiary</w:t>
      </w:r>
      <w:r w:rsidRPr="00AF4F24">
        <w:rPr>
          <w:rFonts w:eastAsia="Times New Roman" w:cs="Times New Roman"/>
          <w:kern w:val="0"/>
          <w:sz w:val="22"/>
          <w:szCs w:val="22"/>
          <w14:ligatures w14:val="none"/>
        </w:rPr>
        <w:noBreakHyphen/>
        <w:t xml:space="preserve">owned power generation net profit was </w:t>
      </w:r>
      <w:r w:rsidRPr="00AF4F24">
        <w:rPr>
          <w:rFonts w:eastAsia="Times New Roman" w:cs="Times New Roman"/>
          <w:b/>
          <w:bCs/>
          <w:kern w:val="0"/>
          <w:sz w:val="22"/>
          <w:szCs w:val="22"/>
          <w14:ligatures w14:val="none"/>
        </w:rPr>
        <w:t>RMB 798 million</w:t>
      </w:r>
      <w:r w:rsidRPr="00AF4F24">
        <w:rPr>
          <w:rFonts w:eastAsia="Times New Roman" w:cs="Times New Roman"/>
          <w:kern w:val="0"/>
          <w:sz w:val="22"/>
          <w:szCs w:val="22"/>
          <w14:ligatures w14:val="none"/>
        </w:rPr>
        <w:t xml:space="preserve"> and profit attributable to shareholders was </w:t>
      </w:r>
      <w:r w:rsidRPr="00AF4F24">
        <w:rPr>
          <w:rFonts w:eastAsia="Times New Roman" w:cs="Times New Roman"/>
          <w:b/>
          <w:bCs/>
          <w:kern w:val="0"/>
          <w:sz w:val="22"/>
          <w:szCs w:val="22"/>
          <w14:ligatures w14:val="none"/>
        </w:rPr>
        <w:t>RMB 805 million</w:t>
      </w:r>
      <w:r w:rsidRPr="00AF4F24">
        <w:rPr>
          <w:rFonts w:eastAsia="Times New Roman" w:cs="Times New Roman"/>
          <w:kern w:val="0"/>
          <w:sz w:val="22"/>
          <w:szCs w:val="22"/>
          <w14:ligatures w14:val="none"/>
        </w:rPr>
        <w:t xml:space="preserve"> .  Financing costs fell to </w:t>
      </w:r>
      <w:r w:rsidRPr="00AF4F24">
        <w:rPr>
          <w:rFonts w:eastAsia="Times New Roman" w:cs="Times New Roman"/>
          <w:b/>
          <w:bCs/>
          <w:kern w:val="0"/>
          <w:sz w:val="22"/>
          <w:szCs w:val="22"/>
          <w14:ligatures w14:val="none"/>
        </w:rPr>
        <w:t>3.98 %</w:t>
      </w:r>
      <w:r w:rsidRPr="00AF4F24">
        <w:rPr>
          <w:rFonts w:eastAsia="Times New Roman" w:cs="Times New Roman"/>
          <w:kern w:val="0"/>
          <w:sz w:val="22"/>
          <w:szCs w:val="22"/>
          <w14:ligatures w14:val="none"/>
        </w:rPr>
        <w:t xml:space="preserve">, with new loans at 3.43 % .  In 2024 the company secured </w:t>
      </w:r>
      <w:r w:rsidRPr="00AF4F24">
        <w:rPr>
          <w:rFonts w:eastAsia="Times New Roman" w:cs="Times New Roman"/>
          <w:b/>
          <w:bCs/>
          <w:kern w:val="0"/>
          <w:sz w:val="22"/>
          <w:szCs w:val="22"/>
          <w14:ligatures w14:val="none"/>
        </w:rPr>
        <w:t>1.4 GW</w:t>
      </w:r>
      <w:r w:rsidRPr="00AF4F24">
        <w:rPr>
          <w:rFonts w:eastAsia="Times New Roman" w:cs="Times New Roman"/>
          <w:kern w:val="0"/>
          <w:sz w:val="22"/>
          <w:szCs w:val="22"/>
          <w14:ligatures w14:val="none"/>
        </w:rPr>
        <w:t xml:space="preserve"> of new wind and solar projects, increasing attributable installed capacity to </w:t>
      </w:r>
      <w:r w:rsidRPr="00AF4F24">
        <w:rPr>
          <w:rFonts w:eastAsia="Times New Roman" w:cs="Times New Roman"/>
          <w:b/>
          <w:bCs/>
          <w:kern w:val="0"/>
          <w:sz w:val="22"/>
          <w:szCs w:val="22"/>
          <w14:ligatures w14:val="none"/>
        </w:rPr>
        <w:t>4.615 GW</w:t>
      </w:r>
      <w:r w:rsidRPr="00AF4F24">
        <w:rPr>
          <w:rFonts w:eastAsia="Times New Roman" w:cs="Times New Roman"/>
          <w:kern w:val="0"/>
          <w:sz w:val="22"/>
          <w:szCs w:val="22"/>
          <w14:ligatures w14:val="none"/>
        </w:rPr>
        <w:t xml:space="preserve"> and power generation to </w:t>
      </w:r>
      <w:r w:rsidRPr="00AF4F24">
        <w:rPr>
          <w:rFonts w:eastAsia="Times New Roman" w:cs="Times New Roman"/>
          <w:b/>
          <w:bCs/>
          <w:kern w:val="0"/>
          <w:sz w:val="22"/>
          <w:szCs w:val="22"/>
          <w14:ligatures w14:val="none"/>
        </w:rPr>
        <w:t>8.645 GWh</w:t>
      </w:r>
      <w:r w:rsidRPr="00AF4F24">
        <w:rPr>
          <w:rFonts w:eastAsia="Times New Roman" w:cs="Times New Roman"/>
          <w:kern w:val="0"/>
          <w:sz w:val="22"/>
          <w:szCs w:val="22"/>
          <w14:ligatures w14:val="none"/>
        </w:rPr>
        <w:t xml:space="preserve"> .  The board proposed a final dividend of </w:t>
      </w:r>
      <w:r w:rsidRPr="00AF4F24">
        <w:rPr>
          <w:rFonts w:eastAsia="Times New Roman" w:cs="Times New Roman"/>
          <w:b/>
          <w:bCs/>
          <w:kern w:val="0"/>
          <w:sz w:val="22"/>
          <w:szCs w:val="22"/>
          <w14:ligatures w14:val="none"/>
        </w:rPr>
        <w:t>HK$0.035 per share</w:t>
      </w:r>
      <w:r w:rsidRPr="00AF4F24">
        <w:rPr>
          <w:rFonts w:eastAsia="Times New Roman" w:cs="Times New Roman"/>
          <w:kern w:val="0"/>
          <w:sz w:val="22"/>
          <w:szCs w:val="22"/>
          <w14:ligatures w14:val="none"/>
        </w:rPr>
        <w:t xml:space="preserve"> .</w:t>
      </w:r>
    </w:p>
    <w:p w14:paraId="2F424D61" w14:textId="77777777" w:rsidR="00C57B46" w:rsidRPr="00AF4F24" w:rsidRDefault="00C57B46" w:rsidP="00C57B46">
      <w:pPr>
        <w:numPr>
          <w:ilvl w:val="0"/>
          <w:numId w:val="5"/>
        </w:numPr>
        <w:spacing w:before="100" w:beforeAutospacing="1" w:after="100" w:afterAutospacing="1" w:line="240" w:lineRule="auto"/>
        <w:rPr>
          <w:rFonts w:eastAsia="Times New Roman" w:cs="Times New Roman"/>
          <w:kern w:val="0"/>
          <w:sz w:val="22"/>
          <w:szCs w:val="22"/>
          <w14:ligatures w14:val="none"/>
        </w:rPr>
      </w:pPr>
      <w:r w:rsidRPr="00AF4F24">
        <w:rPr>
          <w:rFonts w:eastAsia="Times New Roman" w:cs="Times New Roman"/>
          <w:b/>
          <w:bCs/>
          <w:kern w:val="0"/>
          <w:sz w:val="22"/>
          <w:szCs w:val="22"/>
          <w14:ligatures w14:val="none"/>
        </w:rPr>
        <w:t>Interim 2025 results</w:t>
      </w:r>
      <w:r w:rsidRPr="00AF4F24">
        <w:rPr>
          <w:rFonts w:eastAsia="Times New Roman" w:cs="Times New Roman"/>
          <w:kern w:val="0"/>
          <w:sz w:val="22"/>
          <w:szCs w:val="22"/>
          <w14:ligatures w14:val="none"/>
        </w:rPr>
        <w:t xml:space="preserve"> – CNE’s interim results (Aug 2025) reported first</w:t>
      </w:r>
      <w:r w:rsidRPr="00AF4F24">
        <w:rPr>
          <w:rFonts w:eastAsia="Times New Roman" w:cs="Times New Roman"/>
          <w:kern w:val="0"/>
          <w:sz w:val="22"/>
          <w:szCs w:val="22"/>
          <w14:ligatures w14:val="none"/>
        </w:rPr>
        <w:noBreakHyphen/>
        <w:t xml:space="preserve">half 2025 revenue of </w:t>
      </w:r>
      <w:r w:rsidRPr="00AF4F24">
        <w:rPr>
          <w:rFonts w:eastAsia="Times New Roman" w:cs="Times New Roman"/>
          <w:b/>
          <w:bCs/>
          <w:kern w:val="0"/>
          <w:sz w:val="22"/>
          <w:szCs w:val="22"/>
          <w14:ligatures w14:val="none"/>
        </w:rPr>
        <w:t>RMB 1.4 billion</w:t>
      </w:r>
      <w:r w:rsidRPr="00AF4F24">
        <w:rPr>
          <w:rFonts w:eastAsia="Times New Roman" w:cs="Times New Roman"/>
          <w:kern w:val="0"/>
          <w:sz w:val="22"/>
          <w:szCs w:val="22"/>
          <w14:ligatures w14:val="none"/>
        </w:rPr>
        <w:t xml:space="preserve"> and profit attributable to equity holders of </w:t>
      </w:r>
      <w:r w:rsidRPr="00AF4F24">
        <w:rPr>
          <w:rFonts w:eastAsia="Times New Roman" w:cs="Times New Roman"/>
          <w:b/>
          <w:bCs/>
          <w:kern w:val="0"/>
          <w:sz w:val="22"/>
          <w:szCs w:val="22"/>
          <w14:ligatures w14:val="none"/>
        </w:rPr>
        <w:t>RMB 282 million</w:t>
      </w:r>
      <w:r w:rsidRPr="00AF4F24">
        <w:rPr>
          <w:rFonts w:eastAsia="Times New Roman" w:cs="Times New Roman"/>
          <w:kern w:val="0"/>
          <w:sz w:val="22"/>
          <w:szCs w:val="22"/>
          <w14:ligatures w14:val="none"/>
        </w:rPr>
        <w:t xml:space="preserve">, with a net profit margin of </w:t>
      </w:r>
      <w:r w:rsidRPr="00AF4F24">
        <w:rPr>
          <w:rFonts w:eastAsia="Times New Roman" w:cs="Times New Roman"/>
          <w:b/>
          <w:bCs/>
          <w:kern w:val="0"/>
          <w:sz w:val="22"/>
          <w:szCs w:val="22"/>
          <w14:ligatures w14:val="none"/>
        </w:rPr>
        <w:t>20 %</w:t>
      </w:r>
      <w:r w:rsidRPr="00AF4F24">
        <w:rPr>
          <w:rFonts w:eastAsia="Times New Roman" w:cs="Times New Roman"/>
          <w:kern w:val="0"/>
          <w:sz w:val="22"/>
          <w:szCs w:val="22"/>
          <w14:ligatures w14:val="none"/>
        </w:rPr>
        <w:t xml:space="preserve"> .  Installed capacity reached </w:t>
      </w:r>
      <w:r w:rsidRPr="00AF4F24">
        <w:rPr>
          <w:rFonts w:eastAsia="Times New Roman" w:cs="Times New Roman"/>
          <w:b/>
          <w:bCs/>
          <w:kern w:val="0"/>
          <w:sz w:val="22"/>
          <w:szCs w:val="22"/>
          <w14:ligatures w14:val="none"/>
        </w:rPr>
        <w:t>4,778 MW</w:t>
      </w:r>
      <w:r w:rsidRPr="00AF4F24">
        <w:rPr>
          <w:rFonts w:eastAsia="Times New Roman" w:cs="Times New Roman"/>
          <w:kern w:val="0"/>
          <w:sz w:val="22"/>
          <w:szCs w:val="22"/>
          <w14:ligatures w14:val="none"/>
        </w:rPr>
        <w:t xml:space="preserve"> (3,844 MW wind and 934 MW solar), and the company recorded </w:t>
      </w:r>
      <w:r w:rsidRPr="00AF4F24">
        <w:rPr>
          <w:rFonts w:eastAsia="Times New Roman" w:cs="Times New Roman"/>
          <w:b/>
          <w:bCs/>
          <w:kern w:val="0"/>
          <w:sz w:val="22"/>
          <w:szCs w:val="22"/>
          <w14:ligatures w14:val="none"/>
        </w:rPr>
        <w:t>1,142</w:t>
      </w:r>
      <w:r w:rsidRPr="00AF4F24">
        <w:rPr>
          <w:rFonts w:eastAsia="Times New Roman" w:cs="Times New Roman"/>
          <w:kern w:val="0"/>
          <w:sz w:val="22"/>
          <w:szCs w:val="22"/>
          <w14:ligatures w14:val="none"/>
        </w:rPr>
        <w:t xml:space="preserve"> utilisation hours for wind and </w:t>
      </w:r>
      <w:r w:rsidRPr="00AF4F24">
        <w:rPr>
          <w:rFonts w:eastAsia="Times New Roman" w:cs="Times New Roman"/>
          <w:b/>
          <w:bCs/>
          <w:kern w:val="0"/>
          <w:sz w:val="22"/>
          <w:szCs w:val="22"/>
          <w14:ligatures w14:val="none"/>
        </w:rPr>
        <w:t>531</w:t>
      </w:r>
      <w:r w:rsidRPr="00AF4F24">
        <w:rPr>
          <w:rFonts w:eastAsia="Times New Roman" w:cs="Times New Roman"/>
          <w:kern w:val="0"/>
          <w:sz w:val="22"/>
          <w:szCs w:val="22"/>
          <w14:ligatures w14:val="none"/>
        </w:rPr>
        <w:t xml:space="preserve"> hours for solar .</w:t>
      </w:r>
    </w:p>
    <w:p w14:paraId="1D9F430E" w14:textId="77777777" w:rsidR="00C57B46" w:rsidRPr="00AF4F24" w:rsidRDefault="00C57B46" w:rsidP="00C57B46">
      <w:pPr>
        <w:spacing w:before="100" w:beforeAutospacing="1" w:after="100" w:afterAutospacing="1" w:line="240" w:lineRule="auto"/>
        <w:rPr>
          <w:rFonts w:eastAsia="Times New Roman" w:cs="Times New Roman"/>
          <w:kern w:val="0"/>
          <w:sz w:val="22"/>
          <w:szCs w:val="22"/>
          <w14:ligatures w14:val="none"/>
        </w:rPr>
      </w:pPr>
    </w:p>
    <w:p w14:paraId="01DC2823" w14:textId="77777777" w:rsidR="00C57B46" w:rsidRPr="00AF4F24" w:rsidRDefault="00C57B46" w:rsidP="00C57B46">
      <w:pPr>
        <w:spacing w:before="100" w:beforeAutospacing="1" w:after="100" w:afterAutospacing="1" w:line="240" w:lineRule="auto"/>
        <w:outlineLvl w:val="2"/>
        <w:rPr>
          <w:rFonts w:eastAsia="Times New Roman" w:cs="Times New Roman"/>
          <w:b/>
          <w:bCs/>
          <w:kern w:val="0"/>
          <w:sz w:val="22"/>
          <w:szCs w:val="22"/>
          <w14:ligatures w14:val="none"/>
        </w:rPr>
      </w:pPr>
      <w:r w:rsidRPr="00AF4F24">
        <w:rPr>
          <w:rFonts w:eastAsia="Times New Roman" w:cs="Times New Roman"/>
          <w:b/>
          <w:bCs/>
          <w:kern w:val="0"/>
          <w:sz w:val="22"/>
          <w:szCs w:val="22"/>
          <w14:ligatures w14:val="none"/>
        </w:rPr>
        <w:t>Modelling considerations</w:t>
      </w:r>
    </w:p>
    <w:p w14:paraId="75FC7518" w14:textId="77777777" w:rsidR="00C57B46" w:rsidRPr="00AF4F24" w:rsidRDefault="00C57B46" w:rsidP="00C57B46">
      <w:pPr>
        <w:numPr>
          <w:ilvl w:val="0"/>
          <w:numId w:val="6"/>
        </w:numPr>
        <w:spacing w:before="100" w:beforeAutospacing="1" w:after="100" w:afterAutospacing="1" w:line="240" w:lineRule="auto"/>
        <w:rPr>
          <w:rFonts w:eastAsia="Times New Roman" w:cs="Times New Roman"/>
          <w:kern w:val="0"/>
          <w:sz w:val="22"/>
          <w:szCs w:val="22"/>
          <w14:ligatures w14:val="none"/>
        </w:rPr>
      </w:pPr>
      <w:r w:rsidRPr="00AF4F24">
        <w:rPr>
          <w:rFonts w:eastAsia="Times New Roman" w:cs="Times New Roman"/>
          <w:b/>
          <w:bCs/>
          <w:kern w:val="0"/>
          <w:sz w:val="22"/>
          <w:szCs w:val="22"/>
          <w14:ligatures w14:val="none"/>
        </w:rPr>
        <w:t>Project</w:t>
      </w:r>
      <w:r w:rsidRPr="00AF4F24">
        <w:rPr>
          <w:rFonts w:eastAsia="Times New Roman" w:cs="Times New Roman"/>
          <w:b/>
          <w:bCs/>
          <w:kern w:val="0"/>
          <w:sz w:val="22"/>
          <w:szCs w:val="22"/>
          <w14:ligatures w14:val="none"/>
        </w:rPr>
        <w:noBreakHyphen/>
        <w:t>level discounted cash flow (DCF)</w:t>
      </w:r>
      <w:r w:rsidRPr="00AF4F24">
        <w:rPr>
          <w:rFonts w:eastAsia="Times New Roman" w:cs="Times New Roman"/>
          <w:kern w:val="0"/>
          <w:sz w:val="22"/>
          <w:szCs w:val="22"/>
          <w14:ligatures w14:val="none"/>
        </w:rPr>
        <w:t xml:space="preserve"> – Model each wind/solar farm separately using assumptions for capacity factor, power tariff (benchmark price and market</w:t>
      </w:r>
      <w:r w:rsidRPr="00AF4F24">
        <w:rPr>
          <w:rFonts w:eastAsia="Times New Roman" w:cs="Times New Roman"/>
          <w:kern w:val="0"/>
          <w:sz w:val="22"/>
          <w:szCs w:val="22"/>
          <w14:ligatures w14:val="none"/>
        </w:rPr>
        <w:noBreakHyphen/>
        <w:t>trading discount), operating costs, and asset life.  Incorporate carbon credit revenue and green certificate sales.  Sum up project cash flows to value existing assets and add growth projects based on pipeline (e.g., 1.4 GW secured projects) with appropriate probability of completion.</w:t>
      </w:r>
    </w:p>
    <w:p w14:paraId="71250444" w14:textId="77777777" w:rsidR="00C57B46" w:rsidRPr="00AF4F24" w:rsidRDefault="00C57B46" w:rsidP="00C57B46">
      <w:pPr>
        <w:numPr>
          <w:ilvl w:val="0"/>
          <w:numId w:val="6"/>
        </w:numPr>
        <w:spacing w:before="100" w:beforeAutospacing="1" w:after="100" w:afterAutospacing="1" w:line="240" w:lineRule="auto"/>
        <w:rPr>
          <w:rFonts w:eastAsia="Times New Roman" w:cs="Times New Roman"/>
          <w:kern w:val="0"/>
          <w:sz w:val="22"/>
          <w:szCs w:val="22"/>
          <w14:ligatures w14:val="none"/>
        </w:rPr>
      </w:pPr>
      <w:r w:rsidRPr="00AF4F24">
        <w:rPr>
          <w:rFonts w:eastAsia="Times New Roman" w:cs="Times New Roman"/>
          <w:b/>
          <w:bCs/>
          <w:kern w:val="0"/>
          <w:sz w:val="22"/>
          <w:szCs w:val="22"/>
          <w14:ligatures w14:val="none"/>
        </w:rPr>
        <w:t>Cost of capital and leverage</w:t>
      </w:r>
      <w:r w:rsidRPr="00AF4F24">
        <w:rPr>
          <w:rFonts w:eastAsia="Times New Roman" w:cs="Times New Roman"/>
          <w:kern w:val="0"/>
          <w:sz w:val="22"/>
          <w:szCs w:val="22"/>
          <w14:ligatures w14:val="none"/>
        </w:rPr>
        <w:t xml:space="preserve"> – CNE’s low financing cost (≈3.98 %) and declining leverage should lower the WACC.  Sensitivity analysis around interest rates and tariff reforms can illustrate value impact.</w:t>
      </w:r>
    </w:p>
    <w:p w14:paraId="3421A0B6" w14:textId="77777777" w:rsidR="00C57B46" w:rsidRPr="00AF4F24" w:rsidRDefault="00C57B46" w:rsidP="00C57B46">
      <w:pPr>
        <w:numPr>
          <w:ilvl w:val="0"/>
          <w:numId w:val="6"/>
        </w:numPr>
        <w:spacing w:before="100" w:beforeAutospacing="1" w:after="100" w:afterAutospacing="1" w:line="240" w:lineRule="auto"/>
        <w:rPr>
          <w:rFonts w:eastAsia="Times New Roman" w:cs="Times New Roman"/>
          <w:kern w:val="0"/>
          <w:sz w:val="22"/>
          <w:szCs w:val="22"/>
          <w14:ligatures w14:val="none"/>
        </w:rPr>
      </w:pPr>
      <w:r w:rsidRPr="00AF4F24">
        <w:rPr>
          <w:rFonts w:eastAsia="Times New Roman" w:cs="Times New Roman"/>
          <w:b/>
          <w:bCs/>
          <w:kern w:val="0"/>
          <w:sz w:val="22"/>
          <w:szCs w:val="22"/>
          <w14:ligatures w14:val="none"/>
        </w:rPr>
        <w:t>Scenario analysis on utilisation hours</w:t>
      </w:r>
      <w:r w:rsidRPr="00AF4F24">
        <w:rPr>
          <w:rFonts w:eastAsia="Times New Roman" w:cs="Times New Roman"/>
          <w:kern w:val="0"/>
          <w:sz w:val="22"/>
          <w:szCs w:val="22"/>
          <w14:ligatures w14:val="none"/>
        </w:rPr>
        <w:t xml:space="preserve"> – Utilisation hours drive revenue; use historical volatility and meteorological data to run Monte</w:t>
      </w:r>
      <w:r w:rsidRPr="00AF4F24">
        <w:rPr>
          <w:rFonts w:eastAsia="Times New Roman" w:cs="Times New Roman"/>
          <w:kern w:val="0"/>
          <w:sz w:val="22"/>
          <w:szCs w:val="22"/>
          <w14:ligatures w14:val="none"/>
        </w:rPr>
        <w:noBreakHyphen/>
        <w:t>Carlo simulations for wind speeds and solar irradiance.  Stress test valuations under low</w:t>
      </w:r>
      <w:r w:rsidRPr="00AF4F24">
        <w:rPr>
          <w:rFonts w:eastAsia="Times New Roman" w:cs="Times New Roman"/>
          <w:kern w:val="0"/>
          <w:sz w:val="22"/>
          <w:szCs w:val="22"/>
          <w14:ligatures w14:val="none"/>
        </w:rPr>
        <w:noBreakHyphen/>
        <w:t>wind scenarios and regulatory curtailment.</w:t>
      </w:r>
    </w:p>
    <w:p w14:paraId="091F3146" w14:textId="77777777" w:rsidR="00C57B46" w:rsidRPr="00AF4F24" w:rsidRDefault="00C57B46" w:rsidP="00C57B46">
      <w:pPr>
        <w:numPr>
          <w:ilvl w:val="0"/>
          <w:numId w:val="6"/>
        </w:numPr>
        <w:spacing w:before="100" w:beforeAutospacing="1" w:after="100" w:afterAutospacing="1" w:line="240" w:lineRule="auto"/>
        <w:rPr>
          <w:rFonts w:eastAsia="Times New Roman" w:cs="Times New Roman"/>
          <w:kern w:val="0"/>
          <w:sz w:val="22"/>
          <w:szCs w:val="22"/>
          <w14:ligatures w14:val="none"/>
        </w:rPr>
      </w:pPr>
      <w:r w:rsidRPr="00AF4F24">
        <w:rPr>
          <w:rFonts w:eastAsia="Times New Roman" w:cs="Times New Roman"/>
          <w:b/>
          <w:bCs/>
          <w:kern w:val="0"/>
          <w:sz w:val="22"/>
          <w:szCs w:val="22"/>
          <w14:ligatures w14:val="none"/>
        </w:rPr>
        <w:t>Comparative valuation</w:t>
      </w:r>
      <w:r w:rsidRPr="00AF4F24">
        <w:rPr>
          <w:rFonts w:eastAsia="Times New Roman" w:cs="Times New Roman"/>
          <w:kern w:val="0"/>
          <w:sz w:val="22"/>
          <w:szCs w:val="22"/>
          <w14:ligatures w14:val="none"/>
        </w:rPr>
        <w:t xml:space="preserve"> – Compare EV/EBITDA and price</w:t>
      </w:r>
      <w:r w:rsidRPr="00AF4F24">
        <w:rPr>
          <w:rFonts w:eastAsia="Times New Roman" w:cs="Times New Roman"/>
          <w:kern w:val="0"/>
          <w:sz w:val="22"/>
          <w:szCs w:val="22"/>
          <w14:ligatures w14:val="none"/>
        </w:rPr>
        <w:noBreakHyphen/>
        <w:t>to</w:t>
      </w:r>
      <w:r w:rsidRPr="00AF4F24">
        <w:rPr>
          <w:rFonts w:eastAsia="Times New Roman" w:cs="Times New Roman"/>
          <w:kern w:val="0"/>
          <w:sz w:val="22"/>
          <w:szCs w:val="22"/>
          <w14:ligatures w14:val="none"/>
        </w:rPr>
        <w:noBreakHyphen/>
        <w:t>book multiples with peers such as China Longyuan, Huaneng Renewables and regional renewable IPPs.  Consider market premiums for companies with larger trading volumes of green power and higher project pipelines.</w:t>
      </w:r>
    </w:p>
    <w:p w14:paraId="0CB20507" w14:textId="77777777" w:rsidR="00C57B46" w:rsidRPr="00AF4F24" w:rsidRDefault="00C57B46" w:rsidP="00C57B46">
      <w:pPr>
        <w:spacing w:before="100" w:beforeAutospacing="1" w:after="100" w:afterAutospacing="1" w:line="240" w:lineRule="auto"/>
        <w:rPr>
          <w:rFonts w:eastAsia="Times New Roman" w:cs="Times New Roman"/>
          <w:kern w:val="0"/>
          <w:sz w:val="22"/>
          <w:szCs w:val="22"/>
          <w14:ligatures w14:val="none"/>
        </w:rPr>
      </w:pPr>
    </w:p>
    <w:p w14:paraId="247792AB" w14:textId="77777777" w:rsidR="00C57B46" w:rsidRPr="00AF4F24" w:rsidRDefault="00C57B46" w:rsidP="00C57B46">
      <w:pPr>
        <w:spacing w:before="100" w:beforeAutospacing="1" w:after="100" w:afterAutospacing="1" w:line="240" w:lineRule="auto"/>
        <w:outlineLvl w:val="1"/>
        <w:rPr>
          <w:rFonts w:eastAsia="Times New Roman" w:cs="Times New Roman"/>
          <w:b/>
          <w:bCs/>
          <w:kern w:val="0"/>
          <w:sz w:val="22"/>
          <w:szCs w:val="22"/>
          <w14:ligatures w14:val="none"/>
        </w:rPr>
      </w:pPr>
      <w:r w:rsidRPr="00AF4F24">
        <w:rPr>
          <w:rFonts w:eastAsia="Times New Roman" w:cs="Times New Roman"/>
          <w:b/>
          <w:bCs/>
          <w:kern w:val="0"/>
          <w:sz w:val="22"/>
          <w:szCs w:val="22"/>
          <w14:ligatures w14:val="none"/>
        </w:rPr>
        <w:t>4. Sinofert Holdings Ltd (Hong Kong/China, 0297.HK)</w:t>
      </w:r>
    </w:p>
    <w:p w14:paraId="1A427BA5" w14:textId="77777777" w:rsidR="00C57B46" w:rsidRPr="00AF4F24" w:rsidRDefault="00C57B46" w:rsidP="00C57B46">
      <w:pPr>
        <w:numPr>
          <w:ilvl w:val="0"/>
          <w:numId w:val="7"/>
        </w:numPr>
        <w:spacing w:before="100" w:beforeAutospacing="1" w:after="100" w:afterAutospacing="1" w:line="240" w:lineRule="auto"/>
        <w:rPr>
          <w:rFonts w:eastAsia="Times New Roman" w:cs="Times New Roman"/>
          <w:kern w:val="0"/>
          <w:sz w:val="22"/>
          <w:szCs w:val="22"/>
          <w14:ligatures w14:val="none"/>
        </w:rPr>
      </w:pPr>
      <w:r w:rsidRPr="00AF4F24">
        <w:rPr>
          <w:rFonts w:eastAsia="Times New Roman" w:cs="Times New Roman"/>
          <w:b/>
          <w:bCs/>
          <w:kern w:val="0"/>
          <w:sz w:val="22"/>
          <w:szCs w:val="22"/>
          <w14:ligatures w14:val="none"/>
        </w:rPr>
        <w:t>Business model &amp; growth drivers</w:t>
      </w:r>
      <w:r w:rsidRPr="00AF4F24">
        <w:rPr>
          <w:rFonts w:eastAsia="Times New Roman" w:cs="Times New Roman"/>
          <w:kern w:val="0"/>
          <w:sz w:val="22"/>
          <w:szCs w:val="22"/>
          <w14:ligatures w14:val="none"/>
        </w:rPr>
        <w:t xml:space="preserve"> – Sinofert is China’s largest fertiliser producer and distributor, with “Basic” and “Growth” segments.  The Basic business imports and distributes nitrogen, phosphate and potash fertilisers, while the Growth business focuses on higher</w:t>
      </w:r>
      <w:r w:rsidRPr="00AF4F24">
        <w:rPr>
          <w:rFonts w:eastAsia="Times New Roman" w:cs="Times New Roman"/>
          <w:kern w:val="0"/>
          <w:sz w:val="22"/>
          <w:szCs w:val="22"/>
          <w14:ligatures w14:val="none"/>
        </w:rPr>
        <w:noBreakHyphen/>
        <w:t>margin speciality fertilisers under its “Bio+” strategy, including biological and carbon</w:t>
      </w:r>
      <w:r w:rsidRPr="00AF4F24">
        <w:rPr>
          <w:rFonts w:eastAsia="Times New Roman" w:cs="Times New Roman"/>
          <w:kern w:val="0"/>
          <w:sz w:val="22"/>
          <w:szCs w:val="22"/>
          <w14:ligatures w14:val="none"/>
        </w:rPr>
        <w:noBreakHyphen/>
        <w:t>one products.  Growth drivers include improved agronomic demand, product innovation and carbon</w:t>
      </w:r>
      <w:r w:rsidRPr="00AF4F24">
        <w:rPr>
          <w:rFonts w:eastAsia="Times New Roman" w:cs="Times New Roman"/>
          <w:kern w:val="0"/>
          <w:sz w:val="22"/>
          <w:szCs w:val="22"/>
          <w14:ligatures w14:val="none"/>
        </w:rPr>
        <w:noBreakHyphen/>
        <w:t>reduction initiatives.</w:t>
      </w:r>
    </w:p>
    <w:p w14:paraId="038E3466" w14:textId="77777777" w:rsidR="00C57B46" w:rsidRPr="00AF4F24" w:rsidRDefault="00C57B46" w:rsidP="00C57B46">
      <w:pPr>
        <w:numPr>
          <w:ilvl w:val="0"/>
          <w:numId w:val="7"/>
        </w:numPr>
        <w:spacing w:before="100" w:beforeAutospacing="1" w:after="100" w:afterAutospacing="1" w:line="240" w:lineRule="auto"/>
        <w:rPr>
          <w:rFonts w:eastAsia="Times New Roman" w:cs="Times New Roman"/>
          <w:kern w:val="0"/>
          <w:sz w:val="22"/>
          <w:szCs w:val="22"/>
          <w14:ligatures w14:val="none"/>
        </w:rPr>
      </w:pPr>
      <w:r w:rsidRPr="00AF4F24">
        <w:rPr>
          <w:rFonts w:eastAsia="Times New Roman" w:cs="Times New Roman"/>
          <w:b/>
          <w:bCs/>
          <w:kern w:val="0"/>
          <w:sz w:val="22"/>
          <w:szCs w:val="22"/>
          <w14:ligatures w14:val="none"/>
        </w:rPr>
        <w:lastRenderedPageBreak/>
        <w:t>Recent financial performance</w:t>
      </w:r>
      <w:r w:rsidRPr="00AF4F24">
        <w:rPr>
          <w:rFonts w:eastAsia="Times New Roman" w:cs="Times New Roman"/>
          <w:kern w:val="0"/>
          <w:sz w:val="22"/>
          <w:szCs w:val="22"/>
          <w14:ligatures w14:val="none"/>
        </w:rPr>
        <w:t xml:space="preserve"> – The company’s interim results for H1 2024 show revenue of </w:t>
      </w:r>
      <w:r w:rsidRPr="00AF4F24">
        <w:rPr>
          <w:rFonts w:eastAsia="Times New Roman" w:cs="Times New Roman"/>
          <w:b/>
          <w:bCs/>
          <w:kern w:val="0"/>
          <w:sz w:val="22"/>
          <w:szCs w:val="22"/>
          <w14:ligatures w14:val="none"/>
        </w:rPr>
        <w:t>RMB 13.68 billion</w:t>
      </w:r>
      <w:r w:rsidRPr="00AF4F24">
        <w:rPr>
          <w:rFonts w:eastAsia="Times New Roman" w:cs="Times New Roman"/>
          <w:kern w:val="0"/>
          <w:sz w:val="22"/>
          <w:szCs w:val="22"/>
          <w14:ligatures w14:val="none"/>
        </w:rPr>
        <w:t xml:space="preserve">, up 4.2 % YoY .  Profit attributable to owners was </w:t>
      </w:r>
      <w:r w:rsidRPr="00AF4F24">
        <w:rPr>
          <w:rFonts w:eastAsia="Times New Roman" w:cs="Times New Roman"/>
          <w:b/>
          <w:bCs/>
          <w:kern w:val="0"/>
          <w:sz w:val="22"/>
          <w:szCs w:val="22"/>
          <w14:ligatures w14:val="none"/>
        </w:rPr>
        <w:t>RMB 1.051 billion</w:t>
      </w:r>
      <w:r w:rsidRPr="00AF4F24">
        <w:rPr>
          <w:rFonts w:eastAsia="Times New Roman" w:cs="Times New Roman"/>
          <w:kern w:val="0"/>
          <w:sz w:val="22"/>
          <w:szCs w:val="22"/>
          <w14:ligatures w14:val="none"/>
        </w:rPr>
        <w:t xml:space="preserve">, up 4.68 % YoY , giving a net margin of about 7.7 %.  Segment revenue for the Growth business reached </w:t>
      </w:r>
      <w:r w:rsidRPr="00AF4F24">
        <w:rPr>
          <w:rFonts w:eastAsia="Times New Roman" w:cs="Times New Roman"/>
          <w:b/>
          <w:bCs/>
          <w:kern w:val="0"/>
          <w:sz w:val="22"/>
          <w:szCs w:val="22"/>
          <w14:ligatures w14:val="none"/>
        </w:rPr>
        <w:t>RMB 5.56 billion</w:t>
      </w:r>
      <w:r w:rsidRPr="00AF4F24">
        <w:rPr>
          <w:rFonts w:eastAsia="Times New Roman" w:cs="Times New Roman"/>
          <w:kern w:val="0"/>
          <w:sz w:val="22"/>
          <w:szCs w:val="22"/>
          <w14:ligatures w14:val="none"/>
        </w:rPr>
        <w:t xml:space="preserve">, rising 5 % YoY, while the Basic business produced revenue of </w:t>
      </w:r>
      <w:r w:rsidRPr="00AF4F24">
        <w:rPr>
          <w:rFonts w:eastAsia="Times New Roman" w:cs="Times New Roman"/>
          <w:b/>
          <w:bCs/>
          <w:kern w:val="0"/>
          <w:sz w:val="22"/>
          <w:szCs w:val="22"/>
          <w14:ligatures w14:val="none"/>
        </w:rPr>
        <w:t>RMB 6.878 billion</w:t>
      </w:r>
      <w:r w:rsidRPr="00AF4F24">
        <w:rPr>
          <w:rFonts w:eastAsia="Times New Roman" w:cs="Times New Roman"/>
          <w:kern w:val="0"/>
          <w:sz w:val="22"/>
          <w:szCs w:val="22"/>
          <w14:ligatures w14:val="none"/>
        </w:rPr>
        <w:t xml:space="preserve"> .  The report notes that the Growth segment’s profit before tax increased 27 % YoY .</w:t>
      </w:r>
    </w:p>
    <w:p w14:paraId="017CDD2A" w14:textId="77777777" w:rsidR="00C57B46" w:rsidRPr="00AF4F24" w:rsidRDefault="00C57B46" w:rsidP="00C57B46">
      <w:pPr>
        <w:numPr>
          <w:ilvl w:val="0"/>
          <w:numId w:val="7"/>
        </w:numPr>
        <w:spacing w:before="100" w:beforeAutospacing="1" w:after="100" w:afterAutospacing="1" w:line="240" w:lineRule="auto"/>
        <w:rPr>
          <w:rFonts w:eastAsia="Times New Roman" w:cs="Times New Roman"/>
          <w:kern w:val="0"/>
          <w:sz w:val="22"/>
          <w:szCs w:val="22"/>
          <w14:ligatures w14:val="none"/>
        </w:rPr>
      </w:pPr>
      <w:r w:rsidRPr="00AF4F24">
        <w:rPr>
          <w:rFonts w:eastAsia="Times New Roman" w:cs="Times New Roman"/>
          <w:b/>
          <w:bCs/>
          <w:kern w:val="0"/>
          <w:sz w:val="22"/>
          <w:szCs w:val="22"/>
          <w14:ligatures w14:val="none"/>
        </w:rPr>
        <w:t>Q1 2025 update</w:t>
      </w:r>
      <w:r w:rsidRPr="00AF4F24">
        <w:rPr>
          <w:rFonts w:eastAsia="Times New Roman" w:cs="Times New Roman"/>
          <w:kern w:val="0"/>
          <w:sz w:val="22"/>
          <w:szCs w:val="22"/>
          <w14:ligatures w14:val="none"/>
        </w:rPr>
        <w:t xml:space="preserve"> – A TipRanks report summarises that Sinofert’s Q1 2025 turnover was </w:t>
      </w:r>
      <w:r w:rsidRPr="00AF4F24">
        <w:rPr>
          <w:rFonts w:eastAsia="Times New Roman" w:cs="Times New Roman"/>
          <w:b/>
          <w:bCs/>
          <w:kern w:val="0"/>
          <w:sz w:val="22"/>
          <w:szCs w:val="22"/>
          <w14:ligatures w14:val="none"/>
        </w:rPr>
        <w:t>RMB 7.167 billion</w:t>
      </w:r>
      <w:r w:rsidRPr="00AF4F24">
        <w:rPr>
          <w:rFonts w:eastAsia="Times New Roman" w:cs="Times New Roman"/>
          <w:kern w:val="0"/>
          <w:sz w:val="22"/>
          <w:szCs w:val="22"/>
          <w14:ligatures w14:val="none"/>
        </w:rPr>
        <w:t xml:space="preserve"> and net profit </w:t>
      </w:r>
      <w:r w:rsidRPr="00AF4F24">
        <w:rPr>
          <w:rFonts w:eastAsia="Times New Roman" w:cs="Times New Roman"/>
          <w:b/>
          <w:bCs/>
          <w:kern w:val="0"/>
          <w:sz w:val="22"/>
          <w:szCs w:val="22"/>
          <w14:ligatures w14:val="none"/>
        </w:rPr>
        <w:t>RMB 519 million</w:t>
      </w:r>
      <w:r w:rsidRPr="00AF4F24">
        <w:rPr>
          <w:rFonts w:eastAsia="Times New Roman" w:cs="Times New Roman"/>
          <w:kern w:val="0"/>
          <w:sz w:val="22"/>
          <w:szCs w:val="22"/>
          <w14:ligatures w14:val="none"/>
        </w:rPr>
        <w:t xml:space="preserve">, </w:t>
      </w:r>
      <w:r w:rsidRPr="00AF4F24">
        <w:rPr>
          <w:rFonts w:eastAsia="Times New Roman" w:cs="Times New Roman"/>
          <w:b/>
          <w:bCs/>
          <w:kern w:val="0"/>
          <w:sz w:val="22"/>
          <w:szCs w:val="22"/>
          <w14:ligatures w14:val="none"/>
        </w:rPr>
        <w:t>4 %</w:t>
      </w:r>
      <w:r w:rsidRPr="00AF4F24">
        <w:rPr>
          <w:rFonts w:eastAsia="Times New Roman" w:cs="Times New Roman"/>
          <w:kern w:val="0"/>
          <w:sz w:val="22"/>
          <w:szCs w:val="22"/>
          <w14:ligatures w14:val="none"/>
        </w:rPr>
        <w:t xml:space="preserve"> higher than Q1 2024 .  Management credited its ‘Bio+’ transformation for improving sales volume and gross margins .</w:t>
      </w:r>
    </w:p>
    <w:p w14:paraId="2E3D38E6" w14:textId="77777777" w:rsidR="00C57B46" w:rsidRPr="00AF4F24" w:rsidRDefault="00C57B46" w:rsidP="00C57B46">
      <w:pPr>
        <w:spacing w:before="100" w:beforeAutospacing="1" w:after="100" w:afterAutospacing="1" w:line="240" w:lineRule="auto"/>
        <w:rPr>
          <w:rFonts w:eastAsia="Times New Roman" w:cs="Times New Roman"/>
          <w:kern w:val="0"/>
          <w:sz w:val="22"/>
          <w:szCs w:val="22"/>
          <w14:ligatures w14:val="none"/>
        </w:rPr>
      </w:pPr>
    </w:p>
    <w:p w14:paraId="7DBCA293" w14:textId="77777777" w:rsidR="00C57B46" w:rsidRPr="00AF4F24" w:rsidRDefault="00C57B46" w:rsidP="00C57B46">
      <w:pPr>
        <w:spacing w:before="100" w:beforeAutospacing="1" w:after="100" w:afterAutospacing="1" w:line="240" w:lineRule="auto"/>
        <w:outlineLvl w:val="2"/>
        <w:rPr>
          <w:rFonts w:eastAsia="Times New Roman" w:cs="Times New Roman"/>
          <w:b/>
          <w:bCs/>
          <w:kern w:val="0"/>
          <w:sz w:val="22"/>
          <w:szCs w:val="22"/>
          <w14:ligatures w14:val="none"/>
        </w:rPr>
      </w:pPr>
      <w:r w:rsidRPr="00AF4F24">
        <w:rPr>
          <w:rFonts w:eastAsia="Times New Roman" w:cs="Times New Roman"/>
          <w:b/>
          <w:bCs/>
          <w:kern w:val="0"/>
          <w:sz w:val="22"/>
          <w:szCs w:val="22"/>
          <w14:ligatures w14:val="none"/>
        </w:rPr>
        <w:t>Modelling considerations</w:t>
      </w:r>
    </w:p>
    <w:p w14:paraId="48B5D0A2" w14:textId="77777777" w:rsidR="00C57B46" w:rsidRPr="00AF4F24" w:rsidRDefault="00C57B46" w:rsidP="00C57B46">
      <w:pPr>
        <w:numPr>
          <w:ilvl w:val="0"/>
          <w:numId w:val="8"/>
        </w:numPr>
        <w:spacing w:before="100" w:beforeAutospacing="1" w:after="100" w:afterAutospacing="1" w:line="240" w:lineRule="auto"/>
        <w:rPr>
          <w:rFonts w:eastAsia="Times New Roman" w:cs="Times New Roman"/>
          <w:kern w:val="0"/>
          <w:sz w:val="22"/>
          <w:szCs w:val="22"/>
          <w14:ligatures w14:val="none"/>
        </w:rPr>
      </w:pPr>
      <w:r w:rsidRPr="00AF4F24">
        <w:rPr>
          <w:rFonts w:eastAsia="Times New Roman" w:cs="Times New Roman"/>
          <w:b/>
          <w:bCs/>
          <w:kern w:val="0"/>
          <w:sz w:val="22"/>
          <w:szCs w:val="22"/>
          <w14:ligatures w14:val="none"/>
        </w:rPr>
        <w:t>Commodity</w:t>
      </w:r>
      <w:r w:rsidRPr="00AF4F24">
        <w:rPr>
          <w:rFonts w:eastAsia="Times New Roman" w:cs="Times New Roman"/>
          <w:b/>
          <w:bCs/>
          <w:kern w:val="0"/>
          <w:sz w:val="22"/>
          <w:szCs w:val="22"/>
          <w14:ligatures w14:val="none"/>
        </w:rPr>
        <w:noBreakHyphen/>
        <w:t>cycle regression model</w:t>
      </w:r>
      <w:r w:rsidRPr="00AF4F24">
        <w:rPr>
          <w:rFonts w:eastAsia="Times New Roman" w:cs="Times New Roman"/>
          <w:kern w:val="0"/>
          <w:sz w:val="22"/>
          <w:szCs w:val="22"/>
          <w14:ligatures w14:val="none"/>
        </w:rPr>
        <w:t xml:space="preserve"> – Fertiliser demand and pricing depend on crop prices, raw</w:t>
      </w:r>
      <w:r w:rsidRPr="00AF4F24">
        <w:rPr>
          <w:rFonts w:eastAsia="Times New Roman" w:cs="Times New Roman"/>
          <w:kern w:val="0"/>
          <w:sz w:val="22"/>
          <w:szCs w:val="22"/>
          <w14:ligatures w14:val="none"/>
        </w:rPr>
        <w:noBreakHyphen/>
        <w:t>material costs (sulphur, potash) and government subsidies.  Use multivariate regression or vector autoregression (VAR) to model the relationship between Sinofert’s revenue and commodity price indices.  This can inform revenue forecasts under different commodity</w:t>
      </w:r>
      <w:r w:rsidRPr="00AF4F24">
        <w:rPr>
          <w:rFonts w:eastAsia="Times New Roman" w:cs="Times New Roman"/>
          <w:kern w:val="0"/>
          <w:sz w:val="22"/>
          <w:szCs w:val="22"/>
          <w14:ligatures w14:val="none"/>
        </w:rPr>
        <w:noBreakHyphen/>
        <w:t>cycle scenarios.</w:t>
      </w:r>
    </w:p>
    <w:p w14:paraId="0211B63D" w14:textId="77777777" w:rsidR="00C57B46" w:rsidRPr="00AF4F24" w:rsidRDefault="00C57B46" w:rsidP="00C57B46">
      <w:pPr>
        <w:numPr>
          <w:ilvl w:val="0"/>
          <w:numId w:val="8"/>
        </w:numPr>
        <w:spacing w:before="100" w:beforeAutospacing="1" w:after="100" w:afterAutospacing="1" w:line="240" w:lineRule="auto"/>
        <w:rPr>
          <w:rFonts w:eastAsia="Times New Roman" w:cs="Times New Roman"/>
          <w:kern w:val="0"/>
          <w:sz w:val="22"/>
          <w:szCs w:val="22"/>
          <w14:ligatures w14:val="none"/>
        </w:rPr>
      </w:pPr>
      <w:r w:rsidRPr="00AF4F24">
        <w:rPr>
          <w:rFonts w:eastAsia="Times New Roman" w:cs="Times New Roman"/>
          <w:b/>
          <w:bCs/>
          <w:kern w:val="0"/>
          <w:sz w:val="22"/>
          <w:szCs w:val="22"/>
          <w14:ligatures w14:val="none"/>
        </w:rPr>
        <w:t>Growth vs. basic segment analysis</w:t>
      </w:r>
      <w:r w:rsidRPr="00AF4F24">
        <w:rPr>
          <w:rFonts w:eastAsia="Times New Roman" w:cs="Times New Roman"/>
          <w:kern w:val="0"/>
          <w:sz w:val="22"/>
          <w:szCs w:val="22"/>
          <w14:ligatures w14:val="none"/>
        </w:rPr>
        <w:t xml:space="preserve"> – Build a two</w:t>
      </w:r>
      <w:r w:rsidRPr="00AF4F24">
        <w:rPr>
          <w:rFonts w:eastAsia="Times New Roman" w:cs="Times New Roman"/>
          <w:kern w:val="0"/>
          <w:sz w:val="22"/>
          <w:szCs w:val="22"/>
          <w14:ligatures w14:val="none"/>
        </w:rPr>
        <w:noBreakHyphen/>
        <w:t>segment DCF model.  For the Growth segment, assume higher margin and faster revenue growth (~5–10 % pa) due to speciality and biological fertilisers.  For the Basic segment, assume modest growth and margin compression.  Include capex for product development and working</w:t>
      </w:r>
      <w:r w:rsidRPr="00AF4F24">
        <w:rPr>
          <w:rFonts w:eastAsia="Times New Roman" w:cs="Times New Roman"/>
          <w:kern w:val="0"/>
          <w:sz w:val="22"/>
          <w:szCs w:val="22"/>
          <w14:ligatures w14:val="none"/>
        </w:rPr>
        <w:noBreakHyphen/>
        <w:t>capital requirements.</w:t>
      </w:r>
    </w:p>
    <w:p w14:paraId="7C88FE66" w14:textId="77777777" w:rsidR="00C57B46" w:rsidRPr="00AF4F24" w:rsidRDefault="00C57B46" w:rsidP="00C57B46">
      <w:pPr>
        <w:numPr>
          <w:ilvl w:val="0"/>
          <w:numId w:val="8"/>
        </w:numPr>
        <w:spacing w:before="100" w:beforeAutospacing="1" w:after="100" w:afterAutospacing="1" w:line="240" w:lineRule="auto"/>
        <w:rPr>
          <w:rFonts w:eastAsia="Times New Roman" w:cs="Times New Roman"/>
          <w:kern w:val="0"/>
          <w:sz w:val="22"/>
          <w:szCs w:val="22"/>
          <w14:ligatures w14:val="none"/>
        </w:rPr>
      </w:pPr>
      <w:r w:rsidRPr="00AF4F24">
        <w:rPr>
          <w:rFonts w:eastAsia="Times New Roman" w:cs="Times New Roman"/>
          <w:b/>
          <w:bCs/>
          <w:kern w:val="0"/>
          <w:sz w:val="22"/>
          <w:szCs w:val="22"/>
          <w14:ligatures w14:val="none"/>
        </w:rPr>
        <w:t>Dividend discount and capital allocation</w:t>
      </w:r>
      <w:r w:rsidRPr="00AF4F24">
        <w:rPr>
          <w:rFonts w:eastAsia="Times New Roman" w:cs="Times New Roman"/>
          <w:kern w:val="0"/>
          <w:sz w:val="22"/>
          <w:szCs w:val="22"/>
          <w14:ligatures w14:val="none"/>
        </w:rPr>
        <w:t xml:space="preserve"> – Sinofert announced a special dividend of HK$0.0246 per share in July 2025 .  Model the sustainability of dividends by forecasting free cash flow, considering capital expenditure on “Bio+” research and carbon</w:t>
      </w:r>
      <w:r w:rsidRPr="00AF4F24">
        <w:rPr>
          <w:rFonts w:eastAsia="Times New Roman" w:cs="Times New Roman"/>
          <w:kern w:val="0"/>
          <w:sz w:val="22"/>
          <w:szCs w:val="22"/>
          <w14:ligatures w14:val="none"/>
        </w:rPr>
        <w:noBreakHyphen/>
        <w:t>one chemicals.</w:t>
      </w:r>
    </w:p>
    <w:p w14:paraId="2E9490C2" w14:textId="77777777" w:rsidR="00C57B46" w:rsidRPr="00AF4F24" w:rsidRDefault="00C57B46" w:rsidP="00C57B46">
      <w:pPr>
        <w:numPr>
          <w:ilvl w:val="0"/>
          <w:numId w:val="8"/>
        </w:numPr>
        <w:spacing w:before="100" w:beforeAutospacing="1" w:after="100" w:afterAutospacing="1" w:line="240" w:lineRule="auto"/>
        <w:rPr>
          <w:rFonts w:eastAsia="Times New Roman" w:cs="Times New Roman"/>
          <w:kern w:val="0"/>
          <w:sz w:val="22"/>
          <w:szCs w:val="22"/>
          <w14:ligatures w14:val="none"/>
        </w:rPr>
      </w:pPr>
      <w:r w:rsidRPr="00AF4F24">
        <w:rPr>
          <w:rFonts w:eastAsia="Times New Roman" w:cs="Times New Roman"/>
          <w:b/>
          <w:bCs/>
          <w:kern w:val="0"/>
          <w:sz w:val="22"/>
          <w:szCs w:val="22"/>
          <w14:ligatures w14:val="none"/>
        </w:rPr>
        <w:t>Relative valuation and factor investing</w:t>
      </w:r>
      <w:r w:rsidRPr="00AF4F24">
        <w:rPr>
          <w:rFonts w:eastAsia="Times New Roman" w:cs="Times New Roman"/>
          <w:kern w:val="0"/>
          <w:sz w:val="22"/>
          <w:szCs w:val="22"/>
          <w14:ligatures w14:val="none"/>
        </w:rPr>
        <w:t xml:space="preserve"> – Compare Sinofert’s P/E (≈8.8×) and P/B ratios with global fertiliser peers (e.g., Nutrien, Mosaic).  Use factor models (quality, value, low volatility) to determine whether the stock could be part of a long/short agriculture basket.</w:t>
      </w:r>
    </w:p>
    <w:p w14:paraId="14823D11" w14:textId="77777777" w:rsidR="00C57B46" w:rsidRPr="00AF4F24" w:rsidRDefault="00C57B46" w:rsidP="00C57B46">
      <w:pPr>
        <w:spacing w:before="100" w:beforeAutospacing="1" w:after="100" w:afterAutospacing="1" w:line="240" w:lineRule="auto"/>
        <w:rPr>
          <w:rFonts w:eastAsia="Times New Roman" w:cs="Times New Roman"/>
          <w:kern w:val="0"/>
          <w:sz w:val="22"/>
          <w:szCs w:val="22"/>
          <w14:ligatures w14:val="none"/>
        </w:rPr>
      </w:pPr>
    </w:p>
    <w:p w14:paraId="636D7FCD" w14:textId="77777777" w:rsidR="00C57B46" w:rsidRPr="00AF4F24" w:rsidRDefault="00C57B46" w:rsidP="00C57B46">
      <w:pPr>
        <w:spacing w:before="100" w:beforeAutospacing="1" w:after="100" w:afterAutospacing="1" w:line="240" w:lineRule="auto"/>
        <w:outlineLvl w:val="1"/>
        <w:rPr>
          <w:rFonts w:eastAsia="Times New Roman" w:cs="Times New Roman"/>
          <w:b/>
          <w:bCs/>
          <w:kern w:val="0"/>
          <w:sz w:val="22"/>
          <w:szCs w:val="22"/>
          <w14:ligatures w14:val="none"/>
        </w:rPr>
      </w:pPr>
      <w:r w:rsidRPr="00AF4F24">
        <w:rPr>
          <w:rFonts w:eastAsia="Times New Roman" w:cs="Times New Roman"/>
          <w:b/>
          <w:bCs/>
          <w:kern w:val="0"/>
          <w:sz w:val="22"/>
          <w:szCs w:val="22"/>
          <w14:ligatures w14:val="none"/>
        </w:rPr>
        <w:t>5. Far East Orchard Ltd (Singapore, O10.SI)</w:t>
      </w:r>
    </w:p>
    <w:p w14:paraId="7ACCD860" w14:textId="77777777" w:rsidR="00C57B46" w:rsidRPr="00AF4F24" w:rsidRDefault="00C57B46" w:rsidP="00C57B46">
      <w:pPr>
        <w:numPr>
          <w:ilvl w:val="0"/>
          <w:numId w:val="9"/>
        </w:numPr>
        <w:spacing w:before="100" w:beforeAutospacing="1" w:after="100" w:afterAutospacing="1" w:line="240" w:lineRule="auto"/>
        <w:rPr>
          <w:rFonts w:eastAsia="Times New Roman" w:cs="Times New Roman"/>
          <w:kern w:val="0"/>
          <w:sz w:val="22"/>
          <w:szCs w:val="22"/>
          <w14:ligatures w14:val="none"/>
        </w:rPr>
      </w:pPr>
      <w:r w:rsidRPr="00AF4F24">
        <w:rPr>
          <w:rFonts w:eastAsia="Times New Roman" w:cs="Times New Roman"/>
          <w:b/>
          <w:bCs/>
          <w:kern w:val="0"/>
          <w:sz w:val="22"/>
          <w:szCs w:val="22"/>
          <w14:ligatures w14:val="none"/>
        </w:rPr>
        <w:t>Business model &amp; growth drivers</w:t>
      </w:r>
      <w:r w:rsidRPr="00AF4F24">
        <w:rPr>
          <w:rFonts w:eastAsia="Times New Roman" w:cs="Times New Roman"/>
          <w:kern w:val="0"/>
          <w:sz w:val="22"/>
          <w:szCs w:val="22"/>
          <w14:ligatures w14:val="none"/>
        </w:rPr>
        <w:t xml:space="preserve"> – Far East Orchard (FEO) is a lodging and real</w:t>
      </w:r>
      <w:r w:rsidRPr="00AF4F24">
        <w:rPr>
          <w:rFonts w:eastAsia="Times New Roman" w:cs="Times New Roman"/>
          <w:kern w:val="0"/>
          <w:sz w:val="22"/>
          <w:szCs w:val="22"/>
          <w14:ligatures w14:val="none"/>
        </w:rPr>
        <w:noBreakHyphen/>
        <w:t>estate developer.  It operates hotels through its Far East Hospitality arm, manages purpose</w:t>
      </w:r>
      <w:r w:rsidRPr="00AF4F24">
        <w:rPr>
          <w:rFonts w:eastAsia="Times New Roman" w:cs="Times New Roman"/>
          <w:kern w:val="0"/>
          <w:sz w:val="22"/>
          <w:szCs w:val="22"/>
          <w14:ligatures w14:val="none"/>
        </w:rPr>
        <w:noBreakHyphen/>
        <w:t>built student accommodation (PBSA) in the UK (Homes for Students, HFS), and owns investment properties.  Growth comes from lodging expansion in Asia and Europe and the development of PBSA projects.</w:t>
      </w:r>
    </w:p>
    <w:p w14:paraId="1F95D336" w14:textId="77777777" w:rsidR="00C57B46" w:rsidRPr="00AF4F24" w:rsidRDefault="00C57B46" w:rsidP="00C57B46">
      <w:pPr>
        <w:numPr>
          <w:ilvl w:val="0"/>
          <w:numId w:val="9"/>
        </w:numPr>
        <w:spacing w:before="100" w:beforeAutospacing="1" w:after="100" w:afterAutospacing="1" w:line="240" w:lineRule="auto"/>
        <w:rPr>
          <w:rFonts w:eastAsia="Times New Roman" w:cs="Times New Roman"/>
          <w:kern w:val="0"/>
          <w:sz w:val="22"/>
          <w:szCs w:val="22"/>
          <w14:ligatures w14:val="none"/>
        </w:rPr>
      </w:pPr>
      <w:r w:rsidRPr="00AF4F24">
        <w:rPr>
          <w:rFonts w:eastAsia="Times New Roman" w:cs="Times New Roman"/>
          <w:b/>
          <w:bCs/>
          <w:kern w:val="0"/>
          <w:sz w:val="22"/>
          <w:szCs w:val="22"/>
          <w14:ligatures w14:val="none"/>
        </w:rPr>
        <w:t>Recent financial performance</w:t>
      </w:r>
      <w:r w:rsidRPr="00AF4F24">
        <w:rPr>
          <w:rFonts w:eastAsia="Times New Roman" w:cs="Times New Roman"/>
          <w:kern w:val="0"/>
          <w:sz w:val="22"/>
          <w:szCs w:val="22"/>
          <w14:ligatures w14:val="none"/>
        </w:rPr>
        <w:t xml:space="preserve"> – FEO’s press release for the half</w:t>
      </w:r>
      <w:r w:rsidRPr="00AF4F24">
        <w:rPr>
          <w:rFonts w:eastAsia="Times New Roman" w:cs="Times New Roman"/>
          <w:kern w:val="0"/>
          <w:sz w:val="22"/>
          <w:szCs w:val="22"/>
          <w14:ligatures w14:val="none"/>
        </w:rPr>
        <w:noBreakHyphen/>
        <w:t xml:space="preserve">year ended 30 Jun 2025 shows revenue of </w:t>
      </w:r>
      <w:r w:rsidRPr="00AF4F24">
        <w:rPr>
          <w:rFonts w:eastAsia="Times New Roman" w:cs="Times New Roman"/>
          <w:b/>
          <w:bCs/>
          <w:kern w:val="0"/>
          <w:sz w:val="22"/>
          <w:szCs w:val="22"/>
          <w14:ligatures w14:val="none"/>
        </w:rPr>
        <w:t>S$91.3 million</w:t>
      </w:r>
      <w:r w:rsidRPr="00AF4F24">
        <w:rPr>
          <w:rFonts w:eastAsia="Times New Roman" w:cs="Times New Roman"/>
          <w:kern w:val="0"/>
          <w:sz w:val="22"/>
          <w:szCs w:val="22"/>
          <w14:ligatures w14:val="none"/>
        </w:rPr>
        <w:t xml:space="preserve">, down 6.1 % YoY .  Operating profit declined to </w:t>
      </w:r>
      <w:r w:rsidRPr="00AF4F24">
        <w:rPr>
          <w:rFonts w:eastAsia="Times New Roman" w:cs="Times New Roman"/>
          <w:b/>
          <w:bCs/>
          <w:kern w:val="0"/>
          <w:sz w:val="22"/>
          <w:szCs w:val="22"/>
          <w14:ligatures w14:val="none"/>
        </w:rPr>
        <w:t>S$30.9 million</w:t>
      </w:r>
      <w:r w:rsidRPr="00AF4F24">
        <w:rPr>
          <w:rFonts w:eastAsia="Times New Roman" w:cs="Times New Roman"/>
          <w:kern w:val="0"/>
          <w:sz w:val="22"/>
          <w:szCs w:val="22"/>
          <w14:ligatures w14:val="none"/>
        </w:rPr>
        <w:t xml:space="preserve"> , and profit after tax was </w:t>
      </w:r>
      <w:r w:rsidRPr="00AF4F24">
        <w:rPr>
          <w:rFonts w:eastAsia="Times New Roman" w:cs="Times New Roman"/>
          <w:b/>
          <w:bCs/>
          <w:kern w:val="0"/>
          <w:sz w:val="22"/>
          <w:szCs w:val="22"/>
          <w14:ligatures w14:val="none"/>
        </w:rPr>
        <w:t>S$18.0 million</w:t>
      </w:r>
      <w:r w:rsidRPr="00AF4F24">
        <w:rPr>
          <w:rFonts w:eastAsia="Times New Roman" w:cs="Times New Roman"/>
          <w:kern w:val="0"/>
          <w:sz w:val="22"/>
          <w:szCs w:val="22"/>
          <w14:ligatures w14:val="none"/>
        </w:rPr>
        <w:t xml:space="preserve">, 8.3 % lower than 1H FY2024 .  However, profit attributable to equity holders rose 7.5 % to </w:t>
      </w:r>
      <w:r w:rsidRPr="00AF4F24">
        <w:rPr>
          <w:rFonts w:eastAsia="Times New Roman" w:cs="Times New Roman"/>
          <w:b/>
          <w:bCs/>
          <w:kern w:val="0"/>
          <w:sz w:val="22"/>
          <w:szCs w:val="22"/>
          <w14:ligatures w14:val="none"/>
        </w:rPr>
        <w:t>S$19.6 million</w:t>
      </w:r>
      <w:r w:rsidRPr="00AF4F24">
        <w:rPr>
          <w:rFonts w:eastAsia="Times New Roman" w:cs="Times New Roman"/>
          <w:kern w:val="0"/>
          <w:sz w:val="22"/>
          <w:szCs w:val="22"/>
          <w14:ligatures w14:val="none"/>
        </w:rPr>
        <w:t xml:space="preserve"> because of a </w:t>
      </w:r>
      <w:r w:rsidRPr="00AF4F24">
        <w:rPr>
          <w:rFonts w:eastAsia="Times New Roman" w:cs="Times New Roman"/>
          <w:b/>
          <w:bCs/>
          <w:kern w:val="0"/>
          <w:sz w:val="22"/>
          <w:szCs w:val="22"/>
          <w14:ligatures w14:val="none"/>
        </w:rPr>
        <w:t>S$9.1 million one</w:t>
      </w:r>
      <w:r w:rsidRPr="00AF4F24">
        <w:rPr>
          <w:rFonts w:eastAsia="Times New Roman" w:cs="Times New Roman"/>
          <w:b/>
          <w:bCs/>
          <w:kern w:val="0"/>
          <w:sz w:val="22"/>
          <w:szCs w:val="22"/>
          <w14:ligatures w14:val="none"/>
        </w:rPr>
        <w:noBreakHyphen/>
        <w:t>off gain</w:t>
      </w:r>
      <w:r w:rsidRPr="00AF4F24">
        <w:rPr>
          <w:rFonts w:eastAsia="Times New Roman" w:cs="Times New Roman"/>
          <w:kern w:val="0"/>
          <w:sz w:val="22"/>
          <w:szCs w:val="22"/>
          <w14:ligatures w14:val="none"/>
        </w:rPr>
        <w:t xml:space="preserve"> from acquiring additional interest in the Woods Square project .  Without this one</w:t>
      </w:r>
      <w:r w:rsidRPr="00AF4F24">
        <w:rPr>
          <w:rFonts w:eastAsia="Times New Roman" w:cs="Times New Roman"/>
          <w:kern w:val="0"/>
          <w:sz w:val="22"/>
          <w:szCs w:val="22"/>
          <w14:ligatures w14:val="none"/>
        </w:rPr>
        <w:noBreakHyphen/>
        <w:t xml:space="preserve">off gain, profit after tax would have been </w:t>
      </w:r>
      <w:r w:rsidRPr="00AF4F24">
        <w:rPr>
          <w:rFonts w:eastAsia="Times New Roman" w:cs="Times New Roman"/>
          <w:b/>
          <w:bCs/>
          <w:kern w:val="0"/>
          <w:sz w:val="22"/>
          <w:szCs w:val="22"/>
          <w14:ligatures w14:val="none"/>
        </w:rPr>
        <w:t>S$8.9 million</w:t>
      </w:r>
      <w:r w:rsidRPr="00AF4F24">
        <w:rPr>
          <w:rFonts w:eastAsia="Times New Roman" w:cs="Times New Roman"/>
          <w:kern w:val="0"/>
          <w:sz w:val="22"/>
          <w:szCs w:val="22"/>
          <w14:ligatures w14:val="none"/>
        </w:rPr>
        <w:t xml:space="preserve"> .</w:t>
      </w:r>
    </w:p>
    <w:p w14:paraId="51D48D84" w14:textId="77777777" w:rsidR="00C57B46" w:rsidRPr="00AF4F24" w:rsidRDefault="00C57B46" w:rsidP="00C57B46">
      <w:pPr>
        <w:numPr>
          <w:ilvl w:val="0"/>
          <w:numId w:val="9"/>
        </w:numPr>
        <w:spacing w:before="100" w:beforeAutospacing="1" w:after="100" w:afterAutospacing="1" w:line="240" w:lineRule="auto"/>
        <w:rPr>
          <w:rFonts w:eastAsia="Times New Roman" w:cs="Times New Roman"/>
          <w:kern w:val="0"/>
          <w:sz w:val="22"/>
          <w:szCs w:val="22"/>
          <w14:ligatures w14:val="none"/>
        </w:rPr>
      </w:pPr>
      <w:r w:rsidRPr="00AF4F24">
        <w:rPr>
          <w:rFonts w:eastAsia="Times New Roman" w:cs="Times New Roman"/>
          <w:b/>
          <w:bCs/>
          <w:kern w:val="0"/>
          <w:sz w:val="22"/>
          <w:szCs w:val="22"/>
          <w14:ligatures w14:val="none"/>
        </w:rPr>
        <w:lastRenderedPageBreak/>
        <w:t>Operational updates</w:t>
      </w:r>
      <w:r w:rsidRPr="00AF4F24">
        <w:rPr>
          <w:rFonts w:eastAsia="Times New Roman" w:cs="Times New Roman"/>
          <w:kern w:val="0"/>
          <w:sz w:val="22"/>
          <w:szCs w:val="22"/>
          <w14:ligatures w14:val="none"/>
        </w:rPr>
        <w:t xml:space="preserve"> – The hospitality segment suffered from refurbishment at the Rendezvous Hotel Perth Scarborough and a cyber</w:t>
      </w:r>
      <w:r w:rsidRPr="00AF4F24">
        <w:rPr>
          <w:rFonts w:eastAsia="Times New Roman" w:cs="Times New Roman"/>
          <w:kern w:val="0"/>
          <w:sz w:val="22"/>
          <w:szCs w:val="22"/>
          <w14:ligatures w14:val="none"/>
        </w:rPr>
        <w:noBreakHyphen/>
        <w:t xml:space="preserve">security incident affecting joint ventures .  The PBSA business remained resilient, aided by the acquisition of HFS and rental growth .  FEO continues to expand its lodging portfolio, opening two hotels in Osaka in 2025 and planning new hotels in Sydney, Vienna and the UK .  Its hospitality portfolio exceeds </w:t>
      </w:r>
      <w:r w:rsidRPr="00AF4F24">
        <w:rPr>
          <w:rFonts w:eastAsia="Times New Roman" w:cs="Times New Roman"/>
          <w:b/>
          <w:bCs/>
          <w:kern w:val="0"/>
          <w:sz w:val="22"/>
          <w:szCs w:val="22"/>
          <w14:ligatures w14:val="none"/>
        </w:rPr>
        <w:t>17,500 rooms</w:t>
      </w:r>
      <w:r w:rsidRPr="00AF4F24">
        <w:rPr>
          <w:rFonts w:eastAsia="Times New Roman" w:cs="Times New Roman"/>
          <w:kern w:val="0"/>
          <w:sz w:val="22"/>
          <w:szCs w:val="22"/>
          <w14:ligatures w14:val="none"/>
        </w:rPr>
        <w:t>, with ~500 more in the pipeline .  Five</w:t>
      </w:r>
      <w:r w:rsidRPr="00AF4F24">
        <w:rPr>
          <w:rFonts w:eastAsia="Times New Roman" w:cs="Times New Roman"/>
          <w:kern w:val="0"/>
          <w:sz w:val="22"/>
          <w:szCs w:val="22"/>
          <w14:ligatures w14:val="none"/>
        </w:rPr>
        <w:noBreakHyphen/>
        <w:t xml:space="preserve">year financial highlights show total revenue of </w:t>
      </w:r>
      <w:r w:rsidRPr="00AF4F24">
        <w:rPr>
          <w:rFonts w:eastAsia="Times New Roman" w:cs="Times New Roman"/>
          <w:b/>
          <w:bCs/>
          <w:kern w:val="0"/>
          <w:sz w:val="22"/>
          <w:szCs w:val="22"/>
          <w14:ligatures w14:val="none"/>
        </w:rPr>
        <w:t>S$191.9 million</w:t>
      </w:r>
      <w:r w:rsidRPr="00AF4F24">
        <w:rPr>
          <w:rFonts w:eastAsia="Times New Roman" w:cs="Times New Roman"/>
          <w:kern w:val="0"/>
          <w:sz w:val="22"/>
          <w:szCs w:val="22"/>
          <w14:ligatures w14:val="none"/>
        </w:rPr>
        <w:t xml:space="preserve"> and profit attributable to equity holders of </w:t>
      </w:r>
      <w:r w:rsidRPr="00AF4F24">
        <w:rPr>
          <w:rFonts w:eastAsia="Times New Roman" w:cs="Times New Roman"/>
          <w:b/>
          <w:bCs/>
          <w:kern w:val="0"/>
          <w:sz w:val="22"/>
          <w:szCs w:val="22"/>
          <w14:ligatures w14:val="none"/>
        </w:rPr>
        <w:t>S$58.97 million</w:t>
      </w:r>
      <w:r w:rsidRPr="00AF4F24">
        <w:rPr>
          <w:rFonts w:eastAsia="Times New Roman" w:cs="Times New Roman"/>
          <w:kern w:val="0"/>
          <w:sz w:val="22"/>
          <w:szCs w:val="22"/>
          <w14:ligatures w14:val="none"/>
        </w:rPr>
        <w:t xml:space="preserve"> in FY2024 .</w:t>
      </w:r>
    </w:p>
    <w:p w14:paraId="6245E50E" w14:textId="77777777" w:rsidR="00C57B46" w:rsidRPr="00AF4F24" w:rsidRDefault="00C57B46" w:rsidP="00C57B46">
      <w:pPr>
        <w:spacing w:before="100" w:beforeAutospacing="1" w:after="100" w:afterAutospacing="1" w:line="240" w:lineRule="auto"/>
        <w:rPr>
          <w:rFonts w:eastAsia="Times New Roman" w:cs="Times New Roman"/>
          <w:kern w:val="0"/>
          <w:sz w:val="22"/>
          <w:szCs w:val="22"/>
          <w14:ligatures w14:val="none"/>
        </w:rPr>
      </w:pPr>
    </w:p>
    <w:p w14:paraId="2E713DB4" w14:textId="77777777" w:rsidR="00C57B46" w:rsidRPr="00AF4F24" w:rsidRDefault="00C57B46" w:rsidP="00C57B46">
      <w:pPr>
        <w:spacing w:before="100" w:beforeAutospacing="1" w:after="100" w:afterAutospacing="1" w:line="240" w:lineRule="auto"/>
        <w:outlineLvl w:val="2"/>
        <w:rPr>
          <w:rFonts w:eastAsia="Times New Roman" w:cs="Times New Roman"/>
          <w:b/>
          <w:bCs/>
          <w:kern w:val="0"/>
          <w:sz w:val="22"/>
          <w:szCs w:val="22"/>
          <w14:ligatures w14:val="none"/>
        </w:rPr>
      </w:pPr>
      <w:r w:rsidRPr="00AF4F24">
        <w:rPr>
          <w:rFonts w:eastAsia="Times New Roman" w:cs="Times New Roman"/>
          <w:b/>
          <w:bCs/>
          <w:kern w:val="0"/>
          <w:sz w:val="22"/>
          <w:szCs w:val="22"/>
          <w14:ligatures w14:val="none"/>
        </w:rPr>
        <w:t>Modelling considerations</w:t>
      </w:r>
    </w:p>
    <w:p w14:paraId="4958E048" w14:textId="77777777" w:rsidR="00C57B46" w:rsidRPr="00AF4F24" w:rsidRDefault="00C57B46" w:rsidP="00C57B46">
      <w:pPr>
        <w:numPr>
          <w:ilvl w:val="0"/>
          <w:numId w:val="10"/>
        </w:numPr>
        <w:spacing w:before="100" w:beforeAutospacing="1" w:after="100" w:afterAutospacing="1" w:line="240" w:lineRule="auto"/>
        <w:rPr>
          <w:rFonts w:eastAsia="Times New Roman" w:cs="Times New Roman"/>
          <w:kern w:val="0"/>
          <w:sz w:val="22"/>
          <w:szCs w:val="22"/>
          <w14:ligatures w14:val="none"/>
        </w:rPr>
      </w:pPr>
      <w:r w:rsidRPr="00AF4F24">
        <w:rPr>
          <w:rFonts w:eastAsia="Times New Roman" w:cs="Times New Roman"/>
          <w:b/>
          <w:bCs/>
          <w:kern w:val="0"/>
          <w:sz w:val="22"/>
          <w:szCs w:val="22"/>
          <w14:ligatures w14:val="none"/>
        </w:rPr>
        <w:t>Net asset value (NAV) model</w:t>
      </w:r>
      <w:r w:rsidRPr="00AF4F24">
        <w:rPr>
          <w:rFonts w:eastAsia="Times New Roman" w:cs="Times New Roman"/>
          <w:kern w:val="0"/>
          <w:sz w:val="22"/>
          <w:szCs w:val="22"/>
          <w14:ligatures w14:val="none"/>
        </w:rPr>
        <w:t xml:space="preserve"> – For a property/hospitality company, NAV is critical.  Estimate fair values of investment properties and PBSA assets (using cap rates and cash flow yield) and add value of operating hotels based on EBITDA multiples.  Subtract net debt to derive NAV per share and compare to market price to gauge discount/premium.</w:t>
      </w:r>
    </w:p>
    <w:p w14:paraId="71A10557" w14:textId="77777777" w:rsidR="00C57B46" w:rsidRPr="00AF4F24" w:rsidRDefault="00C57B46" w:rsidP="00C57B46">
      <w:pPr>
        <w:numPr>
          <w:ilvl w:val="0"/>
          <w:numId w:val="10"/>
        </w:numPr>
        <w:spacing w:before="100" w:beforeAutospacing="1" w:after="100" w:afterAutospacing="1" w:line="240" w:lineRule="auto"/>
        <w:rPr>
          <w:rFonts w:eastAsia="Times New Roman" w:cs="Times New Roman"/>
          <w:kern w:val="0"/>
          <w:sz w:val="22"/>
          <w:szCs w:val="22"/>
          <w14:ligatures w14:val="none"/>
        </w:rPr>
      </w:pPr>
      <w:r w:rsidRPr="00AF4F24">
        <w:rPr>
          <w:rFonts w:eastAsia="Times New Roman" w:cs="Times New Roman"/>
          <w:b/>
          <w:bCs/>
          <w:kern w:val="0"/>
          <w:sz w:val="22"/>
          <w:szCs w:val="22"/>
          <w14:ligatures w14:val="none"/>
        </w:rPr>
        <w:t>Segment DCF with scenario analysis</w:t>
      </w:r>
      <w:r w:rsidRPr="00AF4F24">
        <w:rPr>
          <w:rFonts w:eastAsia="Times New Roman" w:cs="Times New Roman"/>
          <w:kern w:val="0"/>
          <w:sz w:val="22"/>
          <w:szCs w:val="22"/>
          <w14:ligatures w14:val="none"/>
        </w:rPr>
        <w:t xml:space="preserve"> – Build separate cash</w:t>
      </w:r>
      <w:r w:rsidRPr="00AF4F24">
        <w:rPr>
          <w:rFonts w:eastAsia="Times New Roman" w:cs="Times New Roman"/>
          <w:kern w:val="0"/>
          <w:sz w:val="22"/>
          <w:szCs w:val="22"/>
          <w14:ligatures w14:val="none"/>
        </w:rPr>
        <w:noBreakHyphen/>
        <w:t>flow forecasts for hospitality, PBSA and property development.  Incorporate assumptions on room occupancy, average daily rates (ADR), refurbishment capex and pipeline timing.  Scenario analysis can test the impact of slower tourism recovery or delays in PBSA developments.</w:t>
      </w:r>
    </w:p>
    <w:p w14:paraId="4956DCFB" w14:textId="77777777" w:rsidR="00C57B46" w:rsidRPr="00AF4F24" w:rsidRDefault="00C57B46" w:rsidP="00C57B46">
      <w:pPr>
        <w:numPr>
          <w:ilvl w:val="0"/>
          <w:numId w:val="10"/>
        </w:numPr>
        <w:spacing w:before="100" w:beforeAutospacing="1" w:after="100" w:afterAutospacing="1" w:line="240" w:lineRule="auto"/>
        <w:rPr>
          <w:rFonts w:eastAsia="Times New Roman" w:cs="Times New Roman"/>
          <w:kern w:val="0"/>
          <w:sz w:val="22"/>
          <w:szCs w:val="22"/>
          <w14:ligatures w14:val="none"/>
        </w:rPr>
      </w:pPr>
      <w:r w:rsidRPr="00AF4F24">
        <w:rPr>
          <w:rFonts w:eastAsia="Times New Roman" w:cs="Times New Roman"/>
          <w:b/>
          <w:bCs/>
          <w:kern w:val="0"/>
          <w:sz w:val="22"/>
          <w:szCs w:val="22"/>
          <w14:ligatures w14:val="none"/>
        </w:rPr>
        <w:t>Event</w:t>
      </w:r>
      <w:r w:rsidRPr="00AF4F24">
        <w:rPr>
          <w:rFonts w:eastAsia="Times New Roman" w:cs="Times New Roman"/>
          <w:b/>
          <w:bCs/>
          <w:kern w:val="0"/>
          <w:sz w:val="22"/>
          <w:szCs w:val="22"/>
          <w14:ligatures w14:val="none"/>
        </w:rPr>
        <w:noBreakHyphen/>
        <w:t>driven modelling</w:t>
      </w:r>
      <w:r w:rsidRPr="00AF4F24">
        <w:rPr>
          <w:rFonts w:eastAsia="Times New Roman" w:cs="Times New Roman"/>
          <w:kern w:val="0"/>
          <w:sz w:val="22"/>
          <w:szCs w:val="22"/>
          <w14:ligatures w14:val="none"/>
        </w:rPr>
        <w:t xml:space="preserve"> – FEO often undertakes asset acquisitions and disposals (e.g., selling hotels and reinvesting in PBSA).  Model incremental returns from new projects, including the one</w:t>
      </w:r>
      <w:r w:rsidRPr="00AF4F24">
        <w:rPr>
          <w:rFonts w:eastAsia="Times New Roman" w:cs="Times New Roman"/>
          <w:kern w:val="0"/>
          <w:sz w:val="22"/>
          <w:szCs w:val="22"/>
          <w14:ligatures w14:val="none"/>
        </w:rPr>
        <w:noBreakHyphen/>
        <w:t>off gain from Woods Square, and consider the effect of periodic special dividends.</w:t>
      </w:r>
    </w:p>
    <w:p w14:paraId="2468651F" w14:textId="77777777" w:rsidR="00C57B46" w:rsidRPr="00AF4F24" w:rsidRDefault="00C57B46" w:rsidP="00C57B46">
      <w:pPr>
        <w:numPr>
          <w:ilvl w:val="0"/>
          <w:numId w:val="10"/>
        </w:numPr>
        <w:spacing w:before="100" w:beforeAutospacing="1" w:after="100" w:afterAutospacing="1" w:line="240" w:lineRule="auto"/>
        <w:rPr>
          <w:rFonts w:eastAsia="Times New Roman" w:cs="Times New Roman"/>
          <w:kern w:val="0"/>
          <w:sz w:val="22"/>
          <w:szCs w:val="22"/>
          <w14:ligatures w14:val="none"/>
        </w:rPr>
      </w:pPr>
      <w:r w:rsidRPr="00AF4F24">
        <w:rPr>
          <w:rFonts w:eastAsia="Times New Roman" w:cs="Times New Roman"/>
          <w:b/>
          <w:bCs/>
          <w:kern w:val="0"/>
          <w:sz w:val="22"/>
          <w:szCs w:val="22"/>
          <w14:ligatures w14:val="none"/>
        </w:rPr>
        <w:t>Relative valuation</w:t>
      </w:r>
      <w:r w:rsidRPr="00AF4F24">
        <w:rPr>
          <w:rFonts w:eastAsia="Times New Roman" w:cs="Times New Roman"/>
          <w:kern w:val="0"/>
          <w:sz w:val="22"/>
          <w:szCs w:val="22"/>
          <w14:ligatures w14:val="none"/>
        </w:rPr>
        <w:t xml:space="preserve"> – Compare FEO’s P/E (≈9.8×) and P/B (≈0.4×) to regional lodging REITs and developers.  Consider using a blended approach of earnings multiples and dividend yield to assess relative attractiveness.</w:t>
      </w:r>
    </w:p>
    <w:p w14:paraId="53FC2B3B" w14:textId="77777777" w:rsidR="00C57B46" w:rsidRPr="00AF4F24" w:rsidRDefault="00C57B46" w:rsidP="00C57B46">
      <w:pPr>
        <w:spacing w:before="100" w:beforeAutospacing="1" w:after="100" w:afterAutospacing="1" w:line="240" w:lineRule="auto"/>
        <w:rPr>
          <w:rFonts w:eastAsia="Times New Roman" w:cs="Times New Roman"/>
          <w:kern w:val="0"/>
          <w:sz w:val="22"/>
          <w:szCs w:val="22"/>
          <w14:ligatures w14:val="none"/>
        </w:rPr>
      </w:pPr>
    </w:p>
    <w:p w14:paraId="0C134F87" w14:textId="77777777" w:rsidR="00C57B46" w:rsidRPr="00AF4F24" w:rsidRDefault="00C57B46" w:rsidP="00C57B46">
      <w:pPr>
        <w:spacing w:before="100" w:beforeAutospacing="1" w:after="100" w:afterAutospacing="1" w:line="240" w:lineRule="auto"/>
        <w:outlineLvl w:val="1"/>
        <w:rPr>
          <w:rFonts w:eastAsia="Times New Roman" w:cs="Times New Roman"/>
          <w:b/>
          <w:bCs/>
          <w:kern w:val="0"/>
          <w:sz w:val="22"/>
          <w:szCs w:val="22"/>
          <w14:ligatures w14:val="none"/>
        </w:rPr>
      </w:pPr>
      <w:r w:rsidRPr="00AF4F24">
        <w:rPr>
          <w:rFonts w:eastAsia="Times New Roman" w:cs="Times New Roman"/>
          <w:b/>
          <w:bCs/>
          <w:kern w:val="0"/>
          <w:sz w:val="22"/>
          <w:szCs w:val="22"/>
          <w14:ligatures w14:val="none"/>
        </w:rPr>
        <w:t>Conclusion</w:t>
      </w:r>
    </w:p>
    <w:p w14:paraId="5BDEA065" w14:textId="77777777" w:rsidR="00C57B46" w:rsidRPr="00AF4F24" w:rsidRDefault="00C57B46" w:rsidP="00C57B46">
      <w:pPr>
        <w:spacing w:before="100" w:beforeAutospacing="1" w:after="100" w:afterAutospacing="1" w:line="240" w:lineRule="auto"/>
        <w:rPr>
          <w:rFonts w:eastAsia="Times New Roman" w:cs="Times New Roman"/>
          <w:kern w:val="0"/>
          <w:sz w:val="22"/>
          <w:szCs w:val="22"/>
          <w14:ligatures w14:val="none"/>
        </w:rPr>
      </w:pPr>
    </w:p>
    <w:p w14:paraId="06BC1EEF" w14:textId="77777777" w:rsidR="00C57B46" w:rsidRPr="00AF4F24" w:rsidRDefault="00C57B46" w:rsidP="00C57B46">
      <w:pPr>
        <w:spacing w:before="100" w:beforeAutospacing="1" w:after="100" w:afterAutospacing="1" w:line="240" w:lineRule="auto"/>
        <w:rPr>
          <w:rFonts w:eastAsia="Times New Roman" w:cs="Times New Roman"/>
          <w:kern w:val="0"/>
          <w:sz w:val="22"/>
          <w:szCs w:val="22"/>
          <w14:ligatures w14:val="none"/>
        </w:rPr>
      </w:pPr>
      <w:r w:rsidRPr="00AF4F24">
        <w:rPr>
          <w:rFonts w:eastAsia="Times New Roman" w:cs="Times New Roman"/>
          <w:kern w:val="0"/>
          <w:sz w:val="22"/>
          <w:szCs w:val="22"/>
          <w14:ligatures w14:val="none"/>
        </w:rPr>
        <w:t>These five APAC companies offer differentiated investment exposures suitable for an internship pitch to hedge</w:t>
      </w:r>
      <w:r w:rsidRPr="00AF4F24">
        <w:rPr>
          <w:rFonts w:eastAsia="Times New Roman" w:cs="Times New Roman"/>
          <w:kern w:val="0"/>
          <w:sz w:val="22"/>
          <w:szCs w:val="22"/>
          <w14:ligatures w14:val="none"/>
        </w:rPr>
        <w:noBreakHyphen/>
        <w:t>fund managers.  Their financials demonstrate growth (Kakao, Olympic Circuit, Concord New Energy), resilience during cyclical downturns (Sinofert) and asset diversification (Far East Orchard).  By applying a mix of discounted cash</w:t>
      </w:r>
      <w:r w:rsidRPr="00AF4F24">
        <w:rPr>
          <w:rFonts w:eastAsia="Times New Roman" w:cs="Times New Roman"/>
          <w:kern w:val="0"/>
          <w:sz w:val="22"/>
          <w:szCs w:val="22"/>
          <w14:ligatures w14:val="none"/>
        </w:rPr>
        <w:noBreakHyphen/>
        <w:t>flow models, relative valuation techniques, factor</w:t>
      </w:r>
      <w:r w:rsidRPr="00AF4F24">
        <w:rPr>
          <w:rFonts w:eastAsia="Times New Roman" w:cs="Times New Roman"/>
          <w:kern w:val="0"/>
          <w:sz w:val="22"/>
          <w:szCs w:val="22"/>
          <w14:ligatures w14:val="none"/>
        </w:rPr>
        <w:noBreakHyphen/>
        <w:t>based screening and scenario analysis, a hedge fund could evaluate the attractiveness of each stock, build long/short positions and manage risk.  Presenting these ideas will showcase proficiency in quantitative finance, corporate analysis and modelling.</w:t>
      </w:r>
    </w:p>
    <w:p w14:paraId="30DE6E9B" w14:textId="77777777" w:rsidR="00C57B46" w:rsidRPr="00AF4F24" w:rsidRDefault="00C57B46">
      <w:pPr>
        <w:rPr>
          <w:sz w:val="22"/>
          <w:szCs w:val="22"/>
        </w:rPr>
      </w:pPr>
    </w:p>
    <w:sectPr w:rsidR="00C57B46" w:rsidRPr="00AF4F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42493"/>
    <w:multiLevelType w:val="multilevel"/>
    <w:tmpl w:val="B794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D123F"/>
    <w:multiLevelType w:val="multilevel"/>
    <w:tmpl w:val="5B621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015FA7"/>
    <w:multiLevelType w:val="multilevel"/>
    <w:tmpl w:val="8AF41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F45097"/>
    <w:multiLevelType w:val="multilevel"/>
    <w:tmpl w:val="EC24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E807B3"/>
    <w:multiLevelType w:val="multilevel"/>
    <w:tmpl w:val="2E54B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B05F68"/>
    <w:multiLevelType w:val="multilevel"/>
    <w:tmpl w:val="C4AEE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DA60EB"/>
    <w:multiLevelType w:val="multilevel"/>
    <w:tmpl w:val="A45CE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9B5021"/>
    <w:multiLevelType w:val="multilevel"/>
    <w:tmpl w:val="7FEE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EC47B4"/>
    <w:multiLevelType w:val="multilevel"/>
    <w:tmpl w:val="FF5C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F700F5"/>
    <w:multiLevelType w:val="multilevel"/>
    <w:tmpl w:val="B88C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1668010">
    <w:abstractNumId w:val="7"/>
  </w:num>
  <w:num w:numId="2" w16cid:durableId="1296058051">
    <w:abstractNumId w:val="5"/>
  </w:num>
  <w:num w:numId="3" w16cid:durableId="357125291">
    <w:abstractNumId w:val="8"/>
  </w:num>
  <w:num w:numId="4" w16cid:durableId="134378798">
    <w:abstractNumId w:val="1"/>
  </w:num>
  <w:num w:numId="5" w16cid:durableId="828836963">
    <w:abstractNumId w:val="3"/>
  </w:num>
  <w:num w:numId="6" w16cid:durableId="270403229">
    <w:abstractNumId w:val="6"/>
  </w:num>
  <w:num w:numId="7" w16cid:durableId="1640644182">
    <w:abstractNumId w:val="9"/>
  </w:num>
  <w:num w:numId="8" w16cid:durableId="1014040562">
    <w:abstractNumId w:val="2"/>
  </w:num>
  <w:num w:numId="9" w16cid:durableId="1831169453">
    <w:abstractNumId w:val="0"/>
  </w:num>
  <w:num w:numId="10" w16cid:durableId="18772368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B46"/>
    <w:rsid w:val="009467D6"/>
    <w:rsid w:val="00AF4F24"/>
    <w:rsid w:val="00C57B46"/>
  </w:rsids>
  <m:mathPr>
    <m:mathFont m:val="Cambria Math"/>
    <m:brkBin m:val="before"/>
    <m:brkBinSub m:val="--"/>
    <m:smallFrac m:val="0"/>
    <m:dispDef/>
    <m:lMargin m:val="0"/>
    <m:rMargin m:val="0"/>
    <m:defJc m:val="centerGroup"/>
    <m:wrapIndent m:val="1440"/>
    <m:intLim m:val="subSup"/>
    <m:naryLim m:val="undOvr"/>
  </m:mathPr>
  <w:themeFontLang w:val="en-FR"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16445E"/>
  <w15:chartTrackingRefBased/>
  <w15:docId w15:val="{A72078BA-8432-2247-8FBF-56AA159F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B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57B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57B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7B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7B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7B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7B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7B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7B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B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57B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57B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7B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7B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7B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7B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7B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7B46"/>
    <w:rPr>
      <w:rFonts w:eastAsiaTheme="majorEastAsia" w:cstheme="majorBidi"/>
      <w:color w:val="272727" w:themeColor="text1" w:themeTint="D8"/>
    </w:rPr>
  </w:style>
  <w:style w:type="paragraph" w:styleId="Title">
    <w:name w:val="Title"/>
    <w:basedOn w:val="Normal"/>
    <w:next w:val="Normal"/>
    <w:link w:val="TitleChar"/>
    <w:uiPriority w:val="10"/>
    <w:qFormat/>
    <w:rsid w:val="00C57B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B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7B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7B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7B46"/>
    <w:pPr>
      <w:spacing w:before="160"/>
      <w:jc w:val="center"/>
    </w:pPr>
    <w:rPr>
      <w:i/>
      <w:iCs/>
      <w:color w:val="404040" w:themeColor="text1" w:themeTint="BF"/>
    </w:rPr>
  </w:style>
  <w:style w:type="character" w:customStyle="1" w:styleId="QuoteChar">
    <w:name w:val="Quote Char"/>
    <w:basedOn w:val="DefaultParagraphFont"/>
    <w:link w:val="Quote"/>
    <w:uiPriority w:val="29"/>
    <w:rsid w:val="00C57B46"/>
    <w:rPr>
      <w:i/>
      <w:iCs/>
      <w:color w:val="404040" w:themeColor="text1" w:themeTint="BF"/>
    </w:rPr>
  </w:style>
  <w:style w:type="paragraph" w:styleId="ListParagraph">
    <w:name w:val="List Paragraph"/>
    <w:basedOn w:val="Normal"/>
    <w:uiPriority w:val="34"/>
    <w:qFormat/>
    <w:rsid w:val="00C57B46"/>
    <w:pPr>
      <w:ind w:left="720"/>
      <w:contextualSpacing/>
    </w:pPr>
  </w:style>
  <w:style w:type="character" w:styleId="IntenseEmphasis">
    <w:name w:val="Intense Emphasis"/>
    <w:basedOn w:val="DefaultParagraphFont"/>
    <w:uiPriority w:val="21"/>
    <w:qFormat/>
    <w:rsid w:val="00C57B46"/>
    <w:rPr>
      <w:i/>
      <w:iCs/>
      <w:color w:val="0F4761" w:themeColor="accent1" w:themeShade="BF"/>
    </w:rPr>
  </w:style>
  <w:style w:type="paragraph" w:styleId="IntenseQuote">
    <w:name w:val="Intense Quote"/>
    <w:basedOn w:val="Normal"/>
    <w:next w:val="Normal"/>
    <w:link w:val="IntenseQuoteChar"/>
    <w:uiPriority w:val="30"/>
    <w:qFormat/>
    <w:rsid w:val="00C57B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7B46"/>
    <w:rPr>
      <w:i/>
      <w:iCs/>
      <w:color w:val="0F4761" w:themeColor="accent1" w:themeShade="BF"/>
    </w:rPr>
  </w:style>
  <w:style w:type="character" w:styleId="IntenseReference">
    <w:name w:val="Intense Reference"/>
    <w:basedOn w:val="DefaultParagraphFont"/>
    <w:uiPriority w:val="32"/>
    <w:qFormat/>
    <w:rsid w:val="00C57B46"/>
    <w:rPr>
      <w:b/>
      <w:bCs/>
      <w:smallCaps/>
      <w:color w:val="0F4761" w:themeColor="accent1" w:themeShade="BF"/>
      <w:spacing w:val="5"/>
    </w:rPr>
  </w:style>
  <w:style w:type="paragraph" w:customStyle="1" w:styleId="p1">
    <w:name w:val="p1"/>
    <w:basedOn w:val="Normal"/>
    <w:rsid w:val="00C57B4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C57B46"/>
  </w:style>
  <w:style w:type="paragraph" w:customStyle="1" w:styleId="p2">
    <w:name w:val="p2"/>
    <w:basedOn w:val="Normal"/>
    <w:rsid w:val="00C57B4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C57B4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C57B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1894</Words>
  <Characters>12048</Characters>
  <Application>Microsoft Office Word</Application>
  <DocSecurity>0</DocSecurity>
  <Lines>547</Lines>
  <Paragraphs>449</Paragraphs>
  <ScaleCrop>false</ScaleCrop>
  <Company/>
  <LinksUpToDate>false</LinksUpToDate>
  <CharactersWithSpaces>13493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DUKMEDJIAN Samuel</dc:creator>
  <cp:keywords/>
  <dc:description/>
  <cp:lastModifiedBy>DUKMEDJIAN Samuel</cp:lastModifiedBy>
  <cp:revision>2</cp:revision>
  <dcterms:created xsi:type="dcterms:W3CDTF">2025-09-29T07:42:00Z</dcterms:created>
  <dcterms:modified xsi:type="dcterms:W3CDTF">2025-09-30T00:56:00Z</dcterms:modified>
</cp:coreProperties>
</file>