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1771650" cx="539750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771650" cx="53975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200" w:line="360"/>
        <w:contextualSpacing w:val="0"/>
        <w:jc w:val="both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9050" hidden="0" distT="19050" distB="19050" layoutInCell="0" locked="0" relativeHeight="0" simplePos="0" distL="19050" behindDoc="0">
            <wp:simplePos y="0" x="0"/>
            <wp:positionH relativeFrom="margin">
              <wp:posOffset>-12699</wp:posOffset>
            </wp:positionH>
            <wp:positionV relativeFrom="paragraph">
              <wp:posOffset>584200</wp:posOffset>
            </wp:positionV>
            <wp:extent cy="2501900" cx="5715000"/>
            <wp:wrapSquare distR="19050" distT="19050" distB="19050" wrapText="bothSides" distL="1905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2501900" cx="571500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 w:line="240" w:before="0"/>
        <w:ind w:left="720" w:hanging="359"/>
        <w:jc w:val="both"/>
        <w:rPr/>
      </w:pPr>
      <w:r w:rsidRPr="00000000" w:rsidR="00000000" w:rsidDel="00000000">
        <w:rPr>
          <w:rFonts w:cs="Tahoma" w:hAnsi="Tahoma" w:eastAsia="Tahoma" w:ascii="Tahoma"/>
          <w:b w:val="1"/>
          <w:smallCaps w:val="1"/>
          <w:sz w:val="22"/>
          <w:rtl w:val="0"/>
        </w:rPr>
        <w:t xml:space="preserve">Objetivos do cliente</w:t>
      </w:r>
      <w:r w:rsidRPr="00000000" w:rsidR="00000000" w:rsidDel="00000000">
        <w:rPr>
          <w:rtl w:val="0"/>
        </w:rPr>
      </w:r>
    </w:p>
    <w:tbl>
      <w:tblPr>
        <w:bidiVisual w:val="0"/>
        <w:tblW w:w="8460.0" w:type="dxa"/>
        <w:jc w:val="left"/>
        <w:tblBorders>
          <w:top w:color="c0c0c0" w:space="0" w:val="single" w:sz="4"/>
          <w:left w:color="c0c0c0" w:space="0" w:val="single" w:sz="4"/>
          <w:bottom w:color="c0c0c0" w:space="0" w:val="single" w:sz="4"/>
          <w:right w:color="c0c0c0" w:space="0" w:val="single" w:sz="4"/>
          <w:insideH w:color="c0c0c0" w:space="0" w:val="single" w:sz="4"/>
          <w:insideV w:color="c0c0c0" w:space="0" w:val="single" w:sz="4"/>
        </w:tblBorders>
        <w:tblLayout w:type="fixed"/>
      </w:tblPr>
      <w:tblGrid>
        <w:gridCol w:w="754"/>
        <w:gridCol w:w="7706"/>
      </w:tblGrid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20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20"/>
                <w:rtl w:val="0"/>
              </w:rPr>
              <w:t xml:space="preserve">Objetivos do Cliente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18"/>
                <w:rtl w:val="0"/>
              </w:rPr>
              <w:t xml:space="preserve">OC001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Souce Sans Pro" w:hAnsi="Souce Sans Pro" w:eastAsia="Souce Sans Pro" w:ascii="Souce Sans Pro"/>
                <w:sz w:val="18"/>
                <w:rtl w:val="0"/>
              </w:rPr>
              <w:t xml:space="preserve">Disponibilizar ao púbico geral a quantidade de vagas disponíveis nas suas áreas de estacionamento.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18"/>
                <w:rtl w:val="0"/>
              </w:rPr>
              <w:t xml:space="preserve">OC002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Souce Sans Pro" w:hAnsi="Souce Sans Pro" w:eastAsia="Souce Sans Pro" w:ascii="Souce Sans Pro"/>
                <w:sz w:val="18"/>
                <w:rtl w:val="0"/>
              </w:rPr>
              <w:t xml:space="preserve">Buscar do sistema de sensores de estacionamento quais vagas estão disponíveis ou utilizadas no momento.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18"/>
                <w:rtl w:val="0"/>
              </w:rPr>
              <w:t xml:space="preserve">OC003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Souce Sans Pro" w:hAnsi="Souce Sans Pro" w:eastAsia="Souce Sans Pro" w:ascii="Souce Sans Pro"/>
                <w:sz w:val="18"/>
                <w:rtl w:val="0"/>
              </w:rPr>
              <w:t xml:space="preserve">Identificar vagas para motos, automóveis e portadores de deficiência física.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18"/>
                <w:rtl w:val="0"/>
              </w:rPr>
              <w:t xml:space="preserve">OC004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Souce Sans Pro" w:hAnsi="Souce Sans Pro" w:eastAsia="Souce Sans Pro" w:ascii="Souce Sans Pro"/>
                <w:sz w:val="18"/>
                <w:rtl w:val="0"/>
              </w:rPr>
              <w:t xml:space="preserve">Agrupar vagas por áreas.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18"/>
                <w:rtl w:val="0"/>
              </w:rPr>
              <w:t xml:space="preserve">OC005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Souce Sans Pro" w:hAnsi="Souce Sans Pro" w:eastAsia="Souce Sans Pro" w:ascii="Souce Sans Pro"/>
                <w:sz w:val="18"/>
                <w:rtl w:val="0"/>
              </w:rPr>
              <w:t xml:space="preserve">Marcar vagas como inutilizadas para obras e afins.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18"/>
                <w:rtl w:val="0"/>
              </w:rPr>
              <w:t xml:space="preserve">OC006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Souce Sans Pro" w:hAnsi="Souce Sans Pro" w:eastAsia="Souce Sans Pro" w:ascii="Souce Sans Pro"/>
                <w:sz w:val="18"/>
                <w:rtl w:val="0"/>
              </w:rPr>
              <w:t xml:space="preserve">Disponibilizar interface Web e Mobile para este software.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120" w:line="240" w:before="0"/>
        <w:ind w:left="36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b w:val="1"/>
          <w:sz w:val="18"/>
          <w:rtl w:val="0"/>
        </w:rPr>
        <w:t xml:space="preserve">Testes Necessários: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Verificar veracidade das informações através de acesso direto e exploratório ao banco de dado ou local de consulta dos dados de: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40" w:before="0"/>
        <w:ind w:left="216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Número de vagas para carros.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40" w:before="0"/>
        <w:ind w:left="216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Número de vagas para motos.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40" w:before="0"/>
        <w:ind w:left="216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Números de vagas para portadores de deficiência física.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40" w:before="0"/>
        <w:ind w:left="216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Identificação  de vagas indisponíveis.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40" w:before="0"/>
        <w:ind w:left="216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Agrupamento por código da área.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Utilização de Interface Web.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40" w:before="0"/>
        <w:ind w:left="216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Chrome.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40" w:before="0"/>
        <w:ind w:left="216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Firefox.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40" w:before="0"/>
        <w:ind w:left="216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Internet Explorer.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Utilização de Interface Mobile.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40" w:before="0"/>
        <w:ind w:left="216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Aplicativo Android.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 w:line="240" w:before="0"/>
        <w:ind w:left="720" w:hanging="359"/>
        <w:jc w:val="both"/>
        <w:rPr/>
      </w:pPr>
      <w:bookmarkStart w:id="1" w:colFirst="0" w:name="h.30j0zll" w:colLast="0"/>
      <w:bookmarkEnd w:id="1"/>
      <w:r w:rsidRPr="00000000" w:rsidR="00000000" w:rsidDel="00000000">
        <w:rPr>
          <w:rFonts w:cs="Tahoma" w:hAnsi="Tahoma" w:eastAsia="Tahoma" w:ascii="Tahoma"/>
          <w:b w:val="1"/>
          <w:smallCaps w:val="1"/>
          <w:sz w:val="22"/>
          <w:rtl w:val="0"/>
        </w:rPr>
        <w:t xml:space="preserve">Requisitos de negócio</w:t>
      </w:r>
      <w:r w:rsidRPr="00000000" w:rsidR="00000000" w:rsidDel="00000000">
        <w:rPr>
          <w:rtl w:val="0"/>
        </w:rPr>
      </w:r>
    </w:p>
    <w:tbl>
      <w:tblPr>
        <w:bidiVisual w:val="0"/>
        <w:tblW w:w="8460.0" w:type="dxa"/>
        <w:jc w:val="left"/>
        <w:tblBorders>
          <w:top w:color="c0c0c0" w:space="0" w:val="single" w:sz="4"/>
          <w:left w:color="c0c0c0" w:space="0" w:val="single" w:sz="4"/>
          <w:bottom w:color="c0c0c0" w:space="0" w:val="single" w:sz="4"/>
          <w:right w:color="c0c0c0" w:space="0" w:val="single" w:sz="4"/>
          <w:insideH w:color="c0c0c0" w:space="0" w:val="single" w:sz="4"/>
          <w:insideV w:color="c0c0c0" w:space="0" w:val="single" w:sz="4"/>
        </w:tblBorders>
        <w:tblLayout w:type="fixed"/>
      </w:tblPr>
      <w:tblGrid>
        <w:gridCol w:w="864"/>
        <w:gridCol w:w="7596"/>
        <w:gridCol w:w="305"/>
        <w:gridCol w:w="305"/>
      </w:tblGrid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20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20"/>
                <w:rtl w:val="0"/>
              </w:rPr>
              <w:t xml:space="preserve">Requisitos de negócio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18"/>
                <w:rtl w:val="0"/>
              </w:rPr>
              <w:t xml:space="preserve">RqN001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ind w:left="288" w:hanging="359"/>
              <w:contextualSpacing w:val="0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18"/>
                <w:rtl w:val="0"/>
              </w:rPr>
              <w:t xml:space="preserve">Gerenciar áreas e vagas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60" w:before="60"/>
              <w:ind w:left="648" w:hanging="359"/>
              <w:rPr>
                <w:sz w:val="18"/>
              </w:rPr>
            </w:pPr>
            <w:r w:rsidRPr="00000000" w:rsidR="00000000" w:rsidDel="00000000">
              <w:rPr>
                <w:rFonts w:cs="Souce Sans Pro" w:hAnsi="Souce Sans Pro" w:eastAsia="Souce Sans Pro" w:ascii="Souce Sans Pro"/>
                <w:sz w:val="18"/>
                <w:rtl w:val="0"/>
              </w:rPr>
              <w:t xml:space="preserve">Cadastrar áreas de estacionamento.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60" w:before="60"/>
              <w:ind w:left="648" w:hanging="359"/>
              <w:rPr>
                <w:sz w:val="18"/>
              </w:rPr>
            </w:pPr>
            <w:r w:rsidRPr="00000000" w:rsidR="00000000" w:rsidDel="00000000">
              <w:rPr>
                <w:rFonts w:cs="Souce Sans Pro" w:hAnsi="Souce Sans Pro" w:eastAsia="Souce Sans Pro" w:ascii="Souce Sans Pro"/>
                <w:sz w:val="18"/>
                <w:rtl w:val="0"/>
              </w:rPr>
              <w:t xml:space="preserve">Cadastrar vagas para estas áreas.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60" w:before="60"/>
              <w:ind w:left="648" w:hanging="359"/>
              <w:rPr>
                <w:sz w:val="18"/>
              </w:rPr>
            </w:pPr>
            <w:r w:rsidRPr="00000000" w:rsidR="00000000" w:rsidDel="00000000">
              <w:rPr>
                <w:rFonts w:cs="Souce Sans Pro" w:hAnsi="Souce Sans Pro" w:eastAsia="Souce Sans Pro" w:ascii="Souce Sans Pro"/>
                <w:sz w:val="18"/>
                <w:rtl w:val="0"/>
              </w:rPr>
              <w:t xml:space="preserve">Ligar vagas com software controlador de sensores de estacionamento.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18"/>
                <w:rtl w:val="0"/>
              </w:rPr>
              <w:t xml:space="preserve">RqN002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ind w:left="288" w:hanging="359"/>
              <w:contextualSpacing w:val="0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18"/>
                <w:rtl w:val="0"/>
              </w:rPr>
              <w:t xml:space="preserve">Manter vagas atualizadas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60" w:before="60"/>
              <w:ind w:left="648" w:hanging="359"/>
              <w:rPr>
                <w:sz w:val="18"/>
              </w:rPr>
            </w:pPr>
            <w:r w:rsidRPr="00000000" w:rsidR="00000000" w:rsidDel="00000000">
              <w:rPr>
                <w:rFonts w:cs="Souce Sans Pro" w:hAnsi="Souce Sans Pro" w:eastAsia="Souce Sans Pro" w:ascii="Souce Sans Pro"/>
                <w:sz w:val="18"/>
                <w:rtl w:val="0"/>
              </w:rPr>
              <w:t xml:space="preserve">Buscar no software controlador de sensores de estacionamento os estados das vagas.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60" w:before="60"/>
              <w:ind w:left="648" w:hanging="359"/>
              <w:rPr>
                <w:sz w:val="18"/>
              </w:rPr>
            </w:pPr>
            <w:r w:rsidRPr="00000000" w:rsidR="00000000" w:rsidDel="00000000">
              <w:rPr>
                <w:rFonts w:cs="Souce Sans Pro" w:hAnsi="Souce Sans Pro" w:eastAsia="Souce Sans Pro" w:ascii="Souce Sans Pro"/>
                <w:sz w:val="18"/>
                <w:rtl w:val="0"/>
              </w:rPr>
              <w:t xml:space="preserve">Atualizar a base de dados com estados das vagas.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60" w:before="60"/>
              <w:ind w:left="64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18"/>
                <w:rtl w:val="0"/>
              </w:rPr>
              <w:t xml:space="preserve">RqN003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ind w:left="288" w:hanging="359"/>
              <w:contextualSpacing w:val="0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18"/>
                <w:rtl w:val="0"/>
              </w:rPr>
              <w:t xml:space="preserve">Exibir vagas disponíveis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60" w:before="60"/>
              <w:ind w:left="648" w:hanging="359"/>
              <w:rPr>
                <w:sz w:val="18"/>
              </w:rPr>
            </w:pPr>
            <w:r w:rsidRPr="00000000" w:rsidR="00000000" w:rsidDel="00000000">
              <w:rPr>
                <w:rFonts w:cs="Souce Sans Pro" w:hAnsi="Souce Sans Pro" w:eastAsia="Souce Sans Pro" w:ascii="Souce Sans Pro"/>
                <w:sz w:val="18"/>
                <w:rtl w:val="0"/>
              </w:rPr>
              <w:t xml:space="preserve">Exibir somatório geral de vagas disponíveis por área.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60" w:before="60"/>
              <w:ind w:left="648" w:hanging="359"/>
              <w:rPr>
                <w:sz w:val="18"/>
              </w:rPr>
            </w:pPr>
            <w:r w:rsidRPr="00000000" w:rsidR="00000000" w:rsidDel="00000000">
              <w:rPr>
                <w:rFonts w:cs="Souce Sans Pro" w:hAnsi="Souce Sans Pro" w:eastAsia="Souce Sans Pro" w:ascii="Souce Sans Pro"/>
                <w:sz w:val="18"/>
                <w:rtl w:val="0"/>
              </w:rPr>
              <w:t xml:space="preserve">Exibir lista de vagas disponíveis de acordo com a área selecionada.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60" w:before="60"/>
              <w:ind w:left="64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120" w:line="240" w:before="0"/>
        <w:ind w:left="36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b w:val="1"/>
          <w:sz w:val="18"/>
          <w:rtl w:val="0"/>
        </w:rPr>
        <w:t xml:space="preserve">Testes Necessários: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b w:val="1"/>
          <w:sz w:val="18"/>
          <w:rtl w:val="0"/>
        </w:rPr>
        <w:t xml:space="preserve">RqN001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40" w:before="0"/>
        <w:ind w:left="216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Cadastramento de áreas de estacionamento.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40" w:before="0"/>
        <w:ind w:left="288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Inclusão.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40" w:before="0"/>
        <w:ind w:left="288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Alteração.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40" w:before="0"/>
        <w:ind w:left="288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Exclusão.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40" w:before="0"/>
        <w:ind w:left="216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Cadastramento de Vagas.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40" w:before="0"/>
        <w:ind w:left="288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Inclusão.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40" w:before="0"/>
        <w:ind w:left="288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Alteração.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40" w:before="0"/>
        <w:ind w:left="288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Exclusão.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40" w:before="0"/>
        <w:ind w:left="216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Vinculação de vagas a identificação da vaga do software de controle de vagas.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40" w:before="0"/>
        <w:ind w:left="288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Inclusão.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40" w:before="0"/>
        <w:ind w:left="288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Alteração.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40" w:before="0"/>
        <w:ind w:left="288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Exclusão.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b w:val="1"/>
          <w:sz w:val="18"/>
          <w:rtl w:val="0"/>
        </w:rPr>
        <w:t xml:space="preserve">RqN002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40" w:before="0"/>
        <w:ind w:left="216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Buscar no software controlador de sensores de estacionamento os estados das vagas.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40" w:before="0"/>
        <w:ind w:left="288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Verificar a veracidade das informações diretamente no banco de dados/local dos dados dos sensores.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40" w:before="0"/>
        <w:ind w:left="288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Testar atualização dos dados das vagas.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40" w:before="0"/>
        <w:ind w:left="288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Testar tempo de atualização das vagas.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40" w:before="0"/>
        <w:ind w:left="216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Atualizar a base de dados com estados das vagas.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40" w:before="0"/>
        <w:ind w:left="288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Verificar a veracidade das informações diretamente no banco de dados do aplicativo.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40" w:before="0"/>
        <w:ind w:left="288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Testar atualização dos dados das vagas no banco da aplicação.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40" w:before="0"/>
        <w:ind w:left="288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Testar tempo de atualização das vagas no banco da aplicação.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b w:val="1"/>
          <w:sz w:val="18"/>
          <w:rtl w:val="0"/>
        </w:rPr>
        <w:t xml:space="preserve">RqN003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40" w:before="0"/>
        <w:ind w:left="216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Exibir somatório geral de vagas disponíveis por área.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40" w:before="0"/>
        <w:ind w:left="288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Teste de acesso ás informações.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40" w:before="0"/>
        <w:ind w:left="288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Teste de alteração/atualização das informações.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40" w:before="0"/>
        <w:ind w:left="288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Teste de consulta das informações diretamente no banco de dados..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40" w:before="0"/>
        <w:ind w:left="216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Exibir lista de vagas disponíveis de acordo com a área selecionada.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40" w:before="0"/>
        <w:ind w:left="288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Teste de acesso as informação.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40" w:before="0"/>
        <w:ind w:left="288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Teste de alteração/atualização das informações.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40" w:before="0"/>
        <w:ind w:left="288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Teste de consulta das informações diretamente no banco de dados.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120" w:line="240" w:before="0"/>
        <w:ind w:left="720" w:hanging="359"/>
        <w:jc w:val="both"/>
        <w:rPr/>
      </w:pPr>
      <w:bookmarkStart w:id="2" w:colFirst="0" w:name="h.1fob9te" w:colLast="0"/>
      <w:bookmarkEnd w:id="2"/>
      <w:r w:rsidRPr="00000000" w:rsidR="00000000" w:rsidDel="00000000">
        <w:rPr>
          <w:rFonts w:cs="Tahoma" w:hAnsi="Tahoma" w:eastAsia="Tahoma" w:ascii="Tahoma"/>
          <w:b w:val="1"/>
          <w:smallCaps w:val="1"/>
          <w:sz w:val="22"/>
          <w:rtl w:val="0"/>
        </w:rPr>
        <w:t xml:space="preserve">Regras de negócio</w:t>
      </w:r>
      <w:r w:rsidRPr="00000000" w:rsidR="00000000" w:rsidDel="00000000">
        <w:rPr>
          <w:rtl w:val="0"/>
        </w:rPr>
      </w:r>
    </w:p>
    <w:tbl>
      <w:tblPr>
        <w:bidiVisual w:val="0"/>
        <w:tblW w:w="8460.0" w:type="dxa"/>
        <w:jc w:val="left"/>
        <w:tblBorders>
          <w:top w:color="c0c0c0" w:space="0" w:val="single" w:sz="4"/>
          <w:left w:color="c0c0c0" w:space="0" w:val="single" w:sz="4"/>
          <w:bottom w:color="c0c0c0" w:space="0" w:val="single" w:sz="4"/>
          <w:right w:color="c0c0c0" w:space="0" w:val="single" w:sz="4"/>
          <w:insideH w:color="c0c0c0" w:space="0" w:val="single" w:sz="4"/>
          <w:insideV w:color="c0c0c0" w:space="0" w:val="single" w:sz="4"/>
        </w:tblBorders>
        <w:tblLayout w:type="fixed"/>
      </w:tblPr>
      <w:tblGrid>
        <w:gridCol w:w="860"/>
        <w:gridCol w:w="864"/>
        <w:gridCol w:w="6736"/>
      </w:tblGrid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20"/>
                <w:rtl w:val="0"/>
              </w:rPr>
              <w:t xml:space="preserve">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20"/>
                <w:rtl w:val="0"/>
              </w:rPr>
              <w:t xml:space="preserve">RqN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  <w:jc w:val="center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20"/>
                <w:rtl w:val="0"/>
              </w:rPr>
              <w:t xml:space="preserve">Regra de negócio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18"/>
                <w:rtl w:val="0"/>
              </w:rPr>
              <w:t xml:space="preserve">RgN001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18"/>
                <w:rtl w:val="0"/>
              </w:rPr>
              <w:t xml:space="preserve">RqN001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Souce Sans Pro" w:hAnsi="Souce Sans Pro" w:eastAsia="Souce Sans Pro" w:ascii="Souce Sans Pro"/>
                <w:sz w:val="18"/>
                <w:rtl w:val="0"/>
              </w:rPr>
              <w:t xml:space="preserve">Permitir identificar vagas para Motos, Automóveis ou Portadores de Necessidades Especiais.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18"/>
                <w:rtl w:val="0"/>
              </w:rPr>
              <w:t xml:space="preserve">RgN002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18"/>
                <w:rtl w:val="0"/>
              </w:rPr>
              <w:t xml:space="preserve">RqN001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Souce Sans Pro" w:hAnsi="Souce Sans Pro" w:eastAsia="Souce Sans Pro" w:ascii="Souce Sans Pro"/>
                <w:sz w:val="18"/>
                <w:rtl w:val="0"/>
              </w:rPr>
              <w:t xml:space="preserve">Permitir desativar temporariamente vagas.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18"/>
                <w:rtl w:val="0"/>
              </w:rPr>
              <w:t xml:space="preserve">RgN003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18"/>
                <w:rtl w:val="0"/>
              </w:rPr>
              <w:t xml:space="preserve">RqN002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Souce Sans Pro" w:hAnsi="Souce Sans Pro" w:eastAsia="Souce Sans Pro" w:ascii="Souce Sans Pro"/>
                <w:sz w:val="18"/>
                <w:rtl w:val="0"/>
              </w:rPr>
              <w:t xml:space="preserve">Permitir configurar o tempo do processo de atualização de vagas.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18"/>
                <w:rtl w:val="0"/>
              </w:rPr>
              <w:t xml:space="preserve">RgN004</w:t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Souce Sans Pro" w:hAnsi="Souce Sans Pro" w:eastAsia="Souce Sans Pro" w:ascii="Souce Sans Pro"/>
                <w:b w:val="1"/>
                <w:sz w:val="18"/>
                <w:rtl w:val="0"/>
              </w:rPr>
              <w:t xml:space="preserve">RqN003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15.0" w:type="dxa"/>
              <w:bottom w:w="100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Souce Sans Pro" w:hAnsi="Souce Sans Pro" w:eastAsia="Souce Sans Pro" w:ascii="Souce Sans Pro"/>
                <w:sz w:val="18"/>
                <w:rtl w:val="0"/>
              </w:rPr>
              <w:t xml:space="preserve">Exibir versão MOBILE quando acessado por dispositivos móveis.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b w:val="1"/>
          <w:sz w:val="18"/>
          <w:rtl w:val="0"/>
        </w:rPr>
        <w:t xml:space="preserve">Testes Necessários: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40" w:before="0"/>
        <w:ind w:left="144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b w:val="1"/>
          <w:sz w:val="18"/>
          <w:rtl w:val="0"/>
        </w:rPr>
        <w:t xml:space="preserve">RgN001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40" w:before="0"/>
        <w:ind w:left="216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Cadastramento de ares de estacionamento.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after="0" w:line="240" w:before="0"/>
        <w:ind w:left="2880" w:hanging="359"/>
        <w:contextualSpacing w:val="1"/>
        <w:jc w:val="left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Inclusão.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Fonts w:cs="Souce Sans Pro" w:hAnsi="Souce Sans Pro" w:eastAsia="Souce Sans Pro" w:ascii="Souce Sans Pro"/>
          <w:b w:val="1"/>
          <w:sz w:val="18"/>
          <w:rtl w:val="0"/>
        </w:rPr>
        <w:t xml:space="preserve">RgN002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rFonts w:cs="Souce Sans Pro" w:hAnsi="Souce Sans Pro" w:eastAsia="Souce Sans Pro" w:ascii="Souce Sans Pro"/>
          <w:sz w:val="18"/>
          <w:u w:val="none"/>
        </w:rPr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Fonts w:cs="Souce Sans Pro" w:hAnsi="Souce Sans Pro" w:eastAsia="Souce Sans Pro" w:ascii="Souce Sans Pro"/>
          <w:b w:val="1"/>
          <w:sz w:val="18"/>
          <w:rtl w:val="0"/>
        </w:rPr>
        <w:t xml:space="preserve">RgN003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Teste de taxa de atualização.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rFonts w:cs="Souce Sans Pro" w:hAnsi="Souce Sans Pro" w:eastAsia="Souce Sans Pro" w:ascii="Souce Sans Pro"/>
          <w:sz w:val="18"/>
          <w:u w:val="none"/>
        </w:rPr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Testar ociosidade de vagas.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rFonts w:cs="Souce Sans Pro" w:hAnsi="Souce Sans Pro" w:eastAsia="Souce Sans Pro" w:ascii="Souce Sans Pro"/>
          <w:sz w:val="18"/>
          <w:u w:val="none"/>
        </w:rPr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Teste de stress com tempo mínimo.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Fonts w:cs="Souce Sans Pro" w:hAnsi="Souce Sans Pro" w:eastAsia="Souce Sans Pro" w:ascii="Souce Sans Pro"/>
          <w:b w:val="1"/>
          <w:sz w:val="18"/>
          <w:rtl w:val="0"/>
        </w:rPr>
        <w:t xml:space="preserve">RgN004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Teste de concorrência.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rFonts w:cs="Souce Sans Pro" w:hAnsi="Souce Sans Pro" w:eastAsia="Souce Sans Pro" w:ascii="Souce Sans Pro"/>
          <w:sz w:val="18"/>
          <w:u w:val="none"/>
        </w:rPr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Acesso por múltiplas versões do SO.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rFonts w:cs="Souce Sans Pro" w:hAnsi="Souce Sans Pro" w:eastAsia="Souce Sans Pro" w:ascii="Souce Sans Pro"/>
          <w:sz w:val="18"/>
          <w:u w:val="none"/>
        </w:rPr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Acesso a mesma instância de vaga por diferentes dispositivos.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rFonts w:cs="Souce Sans Pro" w:hAnsi="Souce Sans Pro" w:eastAsia="Souce Sans Pro" w:ascii="Souce Sans Pro"/>
          <w:sz w:val="18"/>
          <w:u w:val="none"/>
        </w:rPr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Teste com diferentes resoluções de exibição.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rFonts w:cs="Souce Sans Pro" w:hAnsi="Souce Sans Pro" w:eastAsia="Souce Sans Pro" w:ascii="Souce Sans Pro"/>
          <w:sz w:val="18"/>
          <w:u w:val="none"/>
        </w:rPr>
      </w:pPr>
      <w:r w:rsidRPr="00000000" w:rsidR="00000000" w:rsidDel="00000000">
        <w:rPr>
          <w:rFonts w:cs="Souce Sans Pro" w:hAnsi="Souce Sans Pro" w:eastAsia="Souce Sans Pro" w:ascii="Souce Sans Pro"/>
          <w:sz w:val="18"/>
          <w:rtl w:val="0"/>
        </w:rPr>
        <w:t xml:space="preserve">Teste de regionalização com diferentes configurações de hora e idioma.</w:t>
      </w:r>
    </w:p>
    <w:sectPr>
      <w:pgSz w:w="11906" w:h="16838"/>
      <w:pgMar w:left="1701" w:right="1134" w:top="1701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ahoma"/>
  <w:font w:name="Souce Sans Pro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2">
    <w:lvl w:ilvl="0">
      <w:start w:val="1"/>
      <w:numFmt w:val="decimal"/>
      <w:lvlText w:val="%1."/>
      <w:lvlJc w:val="left"/>
      <w:pPr>
        <w:ind w:left="648" w:firstLine="288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368" w:firstLine="1008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088" w:firstLine="1728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08" w:firstLine="2448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528" w:firstLine="3168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248" w:firstLine="3888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968" w:firstLine="4608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688" w:firstLine="5328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08" w:firstLine="6048"/>
      </w:pPr>
      <w:rPr>
        <w:rFonts w:cs="Arial" w:hAnsi="Arial" w:eastAsia="Arial" w:ascii="Arial"/>
      </w:rPr>
    </w:lvl>
  </w:abstractNum>
  <w:abstractNum w:abstractNumId="3">
    <w:lvl w:ilvl="0">
      <w:start w:val="1"/>
      <w:numFmt w:val="decimal"/>
      <w:lvlText w:val="%1."/>
      <w:lvlJc w:val="left"/>
      <w:pPr>
        <w:ind w:left="648" w:firstLine="288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368" w:firstLine="1008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088" w:firstLine="1728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08" w:firstLine="2448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528" w:firstLine="3168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248" w:firstLine="3888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968" w:firstLine="4608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688" w:firstLine="5328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08" w:firstLine="6048"/>
      </w:pPr>
      <w:rPr>
        <w:rFonts w:cs="Arial" w:hAnsi="Arial" w:eastAsia="Arial" w:ascii="Arial"/>
      </w:rPr>
    </w:lvl>
  </w:abstractNum>
  <w:abstractNum w:abstractNumId="4">
    <w:lvl w:ilvl="0">
      <w:start w:val="1"/>
      <w:numFmt w:val="decimal"/>
      <w:lvlText w:val="%1."/>
      <w:lvlJc w:val="left"/>
      <w:pPr>
        <w:ind w:left="648" w:firstLine="288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368" w:firstLine="1008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088" w:firstLine="1728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08" w:firstLine="2448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528" w:firstLine="3168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248" w:firstLine="3888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968" w:firstLine="4608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688" w:firstLine="5328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08" w:firstLine="6048"/>
      </w:pPr>
      <w:rPr>
        <w:rFonts w:cs="Arial" w:hAnsi="Arial" w:eastAsia="Arial" w:ascii="Arial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decimal"/>
      <w:lvlText w:val="%1.%2"/>
      <w:lvlJc w:val="left"/>
      <w:pPr>
        <w:ind w:left="1080" w:firstLine="360"/>
      </w:pPr>
      <w:rPr>
        <w:rFonts w:cs="Arial" w:hAnsi="Arial" w:eastAsia="Arial" w:ascii="Arial"/>
      </w:rPr>
    </w:lvl>
    <w:lvl w:ilvl="2">
      <w:start w:val="1"/>
      <w:numFmt w:val="decimal"/>
      <w:lvlText w:val="%1.%2.%3"/>
      <w:lvlJc w:val="left"/>
      <w:pPr>
        <w:ind w:left="1080" w:firstLine="360"/>
      </w:pPr>
      <w:rPr>
        <w:rFonts w:cs="Arial" w:hAnsi="Arial" w:eastAsia="Arial" w:ascii="Arial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rFonts w:cs="Arial" w:hAnsi="Arial" w:eastAsia="Arial" w:ascii="Arial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rFonts w:cs="Arial" w:hAnsi="Arial" w:eastAsia="Arial" w:ascii="Arial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rFonts w:cs="Arial" w:hAnsi="Arial" w:eastAsia="Arial" w:ascii="Arial"/>
      </w:rPr>
    </w:lvl>
    <w:lvl w:ilvl="6">
      <w:start w:val="1"/>
      <w:numFmt w:val="decimal"/>
      <w:lvlText w:val="%1.%2.%3.%4.%5.%6.%7"/>
      <w:lvlJc w:val="left"/>
      <w:pPr>
        <w:ind w:left="2160" w:firstLine="360"/>
      </w:pPr>
      <w:rPr>
        <w:rFonts w:cs="Arial" w:hAnsi="Arial" w:eastAsia="Arial" w:ascii="Arial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rFonts w:cs="Arial" w:hAnsi="Arial" w:eastAsia="Arial" w:ascii="Arial"/>
      </w:rPr>
    </w:lvl>
    <w:lvl w:ilvl="8">
      <w:start w:val="1"/>
      <w:numFmt w:val="decimal"/>
      <w:lvlText w:val="%1.%2.%3.%4.%5.%6.%7.%8.%9"/>
      <w:lvlJc w:val="left"/>
      <w:pPr>
        <w:ind w:left="2520" w:firstLine="36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line="240" w:before="0"/>
      <w:ind w:left="720" w:right="0" w:hanging="359"/>
      <w:jc w:val="both"/>
    </w:pPr>
    <w:rPr>
      <w:rFonts w:cs="Tahoma" w:hAnsi="Tahoma" w:eastAsia="Tahoma" w:ascii="Tahoma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testes_smartparking.docx</dc:title>
</cp:coreProperties>
</file>