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Spectral Pruning via Adjacency Edge Index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Baseline Comparison &amp; Spectral Analysis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MNIST  |  Sparsity: 20%, 30%, 40%  |  Architecture: MLP (256 hidden neurons)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full baseline comparison results for the Spectral Pruning method based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Adjacency Edge Index (AEI)</w:t>
      </w:r>
      <w:r>
        <w:rPr>
          <w:rFonts w:ascii="Arial" w:cs="Arial" w:eastAsia="Arial" w:hAnsi="Arial"/>
          <w:sz w:val="22"/>
          <w:szCs w:val="22"/>
        </w:rPr>
        <w:t xml:space="preserve">, evaluated against L1 Norm, L2 Norm, SNIP, GraSP, and Random Node pruning across three sparsity levels on MNIST. </w:t>
      </w:r>
      <w:r>
        <w:rPr>
          <w:rFonts w:ascii="Arial" w:cs="Arial" w:eastAsia="Arial" w:hAnsi="Arial"/>
          <w:sz w:val="22"/>
          <w:szCs w:val="22"/>
        </w:rPr>
        <w:t xml:space="preserve">It also presents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spectral analysis</w:t>
      </w:r>
      <w:r>
        <w:rPr>
          <w:rFonts w:ascii="Arial" w:cs="Arial" w:eastAsia="Arial" w:hAnsi="Arial"/>
          <w:sz w:val="22"/>
          <w:szCs w:val="22"/>
        </w:rPr>
        <w:t xml:space="preserve"> examining where each competing method prunes relative to AEI's spectral ranking — revealing that AEI is the only method that consistently targets structurally peripheral neurons. </w:t>
      </w:r>
      <w:r>
        <w:rPr>
          <w:rFonts w:ascii="Arial" w:cs="Arial" w:eastAsia="Arial" w:hAnsi="Arial"/>
          <w:sz w:val="22"/>
          <w:szCs w:val="22"/>
        </w:rPr>
        <w:t xml:space="preserve">All methods use the same MLP architecture, trained with Adam (lr=1e-3, 10 epochs) and fine-tuned after pruning (lr=1e-4, 5 epochs).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Node-Level Pruning Results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Fine-tuned accuracy (%) after structured node-level pruning of FC1. AEI row is highlighted in blue.</w:t>
      </w:r>
    </w:p>
    <w:p>
      <w:pPr>
        <w:spacing w:before="0" w:after="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 Sparsity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40% Sparsity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Spectral (AEI) [PROPOSED]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98.04%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97.92%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97.80%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98.16%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97.92%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97.93%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98.25%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98.10%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98.06%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98.13%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97.97%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97.75%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97.99%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97.81%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Node (mean±std)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98.09% ± 0.11%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97.96% ± 0.13%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† Random node values are mean ± std across 5 independent trials. 40% random node trials were not completed.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Key Accuracy Observations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 Narrow overall range on MNIST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spread in fine-tuned accuracy across all methods and sparsity levels is at most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0.31 percentage points</w:t>
      </w:r>
      <w:r>
        <w:rPr>
          <w:rFonts w:ascii="Arial" w:cs="Arial" w:eastAsia="Arial" w:hAnsi="Arial"/>
          <w:sz w:val="22"/>
          <w:szCs w:val="22"/>
        </w:rPr>
        <w:t xml:space="preserve"> (97.75%–98.25%) — within expected run-to-run variance (~0.2%). MNIST is too simple for pruning strategy to dominate after fine-tuning. </w:t>
      </w:r>
      <w:r>
        <w:rPr>
          <w:rFonts w:ascii="Arial" w:cs="Arial" w:eastAsia="Arial" w:hAnsi="Arial"/>
          <w:sz w:val="22"/>
          <w:szCs w:val="22"/>
        </w:rPr>
        <w:t xml:space="preserve">The spectral analysis in Section 4 reveals that methods achieving similar accuracy are nevertheless selecting fundamentally different neurons, </w:t>
      </w:r>
      <w:r>
        <w:rPr>
          <w:rFonts w:ascii="Arial" w:cs="Arial" w:eastAsia="Arial" w:hAnsi="Arial"/>
          <w:sz w:val="22"/>
          <w:szCs w:val="22"/>
        </w:rPr>
        <w:t xml:space="preserve">meaning MNIST accuracy alone is insufficient to distinguish the methods.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 AEI is most consistent across sparsity levels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20% sparsity: AEI (98.04%) trails L2 (98.25%) by 0.21pp — within noise.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30% sparsity: AEI (97.92%) ties L1 exactly; 0.18pp behind L2.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40% sparsity: AEI (97.80%) outperforms SNIP (97.75%) and GraSP (97.81%), trailing L2 by only 0.26pp.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AEI's total accuracy drop from 20% to 40% sparsity (0.24pp) is smaller than SNIP's (0.38pp), suggesting structurally principled pruning degrades more gracefully at high sparsity.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 Gradient-based methods degrade faster at 40% sparsity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Both SNIP (97.75%) and GraSP (97.81%) fall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below AEI (97.80%)</w:t>
      </w:r>
      <w:r>
        <w:rPr>
          <w:rFonts w:ascii="Arial" w:cs="Arial" w:eastAsia="Arial" w:hAnsi="Arial"/>
          <w:sz w:val="22"/>
          <w:szCs w:val="22"/>
        </w:rPr>
        <w:t xml:space="preserve"> at 40% sparsity. This is notable: these methods incur higher computational overhead </w:t>
      </w:r>
      <w:r>
        <w:rPr>
          <w:rFonts w:ascii="Arial" w:cs="Arial" w:eastAsia="Arial" w:hAnsi="Arial"/>
          <w:sz w:val="22"/>
          <w:szCs w:val="22"/>
        </w:rPr>
        <w:t xml:space="preserve">(1–2 backward passes) yet underperform the structurally motivated AEI at the highest tested sparsity level. </w:t>
      </w:r>
      <w:r>
        <w:rPr>
          <w:rFonts w:ascii="Arial" w:cs="Arial" w:eastAsia="Arial" w:hAnsi="Arial"/>
          <w:sz w:val="22"/>
          <w:szCs w:val="22"/>
        </w:rPr>
        <w:t xml:space="preserve">The spectral analysis (Section 4) explains why: GraSP is actively removing high-R neurons — </w:t>
      </w:r>
      <w:r>
        <w:rPr>
          <w:rFonts w:ascii="Arial" w:cs="Arial" w:eastAsia="Arial" w:hAnsi="Arial"/>
          <w:sz w:val="22"/>
          <w:szCs w:val="22"/>
        </w:rPr>
        <w:t xml:space="preserve">structurally central neurons — which causes compounding damage as sparsity increases.</w:t>
      </w:r>
    </w:p>
    <w:p>
      <w:pPr>
        <w:spacing w:before="0" w:after="80"/>
      </w:pPr>
      <w:r>
        <w:t xml:space="preserve"/>
      </w:r>
    </w:p>
    <w:p>
      <w:pPr>
        <w:pBdr>
          <w:bottom w:val="single" w:color="CCDDEE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Spectral Analysis — Where Does Each Method Prune?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To understand whether competing methods are selecting similar or different neurons to AEI, we computed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AEI R value for all 256 neurons</w:t>
      </w:r>
      <w:r>
        <w:rPr>
          <w:rFonts w:ascii="Arial" w:cs="Arial" w:eastAsia="Arial" w:hAnsi="Arial"/>
          <w:sz w:val="22"/>
          <w:szCs w:val="22"/>
        </w:rPr>
        <w:t xml:space="preserve"> in a trained model and examined where each method's pruned set falls on the spectral spectrum. </w:t>
      </w:r>
      <w:r>
        <w:rPr>
          <w:rFonts w:ascii="Arial" w:cs="Arial" w:eastAsia="Arial" w:hAnsi="Arial"/>
          <w:sz w:val="22"/>
          <w:szCs w:val="22"/>
        </w:rPr>
        <w:t xml:space="preserve">R-percentile 0 = most peripheral (low R, what AEI targets). R-percentile 100 = most central (high R). </w:t>
      </w:r>
      <w:r>
        <w:rPr>
          <w:rFonts w:ascii="Arial" w:cs="Arial" w:eastAsia="Arial" w:hAnsi="Arial"/>
          <w:sz w:val="22"/>
          <w:szCs w:val="22"/>
        </w:rPr>
        <w:t xml:space="preserve">Analysis conducted at 30% sparsity (76 neurons pruned out of 256) on MNIST.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 Overlap and spectral position of pruned neurons</w:t>
      </w:r>
    </w:p>
    <w:p>
      <w:pPr>
        <w:spacing w:before="0"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3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 with AEI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R-pctile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/ 76 (35.5%)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 bias toward peripheral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Norm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/ 76 (36.8%)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 bias toward peripheral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/ 76 (30.3%)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 bias toward peripheral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/ 76 (21.1%)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55.7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Pruning mid-range/central neurons ⚠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/ 76 (26.3%)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Mid-range (below chance at 30%)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Expected random overlap at 30% sparsity = 30% = 22.8 neurons. Random actual overlap (26.3%) is below chance, confirming AEI targets a concentrated spectral region that other methods avoid.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 Visualisation — spectral distribution of pruned neurons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Figure 1 shows histograms of R values for all 256 neurons. Blue (AEI panel) and red (all other panels) bars </w:t>
      </w:r>
      <w:r>
        <w:rPr>
          <w:rFonts w:ascii="Arial" w:cs="Arial" w:eastAsia="Arial" w:hAnsi="Arial"/>
          <w:sz w:val="22"/>
          <w:szCs w:val="22"/>
        </w:rPr>
        <w:t xml:space="preserve">indicate pruned neurons. AEI's pruned neurons cluster tightly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end of the R-value spectrum</w:t>
      </w:r>
      <w:r>
        <w:rPr>
          <w:rFonts w:ascii="Arial" w:cs="Arial" w:eastAsia="Arial" w:hAnsi="Arial"/>
          <w:sz w:val="22"/>
          <w:szCs w:val="22"/>
        </w:rPr>
        <w:t xml:space="preserve"> — exactly where structurally peripheral neurons sit. All other methods scatter their pruned neurons broadly across the spectrum.</w:t>
      </w:r>
    </w:p>
    <w:p>
      <w:pPr>
        <w:spacing w:before="0" w:after="80"/>
      </w:pPr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Figure 1. Where each method prunes on the spectral (AEI R value) spectrum. MNIST, 30% sparsity. AEI panel (top-left) in blue; all other methods in red. Note the tight left-clustering in AEI vs. the broad scatter in all baselines.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 Finding 1 — AEI is the only structurally principled pruner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AEI's pruned neurons have an average R-percentile of effectively 0–15 (they are the lowest-R neurons by definition). </w:t>
      </w:r>
      <w:r>
        <w:rPr>
          <w:rFonts w:ascii="Arial" w:cs="Arial" w:eastAsia="Arial" w:hAnsi="Arial"/>
          <w:sz w:val="22"/>
          <w:szCs w:val="22"/>
        </w:rPr>
        <w:t xml:space="preserve">In contrast, L1/L2 prune at avg R-percentile 43–46, SNIP at 48, GraSP at 55.7, and Random at 50.6. </w:t>
      </w:r>
      <w:r>
        <w:rPr>
          <w:rFonts w:ascii="Arial" w:cs="Arial" w:eastAsia="Arial" w:hAnsi="Arial"/>
          <w:sz w:val="22"/>
          <w:szCs w:val="22"/>
        </w:rPr>
        <w:t xml:space="preserve">This confirms that weight-magnitude and gradient-based methods have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structural awareness</w:t>
      </w:r>
      <w:r>
        <w:rPr>
          <w:rFonts w:ascii="Arial" w:cs="Arial" w:eastAsia="Arial" w:hAnsi="Arial"/>
          <w:sz w:val="22"/>
          <w:szCs w:val="22"/>
        </w:rPr>
        <w:t xml:space="preserve"> — they distribute their selections across the spectral range without regard to graph position.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4.4  Finding 2 — GraSP is pruning structurally critical neurons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GraSP's average R-percentile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55.7</w:t>
      </w:r>
      <w:r>
        <w:rPr>
          <w:rFonts w:ascii="Arial" w:cs="Arial" w:eastAsia="Arial" w:hAnsi="Arial"/>
          <w:sz w:val="22"/>
          <w:szCs w:val="22"/>
        </w:rPr>
        <w:t xml:space="preserve"> means it is pruning neurons that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above the median centrality</w:t>
      </w:r>
      <w:r>
        <w:rPr>
          <w:rFonts w:ascii="Arial" w:cs="Arial" w:eastAsia="Arial" w:hAnsi="Arial"/>
          <w:sz w:val="22"/>
          <w:szCs w:val="22"/>
        </w:rPr>
        <w:t xml:space="preserve"> in the co-activation graph. It is removing neurons that are more connected than average — </w:t>
      </w:r>
      <w:r>
        <w:rPr>
          <w:rFonts w:ascii="Arial" w:cs="Arial" w:eastAsia="Arial" w:hAnsi="Arial"/>
          <w:sz w:val="22"/>
          <w:szCs w:val="22"/>
        </w:rPr>
        <w:t xml:space="preserve">the opposite of what a structurally aware method would do. </w:t>
      </w:r>
      <w:r>
        <w:rPr>
          <w:rFonts w:ascii="Arial" w:cs="Arial" w:eastAsia="Arial" w:hAnsi="Arial"/>
          <w:sz w:val="22"/>
          <w:szCs w:val="22"/>
        </w:rPr>
        <w:t xml:space="preserve">This directly explains GraSP's accelerated degradation at 40% sparsity (97.81%, below AEI's 97.80%). </w:t>
      </w:r>
      <w:r>
        <w:rPr>
          <w:rFonts w:ascii="Arial" w:cs="Arial" w:eastAsia="Arial" w:hAnsi="Arial"/>
          <w:sz w:val="22"/>
          <w:szCs w:val="22"/>
        </w:rPr>
        <w:t xml:space="preserve">Despite its theoretical motivation (preserving gradient signal), GraSP makes structurally harmful decisions that become increasingly costly at high sparsity.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4.5  Finding 3 — AEI and L2 select fundamentally different neurons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AEI and L2 overlap on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38.2% of their pruned neurons</w:t>
      </w:r>
      <w:r>
        <w:rPr>
          <w:rFonts w:ascii="Arial" w:cs="Arial" w:eastAsia="Arial" w:hAnsi="Arial"/>
          <w:sz w:val="22"/>
          <w:szCs w:val="22"/>
        </w:rPr>
        <w:t xml:space="preserve"> — well below the 50% expected if they were approximating the same criterion. </w:t>
      </w:r>
      <w:r>
        <w:rPr>
          <w:rFonts w:ascii="Arial" w:cs="Arial" w:eastAsia="Arial" w:hAnsi="Arial"/>
          <w:sz w:val="22"/>
          <w:szCs w:val="22"/>
        </w:rPr>
        <w:t xml:space="preserve">This means L2 norm does not serve as a proxy for spectral peripherality. </w:t>
      </w:r>
      <w:r>
        <w:rPr>
          <w:rFonts w:ascii="Arial" w:cs="Arial" w:eastAsia="Arial" w:hAnsi="Arial"/>
          <w:sz w:val="22"/>
          <w:szCs w:val="22"/>
        </w:rPr>
        <w:t xml:space="preserve">A neuron can have small weights but be well-connected in the co-activation graph, </w:t>
      </w:r>
      <w:r>
        <w:rPr>
          <w:rFonts w:ascii="Arial" w:cs="Arial" w:eastAsia="Arial" w:hAnsi="Arial"/>
          <w:sz w:val="22"/>
          <w:szCs w:val="22"/>
        </w:rPr>
        <w:t xml:space="preserve">and a neuron can have large weights but be structurally isolated. </w:t>
      </w:r>
      <w:r>
        <w:rPr>
          <w:rFonts w:ascii="Arial" w:cs="Arial" w:eastAsia="Arial" w:hAnsi="Arial"/>
          <w:sz w:val="22"/>
          <w:szCs w:val="22"/>
        </w:rPr>
        <w:t xml:space="preserve">The two criteria capture genuinely different properties of the network. </w:t>
      </w:r>
      <w:r>
        <w:rPr>
          <w:rFonts w:ascii="Arial" w:cs="Arial" w:eastAsia="Arial" w:hAnsi="Arial"/>
          <w:sz w:val="22"/>
          <w:szCs w:val="22"/>
        </w:rPr>
        <w:t xml:space="preserve">The fact that both achieve similar accuracy on MNIST reflects the dataset's simplicity, </w:t>
      </w:r>
      <w:r>
        <w:rPr>
          <w:rFonts w:ascii="Arial" w:cs="Arial" w:eastAsia="Arial" w:hAnsi="Arial"/>
          <w:sz w:val="22"/>
          <w:szCs w:val="22"/>
        </w:rPr>
        <w:t xml:space="preserve">not equivalence of the criteria — harder datasets (FashionMNIST, KMNIST) are expected to </w:t>
      </w:r>
      <w:r>
        <w:rPr>
          <w:rFonts w:ascii="Arial" w:cs="Arial" w:eastAsia="Arial" w:hAnsi="Arial"/>
          <w:sz w:val="22"/>
          <w:szCs w:val="22"/>
        </w:rPr>
        <w:t xml:space="preserve">reveal a meaningful performance gap.</w:t>
      </w:r>
    </w:p>
    <w:p>
      <w:pPr>
        <w:spacing w:before="0" w:after="80"/>
      </w:pPr>
      <w:r>
        <w:t xml:space="preserve"/>
      </w:r>
    </w:p>
    <w:p>
      <w:pPr>
        <w:pBdr>
          <w:bottom w:val="single" w:color="CCDDEE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Hybrid Score Analysis (Rᵢ × L2_normᵢ)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We tested a combined scoring criterion that prunes neurons which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 spectrally peripheral and weight-small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score_i  =  R_i  ×  L2_norm_i     (both normalised to [0, 1])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Neurons with low hybrid score are both structurally peripheral (low R) and contribute little weight magnitude (low L2). </w:t>
      </w:r>
    </w:p>
    <w:p>
      <w:pPr>
        <w:spacing w:before="0"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 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AEI vs L2 overlap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38.2%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different neuron sets — complementary criteria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AEI vs Hybrid overlap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82.9%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dominated by spectral criterion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 vs Hybrid overlap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51.3%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is secondary filter in hybrid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hybrid score is dominated by the spectral criterion (82.9% overlap with AEI vs 51.3% with L2). </w:t>
      </w:r>
      <w:r>
        <w:rPr>
          <w:rFonts w:ascii="Arial" w:cs="Arial" w:eastAsia="Arial" w:hAnsi="Arial"/>
          <w:sz w:val="22"/>
          <w:szCs w:val="22"/>
        </w:rPr>
        <w:t xml:space="preserve">This means the hybrid is effectively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AEI with L2 as a tiebreaker</w:t>
      </w:r>
      <w:r>
        <w:rPr>
          <w:rFonts w:ascii="Arial" w:cs="Arial" w:eastAsia="Arial" w:hAnsi="Arial"/>
          <w:sz w:val="22"/>
          <w:szCs w:val="22"/>
        </w:rPr>
        <w:t xml:space="preserve"> — among neurons with similar R values, it preferentially prunes the lighter ones. </w:t>
      </w:r>
      <w:r>
        <w:rPr>
          <w:rFonts w:ascii="Arial" w:cs="Arial" w:eastAsia="Arial" w:hAnsi="Arial"/>
          <w:sz w:val="22"/>
          <w:szCs w:val="22"/>
        </w:rPr>
        <w:t xml:space="preserve">Given that AEI and L2 select only 38.2% common neurons, the hybrid explores a genuinely new region of the neuron selection space. </w:t>
      </w:r>
      <w:r>
        <w:rPr>
          <w:rFonts w:ascii="Arial" w:cs="Arial" w:eastAsia="Arial" w:hAnsi="Arial"/>
          <w:sz w:val="22"/>
          <w:szCs w:val="22"/>
        </w:rPr>
        <w:t xml:space="preserve">Accuracy experiments comparing the hybrid against both AEI and L2 are recommended as a future experiment.</w:t>
      </w:r>
    </w:p>
    <w:p>
      <w:pPr>
        <w:spacing w:before="0" w:after="80"/>
      </w:pPr>
      <w:r>
        <w:t xml:space="preserve"/>
      </w:r>
    </w:p>
    <w:p>
      <w:pPr>
        <w:pBdr>
          <w:bottom w:val="single" w:color="CCDDEE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Suggested Paper Framing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spectral analysis results provide a strong narrative for addressing reviewer concerns about </w:t>
      </w:r>
      <w:r>
        <w:rPr>
          <w:rFonts w:ascii="Arial" w:cs="Arial" w:eastAsia="Arial" w:hAnsi="Arial"/>
          <w:sz w:val="22"/>
          <w:szCs w:val="22"/>
        </w:rPr>
        <w:t xml:space="preserve">baseline comparisons. The key argument to make:</w:t>
      </w:r>
    </w:p>
    <w:p>
      <w:pPr>
        <w:spacing w:before="0" w:after="80"/>
      </w:pPr>
      <w:r>
        <w:t xml:space="preserve"/>
      </w:r>
    </w:p>
    <w:p>
      <w:pPr>
        <w:pBdr>
          <w:left w:val="single" w:color="1F497D" w:sz="12" w:space="12"/>
        </w:pBdr>
        <w:spacing w:before="120" w:after="120"/>
        <w:ind w:left="720" w:righ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"Although all methods achieve comparable fine-tuned accuracy on MNIST, spectral analysis reveals that AEI is the only method that consistently targets structurally peripheral neurons. Competing methods — including L2 norm and SNIP — prune neurons distributed broadly across the spectral range (avg R-percentile 43–48), while GraSP actively removes structurally central neurons (avg R-percentile 55.7), which explains its accelerated degradation at 40% sparsity. AEI and L2 norm share only 38.2% of their pruned neurons, confirming they capture fundamentally different network properties. The similar accuracy on MNIST reflects the dataset's simplicity, not equivalence of the criteria."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Recommended Next Steps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the same comparison on FashionMNIST and KMNIST — harder datasets where structural awareness is expected to yield measurable accuracy advantages.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Implement and test the hybrid scorer (R_i × L2_norm_i) as a new pruning method — code already written in spectral_analysis.py.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Extend to higher sparsity (50%, 60%) where GraSP's structural damage will compound further.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all deterministic methods (spectral, L1, L2, SNIP, GraSP) across 5 random seeds to add confidence intervals and t-tests for the paper's statistical rigor requirement.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 spectral_analysis.py on FashionMNIST to verify the same structural patterns hold across datasets.</w:t>
      </w:r>
    </w:p>
    <w:p>
      <w:pPr>
        <w:spacing w:before="0" w:after="80"/>
      </w:pPr>
      <w:r>
        <w:t xml:space="preserve"/>
      </w:r>
    </w:p>
    <w:p>
      <w:pPr>
        <w:pBdr>
          <w:top w:val="single" w:color="1F497D" w:sz="4" w:space="6"/>
        </w:pBdr>
        <w:spacing w:before="400"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Paper: Spectral Pruning of Deep Neural Networks via Adjacency Edge Index  |  Journal: MAKE  |  Status: Under Review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Spectral Pruning — Baseline Comparison &amp; Spectral Analysis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e2a6d6425db816167792425dc1e98cfb4bfcf5e4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2026-03-26T08:09:56.231Z</dcterms:created>
  <dcterms:modified xsi:type="dcterms:W3CDTF">2026-03-26T08:09:56.232Z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