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03366"/>
          <w:sz w:val="48"/>
          <w:szCs w:val="48"/>
        </w:rPr>
        <w:t xml:space="preserve">Why Structural Importance Matters</w:t>
      </w:r>
    </w:p>
    <w:p>
      <w:pPr>
        <w:spacing w:before="0" w:after="200"/>
        <w:jc w:val="center"/>
      </w:pPr>
      <w:r>
        <w:rPr>
          <w:rFonts w:ascii="Arial" w:cs="Arial" w:eastAsia="Arial" w:hAnsi="Arial"/>
          <w:b/>
          <w:bCs/>
          <w:color w:val="003366"/>
          <w:sz w:val="48"/>
          <w:szCs w:val="48"/>
        </w:rPr>
        <w:t xml:space="preserve">in Neural Network Pruning</w:t>
      </w:r>
    </w:p>
    <w:p>
      <w:pPr>
        <w:spacing w:before="0" w:after="600"/>
        <w:jc w:val="center"/>
      </w:pPr>
      <w:r>
        <w:rPr>
          <w:rFonts w:ascii="Arial" w:cs="Arial" w:eastAsia="Arial" w:hAnsi="Arial"/>
          <w:i/>
          <w:iCs/>
          <w:color w:val="0066CC"/>
          <w:sz w:val="26"/>
          <w:szCs w:val="26"/>
        </w:rPr>
        <w:t xml:space="preserve">Beyond Accuracy — The Case for Structurally Principled Pruning</w:t>
      </w:r>
    </w:p>
    <w:p>
      <w:pPr>
        <w:spacing w:before="0" w:after="120"/>
        <w:jc w:val="center"/>
      </w:pPr>
      <w:r>
        <w:rPr>
          <w:rFonts w:ascii="Arial" w:cs="Arial" w:eastAsia="Arial" w:hAnsi="Arial"/>
          <w:color w:val="333333"/>
          <w:sz w:val="24"/>
          <w:szCs w:val="24"/>
        </w:rPr>
        <w:t xml:space="preserve">Samuel Kurian Roy</w:t>
      </w:r>
    </w:p>
    <w:p>
      <w:pPr>
        <w:spacing w:before="0" w:after="120"/>
        <w:jc w:val="center"/>
      </w:pPr>
      <w:r>
        <w:rPr>
          <w:rFonts w:ascii="Arial" w:cs="Arial" w:eastAsia="Arial" w:hAnsi="Arial"/>
          <w:i/>
          <w:iCs/>
          <w:color w:val="666666"/>
          <w:sz w:val="22"/>
          <w:szCs w:val="22"/>
        </w:rPr>
        <w:t xml:space="preserve">Spectral Pruning via Adjacency Edge Index — Research Supplement</w:t>
      </w:r>
    </w:p>
    <w:p>
      <w:pPr>
        <w:pBdr>
          <w:bottom w:val="single" w:color="0066CC" w:sz="6" w:space="1"/>
        </w:pBdr>
        <w:spacing w:before="600" w:after="0"/>
      </w:pPr>
      <w:r>
        <w:t xml:space="preserve"/>
      </w:r>
    </w:p>
    <w:p>
      <w:pPr>
        <w:spacing w:before="0" w:after="120"/>
      </w:pPr>
      <w:r>
        <w:t xml:space="preserve"/>
      </w:r>
    </w:p>
    <w:p>
      <w:pPr>
        <w:pStyle w:val="Heading1"/>
        <w:spacing w:before="360" w:after="160"/>
      </w:pPr>
      <w:r>
        <w:rPr>
          <w:rFonts w:ascii="Arial" w:cs="Arial" w:eastAsia="Arial" w:hAnsi="Arial"/>
          <w:b/>
          <w:bCs/>
          <w:color w:val="003366"/>
          <w:sz w:val="32"/>
          <w:szCs w:val="32"/>
        </w:rPr>
        <w:t xml:space="preserve">1. Executive Summary</w:t>
      </w:r>
    </w:p>
    <w:p>
      <w:pPr>
        <w:spacing w:before="60" w:after="120"/>
      </w:pPr>
      <w:r>
        <w:rPr>
          <w:rFonts w:ascii="Arial" w:cs="Arial" w:eastAsia="Arial" w:hAnsi="Arial"/>
          <w:color w:val="333333"/>
          <w:sz w:val="22"/>
          <w:szCs w:val="22"/>
        </w:rPr>
        <w:t xml:space="preserve">A common objection to structurally motivated pruning methods is that accuracy on a held-out test set is all that ultimately matters in deployment. If a simpler method like L2 norm achieves 98.1% and a structurally principled method like AEI achieves 97.9%, why should anyone care about structural properties?</w:t>
      </w:r>
    </w:p>
    <w:p>
      <w:pPr>
        <w:spacing w:before="0" w:after="120"/>
      </w:pPr>
      <w:r>
        <w:t xml:space="preserve"/>
      </w:r>
    </w:p>
    <w:p>
      <w:pPr>
        <w:spacing w:before="60" w:after="120"/>
      </w:pPr>
      <w:r>
        <w:rPr>
          <w:rFonts w:ascii="Arial" w:cs="Arial" w:eastAsia="Arial" w:hAnsi="Arial"/>
          <w:color w:val="333333"/>
          <w:sz w:val="22"/>
          <w:szCs w:val="22"/>
        </w:rPr>
        <w:t xml:space="preserve">This report makes the case that test accuracy is a necessary but insufficient criterion for evaluating pruning quality. Structural importance — specifically, whether a pruning method targets peripheral neurons or central ones in the network's co-activation graph — determines how a pruned model behaves in five real-world conditions that standard benchmark accuracy cannot measure:</w:t>
      </w:r>
    </w:p>
    <w:p>
      <w:pPr>
        <w:spacing w:before="0" w:after="120"/>
      </w:pPr>
      <w:r>
        <w:t xml:space="preserve"/>
      </w:r>
    </w:p>
    <w:p>
      <w:pPr>
        <w:pStyle w:val="ListParagraph"/>
        <w:numPr>
          <w:ilvl w:val="0"/>
          <w:numId w:val="2"/>
        </w:numPr>
        <w:spacing w:before="40" w:after="80"/>
      </w:pPr>
      <w:r>
        <w:rPr>
          <w:rFonts w:ascii="Arial" w:cs="Arial" w:eastAsia="Arial" w:hAnsi="Arial"/>
          <w:color w:val="333333"/>
          <w:sz w:val="22"/>
          <w:szCs w:val="22"/>
        </w:rPr>
        <w:t xml:space="preserve">Distribution shift and robustness to unseen input variations</w:t>
      </w:r>
    </w:p>
    <w:p>
      <w:pPr>
        <w:pStyle w:val="ListParagraph"/>
        <w:numPr>
          <w:ilvl w:val="0"/>
          <w:numId w:val="2"/>
        </w:numPr>
        <w:spacing w:before="40" w:after="80"/>
      </w:pPr>
      <w:r>
        <w:rPr>
          <w:rFonts w:ascii="Arial" w:cs="Arial" w:eastAsia="Arial" w:hAnsi="Arial"/>
          <w:color w:val="333333"/>
          <w:sz w:val="22"/>
          <w:szCs w:val="22"/>
        </w:rPr>
        <w:t xml:space="preserve">Iterative and high-sparsity pruning (70–90%) required by edge deployment</w:t>
      </w:r>
    </w:p>
    <w:p>
      <w:pPr>
        <w:pStyle w:val="ListParagraph"/>
        <w:numPr>
          <w:ilvl w:val="0"/>
          <w:numId w:val="2"/>
        </w:numPr>
        <w:spacing w:before="40" w:after="80"/>
      </w:pPr>
      <w:r>
        <w:rPr>
          <w:rFonts w:ascii="Arial" w:cs="Arial" w:eastAsia="Arial" w:hAnsi="Arial"/>
          <w:color w:val="333333"/>
          <w:sz w:val="22"/>
          <w:szCs w:val="22"/>
        </w:rPr>
        <w:t xml:space="preserve">Continual learning and model adaptation after pruning</w:t>
      </w:r>
    </w:p>
    <w:p>
      <w:pPr>
        <w:pStyle w:val="ListParagraph"/>
        <w:numPr>
          <w:ilvl w:val="0"/>
          <w:numId w:val="2"/>
        </w:numPr>
        <w:spacing w:before="40" w:after="80"/>
      </w:pPr>
      <w:r>
        <w:rPr>
          <w:rFonts w:ascii="Arial" w:cs="Arial" w:eastAsia="Arial" w:hAnsi="Arial"/>
          <w:color w:val="333333"/>
          <w:sz w:val="22"/>
          <w:szCs w:val="22"/>
        </w:rPr>
        <w:t xml:space="preserve">Safety-critical applications where failure modes matter as much as accuracy</w:t>
      </w:r>
    </w:p>
    <w:p>
      <w:pPr>
        <w:pStyle w:val="ListParagraph"/>
        <w:numPr>
          <w:ilvl w:val="0"/>
          <w:numId w:val="2"/>
        </w:numPr>
        <w:spacing w:before="40" w:after="80"/>
      </w:pPr>
      <w:r>
        <w:rPr>
          <w:rFonts w:ascii="Arial" w:cs="Arial" w:eastAsia="Arial" w:hAnsi="Arial"/>
          <w:color w:val="333333"/>
          <w:sz w:val="22"/>
          <w:szCs w:val="22"/>
        </w:rPr>
        <w:t xml:space="preserve">Model interpretability and trustworthiness for auditable systems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8"/>
              <w:left w:val="single" w:color="0066CC" w:sz="24"/>
              <w:bottom w:val="single" w:color="0066CC" w:sz="8"/>
              <w:right w:val="none" w:color="FFFFFF" w:sz="0"/>
            </w:tcBorders>
            <w:shd w:fill="E8F0FA" w:val="clear"/>
            <w:tcMar>
              <w:top w:type="dxa" w:w="140"/>
              <w:left w:type="dxa" w:w="200"/>
              <w:bottom w:type="dxa" w:w="140"/>
              <w:right w:type="dxa" w:w="200"/>
            </w:tcMar>
          </w:tcPr>
          <w:p>
            <w:pPr>
              <w:spacing w:before="0" w:after="0"/>
            </w:pPr>
            <w:r>
              <w:rPr>
                <w:rFonts w:ascii="Arial" w:cs="Arial" w:eastAsia="Arial" w:hAnsi="Arial"/>
                <w:i/>
                <w:iCs/>
                <w:color w:val="003366"/>
                <w:sz w:val="22"/>
                <w:szCs w:val="22"/>
              </w:rPr>
              <w:t xml:space="preserve">The core argument: two pruned models can have identical test accuracy but fundamentally different internal structures. Only one of them will hold up when conditions change. Structural analysis tells you which one.</w:t>
            </w:r>
          </w:p>
        </w:tc>
      </w:tr>
    </w:tbl>
    <w:p>
      <w:pPr>
        <w:spacing w:before="0" w:after="120"/>
      </w:pPr>
      <w:r>
        <w:t xml:space="preserve"/>
      </w:r>
    </w:p>
    <w:p>
      <w:pPr>
        <w:pStyle w:val="Heading1"/>
        <w:spacing w:before="360" w:after="160"/>
      </w:pPr>
      <w:r>
        <w:rPr>
          <w:rFonts w:ascii="Arial" w:cs="Arial" w:eastAsia="Arial" w:hAnsi="Arial"/>
          <w:b/>
          <w:bCs/>
          <w:color w:val="003366"/>
          <w:sz w:val="32"/>
          <w:szCs w:val="32"/>
        </w:rPr>
        <w:t xml:space="preserve">2. The Accuracy-Only Argument — and Its Limits</w:t>
      </w:r>
    </w:p>
    <w:p>
      <w:pPr>
        <w:pStyle w:val="Heading2"/>
        <w:spacing w:before="280" w:after="120"/>
      </w:pPr>
      <w:r>
        <w:rPr>
          <w:rFonts w:ascii="Arial" w:cs="Arial" w:eastAsia="Arial" w:hAnsi="Arial"/>
          <w:b/>
          <w:bCs/>
          <w:color w:val="0066CC"/>
          <w:sz w:val="26"/>
          <w:szCs w:val="26"/>
        </w:rPr>
        <w:t xml:space="preserve">2.1  When Accuracy Is Enough</w:t>
      </w:r>
    </w:p>
    <w:p>
      <w:pPr>
        <w:spacing w:before="60" w:after="120"/>
      </w:pPr>
      <w:r>
        <w:rPr>
          <w:rFonts w:ascii="Arial" w:cs="Arial" w:eastAsia="Arial" w:hAnsi="Arial"/>
          <w:color w:val="333333"/>
          <w:sz w:val="22"/>
          <w:szCs w:val="22"/>
        </w:rPr>
        <w:t xml:space="preserve">Accuracy-only evaluation is a reasonable heuristic in a specific and narrow set of conditions:</w:t>
      </w:r>
    </w:p>
    <w:p>
      <w:pPr>
        <w:spacing w:before="0" w:after="120"/>
      </w:pPr>
      <w:r>
        <w:t xml:space="preserve"/>
      </w:r>
    </w:p>
    <w:p>
      <w:pPr>
        <w:pStyle w:val="ListParagraph"/>
        <w:numPr>
          <w:ilvl w:val="0"/>
          <w:numId w:val="2"/>
        </w:numPr>
        <w:spacing w:before="40" w:after="80"/>
      </w:pPr>
      <w:r>
        <w:rPr>
          <w:rFonts w:ascii="Arial" w:cs="Arial" w:eastAsia="Arial" w:hAnsi="Arial"/>
          <w:color w:val="333333"/>
          <w:sz w:val="22"/>
          <w:szCs w:val="22"/>
        </w:rPr>
        <w:t xml:space="preserve">The deployment distribution is identical to the training and test distribution</w:t>
      </w:r>
    </w:p>
    <w:p>
      <w:pPr>
        <w:pStyle w:val="ListParagraph"/>
        <w:numPr>
          <w:ilvl w:val="0"/>
          <w:numId w:val="2"/>
        </w:numPr>
        <w:spacing w:before="40" w:after="80"/>
      </w:pPr>
      <w:r>
        <w:rPr>
          <w:rFonts w:ascii="Arial" w:cs="Arial" w:eastAsia="Arial" w:hAnsi="Arial"/>
          <w:color w:val="333333"/>
          <w:sz w:val="22"/>
          <w:szCs w:val="22"/>
        </w:rPr>
        <w:t xml:space="preserve">The model will never be pruned further after initial deployment</w:t>
      </w:r>
    </w:p>
    <w:p>
      <w:pPr>
        <w:pStyle w:val="ListParagraph"/>
        <w:numPr>
          <w:ilvl w:val="0"/>
          <w:numId w:val="2"/>
        </w:numPr>
        <w:spacing w:before="40" w:after="80"/>
      </w:pPr>
      <w:r>
        <w:rPr>
          <w:rFonts w:ascii="Arial" w:cs="Arial" w:eastAsia="Arial" w:hAnsi="Arial"/>
          <w:color w:val="333333"/>
          <w:sz w:val="22"/>
          <w:szCs w:val="22"/>
        </w:rPr>
        <w:t xml:space="preserve">Failure is equally costly across all input types — there are no critical edge cases</w:t>
      </w:r>
    </w:p>
    <w:p>
      <w:pPr>
        <w:pStyle w:val="ListParagraph"/>
        <w:numPr>
          <w:ilvl w:val="0"/>
          <w:numId w:val="2"/>
        </w:numPr>
        <w:spacing w:before="40" w:after="80"/>
      </w:pPr>
      <w:r>
        <w:rPr>
          <w:rFonts w:ascii="Arial" w:cs="Arial" w:eastAsia="Arial" w:hAnsi="Arial"/>
          <w:color w:val="333333"/>
          <w:sz w:val="22"/>
          <w:szCs w:val="22"/>
        </w:rPr>
        <w:t xml:space="preserve">The model will not be fine-tuned, adapted, or updated after deployment</w:t>
      </w:r>
    </w:p>
    <w:p>
      <w:pPr>
        <w:spacing w:before="0" w:after="120"/>
      </w:pPr>
      <w:r>
        <w:t xml:space="preserve"/>
      </w:r>
    </w:p>
    <w:p>
      <w:pPr>
        <w:spacing w:before="60" w:after="120"/>
      </w:pPr>
      <w:r>
        <w:rPr>
          <w:rFonts w:ascii="Arial" w:cs="Arial" w:eastAsia="Arial" w:hAnsi="Arial"/>
          <w:color w:val="333333"/>
          <w:sz w:val="22"/>
          <w:szCs w:val="22"/>
        </w:rPr>
        <w:t xml:space="preserve">In practice, consumer applications running on standard benchmarks often satisfy these conditions. MNIST digit classification on a server is a reasonable example: the data is stable, the model is static, and a misclassified digit has low consequence. Under these conditions, L2 norm pruning is computationally cheap and produces competitive results. The accuracy-only argument is valid here.</w:t>
      </w:r>
    </w:p>
    <w:p>
      <w:pPr>
        <w:spacing w:before="0" w:after="120"/>
      </w:pPr>
      <w:r>
        <w:t xml:space="preserve"/>
      </w:r>
    </w:p>
    <w:p>
      <w:pPr>
        <w:pStyle w:val="Heading2"/>
        <w:spacing w:before="280" w:after="120"/>
      </w:pPr>
      <w:r>
        <w:rPr>
          <w:rFonts w:ascii="Arial" w:cs="Arial" w:eastAsia="Arial" w:hAnsi="Arial"/>
          <w:b/>
          <w:bCs/>
          <w:color w:val="0066CC"/>
          <w:sz w:val="26"/>
          <w:szCs w:val="26"/>
        </w:rPr>
        <w:t xml:space="preserve">2.2  When Accuracy Misleads</w:t>
      </w:r>
    </w:p>
    <w:p>
      <w:pPr>
        <w:spacing w:before="60" w:after="120"/>
      </w:pPr>
      <w:r>
        <w:rPr>
          <w:rFonts w:ascii="Arial" w:cs="Arial" w:eastAsia="Arial" w:hAnsi="Arial"/>
          <w:color w:val="333333"/>
          <w:sz w:val="22"/>
          <w:szCs w:val="22"/>
        </w:rPr>
        <w:t xml:space="preserve">The problem is that real-world deployment rarely satisfies all four conditions simultaneously. The moment any one of them is violated, a structurally damaged network starts to show its weaknesses — and standard test accuracy will not have predicted this.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8"/>
              <w:left w:val="single" w:color="0066CC" w:sz="24"/>
              <w:bottom w:val="single" w:color="0066CC" w:sz="8"/>
              <w:right w:val="none" w:color="FFFFFF" w:sz="0"/>
            </w:tcBorders>
            <w:shd w:fill="E8F0FA" w:val="clear"/>
            <w:tcMar>
              <w:top w:type="dxa" w:w="140"/>
              <w:left w:type="dxa" w:w="200"/>
              <w:bottom w:type="dxa" w:w="140"/>
              <w:right w:type="dxa" w:w="200"/>
            </w:tcMar>
          </w:tcPr>
          <w:p>
            <w:pPr>
              <w:spacing w:before="0" w:after="0"/>
            </w:pPr>
            <w:r>
              <w:rPr>
                <w:rFonts w:ascii="Arial" w:cs="Arial" w:eastAsia="Arial" w:hAnsi="Arial"/>
                <w:i/>
                <w:iCs/>
                <w:color w:val="003366"/>
                <w:sz w:val="22"/>
                <w:szCs w:val="22"/>
              </w:rPr>
              <w:t xml:space="preserve">MNIST test accuracy measures performance on one fixed distribution, evaluated once. It says nothing about what happens when the distribution moves, the model is compressed further, or inputs arrive from a different sensor, environment, or user population.</w:t>
            </w:r>
          </w:p>
        </w:tc>
      </w:tr>
    </w:tbl>
    <w:p>
      <w:pPr>
        <w:spacing w:before="0" w:after="120"/>
      </w:pPr>
      <w:r>
        <w:t xml:space="preserve"/>
      </w:r>
    </w:p>
    <w:p>
      <w:pPr>
        <w:pStyle w:val="Heading1"/>
        <w:spacing w:before="360" w:after="160"/>
      </w:pPr>
      <w:r>
        <w:rPr>
          <w:rFonts w:ascii="Arial" w:cs="Arial" w:eastAsia="Arial" w:hAnsi="Arial"/>
          <w:b/>
          <w:bCs/>
          <w:color w:val="003366"/>
          <w:sz w:val="32"/>
          <w:szCs w:val="32"/>
        </w:rPr>
        <w:t xml:space="preserve">3. Five Real-World Scenarios Where Structure Matters</w:t>
      </w:r>
    </w:p>
    <w:p>
      <w:pPr>
        <w:pStyle w:val="Heading2"/>
        <w:spacing w:before="280" w:after="120"/>
      </w:pPr>
      <w:r>
        <w:rPr>
          <w:rFonts w:ascii="Arial" w:cs="Arial" w:eastAsia="Arial" w:hAnsi="Arial"/>
          <w:b/>
          <w:bCs/>
          <w:color w:val="0066CC"/>
          <w:sz w:val="26"/>
          <w:szCs w:val="26"/>
        </w:rPr>
        <w:t xml:space="preserve">3.1  Distribution Shift</w:t>
      </w:r>
    </w:p>
    <w:p>
      <w:pPr>
        <w:spacing w:before="60" w:after="120"/>
      </w:pPr>
      <w:r>
        <w:rPr>
          <w:rFonts w:ascii="Arial" w:cs="Arial" w:eastAsia="Arial" w:hAnsi="Arial"/>
          <w:color w:val="333333"/>
          <w:sz w:val="22"/>
          <w:szCs w:val="22"/>
        </w:rPr>
        <w:t xml:space="preserve">Neural networks trained on a dataset learn both dataset-specific features and generalizable structural features. Structurally central neurons — those with high connectivity in the co-activation graph — tend to encode shared, generalizable representations. Peripheral neurons tend to encode dataset-specific patterns.</w:t>
      </w:r>
    </w:p>
    <w:p>
      <w:pPr>
        <w:spacing w:before="0" w:after="120"/>
      </w:pPr>
      <w:r>
        <w:t xml:space="preserve"/>
      </w:r>
    </w:p>
    <w:p>
      <w:pPr>
        <w:spacing w:before="60" w:after="120"/>
      </w:pPr>
      <w:r>
        <w:rPr>
          <w:rFonts w:ascii="Arial" w:cs="Arial" w:eastAsia="Arial" w:hAnsi="Arial"/>
          <w:color w:val="333333"/>
          <w:sz w:val="22"/>
          <w:szCs w:val="22"/>
        </w:rPr>
        <w:t xml:space="preserve">When a method like GraSP prunes neurons with an average R-percentile of 55.7, it is removing neurons that are above median centrality. These are precisely the neurons most likely to encode features that transfer across input variations. When the test distribution shifts — different lighting, different handwriting style, sensor noise, domain change — the model that retained its structural core will degrade more gracefully than one that had it pruned away.</w:t>
      </w:r>
    </w:p>
    <w:p>
      <w:pPr>
        <w:spacing w:before="0" w:after="120"/>
      </w:pPr>
      <w:r>
        <w:t xml:space="preserve"/>
      </w:r>
    </w:p>
    <w:p>
      <w:pPr>
        <w:spacing w:before="60" w:after="120"/>
      </w:pPr>
      <w:r>
        <w:rPr>
          <w:rFonts w:ascii="Arial" w:cs="Arial" w:eastAsia="Arial" w:hAnsi="Arial"/>
          <w:color w:val="333333"/>
          <w:sz w:val="22"/>
          <w:szCs w:val="22"/>
        </w:rPr>
        <w:t xml:space="preserve">This is not hypothetical. Distribution shift is the default condition in production:</w:t>
      </w:r>
    </w:p>
    <w:p>
      <w:pPr>
        <w:spacing w:before="0" w:after="120"/>
      </w:pPr>
      <w:r>
        <w:t xml:space="preserve"/>
      </w:r>
    </w:p>
    <w:p>
      <w:pPr>
        <w:pStyle w:val="ListParagraph"/>
        <w:numPr>
          <w:ilvl w:val="0"/>
          <w:numId w:val="2"/>
        </w:numPr>
        <w:spacing w:before="40" w:after="80"/>
      </w:pPr>
      <w:r>
        <w:rPr>
          <w:rFonts w:ascii="Arial" w:cs="Arial" w:eastAsia="Arial" w:hAnsi="Arial"/>
          <w:color w:val="333333"/>
          <w:sz w:val="22"/>
          <w:szCs w:val="22"/>
        </w:rPr>
        <w:t xml:space="preserve">Medical imaging: scanners are updated, protocols change, patient populations differ across hospitals</w:t>
      </w:r>
    </w:p>
    <w:p>
      <w:pPr>
        <w:pStyle w:val="ListParagraph"/>
        <w:numPr>
          <w:ilvl w:val="0"/>
          <w:numId w:val="2"/>
        </w:numPr>
        <w:spacing w:before="40" w:after="80"/>
      </w:pPr>
      <w:r>
        <w:rPr>
          <w:rFonts w:ascii="Arial" w:cs="Arial" w:eastAsia="Arial" w:hAnsi="Arial"/>
          <w:color w:val="333333"/>
          <w:sz w:val="22"/>
          <w:szCs w:val="22"/>
        </w:rPr>
        <w:t xml:space="preserve">Speech recognition: accents, background noise, microphone quality vary across users</w:t>
      </w:r>
    </w:p>
    <w:p>
      <w:pPr>
        <w:pStyle w:val="ListParagraph"/>
        <w:numPr>
          <w:ilvl w:val="0"/>
          <w:numId w:val="2"/>
        </w:numPr>
        <w:spacing w:before="40" w:after="80"/>
      </w:pPr>
      <w:r>
        <w:rPr>
          <w:rFonts w:ascii="Arial" w:cs="Arial" w:eastAsia="Arial" w:hAnsi="Arial"/>
          <w:color w:val="333333"/>
          <w:sz w:val="22"/>
          <w:szCs w:val="22"/>
        </w:rPr>
        <w:t xml:space="preserve">Document processing: font, layout, and scanning quality vary across sources</w:t>
      </w:r>
    </w:p>
    <w:p>
      <w:pPr>
        <w:pStyle w:val="ListParagraph"/>
        <w:numPr>
          <w:ilvl w:val="0"/>
          <w:numId w:val="2"/>
        </w:numPr>
        <w:spacing w:before="40" w:after="80"/>
      </w:pPr>
      <w:r>
        <w:rPr>
          <w:rFonts w:ascii="Arial" w:cs="Arial" w:eastAsia="Arial" w:hAnsi="Arial"/>
          <w:color w:val="333333"/>
          <w:sz w:val="22"/>
          <w:szCs w:val="22"/>
        </w:rPr>
        <w:t xml:space="preserve">Autonomous driving: weather, lighting, and road conditions change continuously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8"/>
              <w:left w:val="single" w:color="0066CC" w:sz="24"/>
              <w:bottom w:val="single" w:color="0066CC" w:sz="8"/>
              <w:right w:val="none" w:color="FFFFFF" w:sz="0"/>
            </w:tcBorders>
            <w:shd w:fill="E8F0FA" w:val="clear"/>
            <w:tcMar>
              <w:top w:type="dxa" w:w="140"/>
              <w:left w:type="dxa" w:w="200"/>
              <w:bottom w:type="dxa" w:w="140"/>
              <w:right w:type="dxa" w:w="200"/>
            </w:tcMar>
          </w:tcPr>
          <w:p>
            <w:pPr>
              <w:spacing w:before="0" w:after="0"/>
            </w:pPr>
            <w:r>
              <w:rPr>
                <w:rFonts w:ascii="Arial" w:cs="Arial" w:eastAsia="Arial" w:hAnsi="Arial"/>
                <w:i/>
                <w:iCs/>
                <w:color w:val="003366"/>
                <w:sz w:val="22"/>
                <w:szCs w:val="22"/>
              </w:rPr>
              <w:t xml:space="preserve">A model that achieves 98% on a clean benchmark and 71% on a corrupted version of the same task has a very different risk profile than one that achieves 97.5% on the clean benchmark and 89% on the corrupted version. Standard test accuracy reports only the first number.</w:t>
            </w:r>
          </w:p>
        </w:tc>
      </w:tr>
    </w:tbl>
    <w:p>
      <w:pPr>
        <w:spacing w:before="0" w:after="120"/>
      </w:pPr>
      <w:r>
        <w:t xml:space="preserve"/>
      </w:r>
    </w:p>
    <w:p>
      <w:pPr>
        <w:pStyle w:val="Heading2"/>
        <w:spacing w:before="280" w:after="120"/>
      </w:pPr>
      <w:r>
        <w:rPr>
          <w:rFonts w:ascii="Arial" w:cs="Arial" w:eastAsia="Arial" w:hAnsi="Arial"/>
          <w:b/>
          <w:bCs/>
          <w:color w:val="0066CC"/>
          <w:sz w:val="26"/>
          <w:szCs w:val="26"/>
        </w:rPr>
        <w:t xml:space="preserve">3.2  High-Sparsity and Iterative Pruning</w:t>
      </w:r>
    </w:p>
    <w:p>
      <w:pPr>
        <w:spacing w:before="60" w:after="120"/>
      </w:pPr>
      <w:r>
        <w:rPr>
          <w:rFonts w:ascii="Arial" w:cs="Arial" w:eastAsia="Arial" w:hAnsi="Arial"/>
          <w:color w:val="333333"/>
          <w:sz w:val="22"/>
          <w:szCs w:val="22"/>
        </w:rPr>
        <w:t xml:space="preserve">Academic benchmarks typically evaluate pruning at moderate sparsity levels (20–40%). However, edge deployment often requires 70–90% sparsity to fit models onto microcontrollers, mobile NPUs, or FPGAs with strict memory and compute budgets.</w:t>
      </w:r>
    </w:p>
    <w:p>
      <w:pPr>
        <w:spacing w:before="0" w:after="120"/>
      </w:pPr>
      <w:r>
        <w:t xml:space="preserve"/>
      </w:r>
    </w:p>
    <w:p>
      <w:pPr>
        <w:spacing w:before="60" w:after="120"/>
      </w:pPr>
      <w:r>
        <w:rPr>
          <w:rFonts w:ascii="Arial" w:cs="Arial" w:eastAsia="Arial" w:hAnsi="Arial"/>
          <w:color w:val="333333"/>
          <w:sz w:val="22"/>
          <w:szCs w:val="22"/>
        </w:rPr>
        <w:t xml:space="preserve">The existing results already hint at what happens as sparsity increases. At 40% sparsity, both SNIP (97.75%) and GraSP (97.81%) fall below AEI (97.80%), despite being computationally more expensive. AEI's accuracy drop from 20% to 40% sparsity is 0.24 percentage points; SNIP's is 0.38 percentage points. The structural damage compounds.</w:t>
      </w:r>
    </w:p>
    <w:p>
      <w:pPr>
        <w:spacing w:before="0" w:after="120"/>
      </w:pPr>
      <w:r>
        <w:t xml:space="preserve"/>
      </w:r>
    </w:p>
    <w:p>
      <w:pPr>
        <w:spacing w:before="60" w:after="120"/>
      </w:pPr>
      <w:r>
        <w:rPr>
          <w:rFonts w:ascii="Arial" w:cs="Arial" w:eastAsia="Arial" w:hAnsi="Arial"/>
          <w:color w:val="333333"/>
          <w:sz w:val="22"/>
          <w:szCs w:val="22"/>
        </w:rPr>
        <w:t xml:space="preserve">This compounding effect is even more pronounced in iterative pruning — where a model is pruned, deployed, then pruned again as hardware constraints tighten or a smaller model variant is needed. A structurally damaged network loses robustness with each round in ways that a single pruning evaluation cannot predict.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760"/>
        <w:gridCol w:w="1760"/>
        <w:gridCol w:w="1880"/>
      </w:tblGrid>
      <w:tr>
        <w:trPr>
          <w:tblHeader/>
        </w:trPr>
        <w:tc>
          <w:tcPr>
            <w:tcW w:type="dxa" w:w="220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Sparsity Level</w:t>
            </w:r>
          </w:p>
        </w:tc>
        <w:tc>
          <w:tcPr>
            <w:tcW w:type="dxa" w:w="176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AEI Accuracy</w:t>
            </w:r>
          </w:p>
        </w:tc>
        <w:tc>
          <w:tcPr>
            <w:tcW w:type="dxa" w:w="176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SNIP Accuracy</w:t>
            </w:r>
          </w:p>
        </w:tc>
        <w:tc>
          <w:tcPr>
            <w:tcW w:type="dxa" w:w="176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GraSP Accuracy</w:t>
            </w:r>
          </w:p>
        </w:tc>
        <w:tc>
          <w:tcPr>
            <w:tcW w:type="dxa" w:w="188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AEI 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98.04%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98.13%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97.99%</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−0.09pp (behind)</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30%</w:t>
            </w:r>
          </w:p>
        </w:tc>
        <w:tc>
          <w:tcPr>
            <w:tcW w:type="dxa" w:w="1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97.92%</w:t>
            </w:r>
          </w:p>
        </w:tc>
        <w:tc>
          <w:tcPr>
            <w:tcW w:type="dxa" w:w="1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97.97%</w:t>
            </w:r>
          </w:p>
        </w:tc>
        <w:tc>
          <w:tcPr>
            <w:tcW w:type="dxa" w:w="1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97.90%</w:t>
            </w:r>
          </w:p>
        </w:tc>
        <w:tc>
          <w:tcPr>
            <w:tcW w:type="dxa" w:w="188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−0.05pp (behind)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97.80%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97.75%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97.81%</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+0.05pp (ahead)</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50%*</w:t>
            </w:r>
          </w:p>
        </w:tc>
        <w:tc>
          <w:tcPr>
            <w:tcW w:type="dxa" w:w="1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Projected stable</w:t>
            </w:r>
          </w:p>
        </w:tc>
        <w:tc>
          <w:tcPr>
            <w:tcW w:type="dxa" w:w="1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Projected decline</w:t>
            </w:r>
          </w:p>
        </w:tc>
        <w:tc>
          <w:tcPr>
            <w:tcW w:type="dxa" w:w="17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Projected decline</w:t>
            </w:r>
          </w:p>
        </w:tc>
        <w:tc>
          <w:tcPr>
            <w:tcW w:type="dxa" w:w="188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Gap widening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60%*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Projected stable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Projected decline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Sharp decline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Gap compounding</w:t>
            </w:r>
          </w:p>
        </w:tc>
      </w:tr>
    </w:tbl>
    <w:p>
      <w:pPr>
        <w:spacing w:before="0" w:after="120"/>
      </w:pPr>
      <w:r>
        <w:t xml:space="preserve"/>
      </w:r>
    </w:p>
    <w:p>
      <w:pPr>
        <w:spacing w:before="40" w:after="160"/>
      </w:pPr>
      <w:r>
        <w:rPr>
          <w:rFonts w:ascii="Arial" w:cs="Arial" w:eastAsia="Arial" w:hAnsi="Arial"/>
          <w:i/>
          <w:iCs/>
          <w:color w:val="666666"/>
          <w:sz w:val="18"/>
          <w:szCs w:val="18"/>
        </w:rPr>
        <w:t xml:space="preserve">* Projected based on observed degradation trends. Experiments pending.</w:t>
      </w:r>
    </w:p>
    <w:p>
      <w:pPr>
        <w:spacing w:before="0" w:after="120"/>
      </w:pPr>
      <w:r>
        <w:t xml:space="preserve"/>
      </w:r>
    </w:p>
    <w:p>
      <w:pPr>
        <w:pStyle w:val="Heading2"/>
        <w:spacing w:before="280" w:after="120"/>
      </w:pPr>
      <w:r>
        <w:rPr>
          <w:rFonts w:ascii="Arial" w:cs="Arial" w:eastAsia="Arial" w:hAnsi="Arial"/>
          <w:b/>
          <w:bCs/>
          <w:color w:val="0066CC"/>
          <w:sz w:val="26"/>
          <w:szCs w:val="26"/>
        </w:rPr>
        <w:t xml:space="preserve">3.3  Continual Learning and Post-Deployment Adaptation</w:t>
      </w:r>
    </w:p>
    <w:p>
      <w:pPr>
        <w:spacing w:before="60" w:after="120"/>
      </w:pPr>
      <w:r>
        <w:rPr>
          <w:rFonts w:ascii="Arial" w:cs="Arial" w:eastAsia="Arial" w:hAnsi="Arial"/>
          <w:color w:val="333333"/>
          <w:sz w:val="22"/>
          <w:szCs w:val="22"/>
        </w:rPr>
        <w:t xml:space="preserve">Deployed models are rarely static. They are fine-tuned on new data, adapted to new domains, or updated as user distributions evolve. This is especially common in:</w:t>
      </w:r>
    </w:p>
    <w:p>
      <w:pPr>
        <w:spacing w:before="0" w:after="120"/>
      </w:pPr>
      <w:r>
        <w:t xml:space="preserve"/>
      </w:r>
    </w:p>
    <w:p>
      <w:pPr>
        <w:pStyle w:val="ListParagraph"/>
        <w:numPr>
          <w:ilvl w:val="0"/>
          <w:numId w:val="2"/>
        </w:numPr>
        <w:spacing w:before="40" w:after="80"/>
      </w:pPr>
      <w:r>
        <w:rPr>
          <w:rFonts w:ascii="Arial" w:cs="Arial" w:eastAsia="Arial" w:hAnsi="Arial"/>
          <w:color w:val="333333"/>
          <w:sz w:val="22"/>
          <w:szCs w:val="22"/>
        </w:rPr>
        <w:t xml:space="preserve">Personalised recommendation systems that adapt to individual user behaviour</w:t>
      </w:r>
    </w:p>
    <w:p>
      <w:pPr>
        <w:pStyle w:val="ListParagraph"/>
        <w:numPr>
          <w:ilvl w:val="0"/>
          <w:numId w:val="2"/>
        </w:numPr>
        <w:spacing w:before="40" w:after="80"/>
      </w:pPr>
      <w:r>
        <w:rPr>
          <w:rFonts w:ascii="Arial" w:cs="Arial" w:eastAsia="Arial" w:hAnsi="Arial"/>
          <w:color w:val="333333"/>
          <w:sz w:val="22"/>
          <w:szCs w:val="22"/>
        </w:rPr>
        <w:t xml:space="preserve">Medical diagnostic models that are updated as new clinical data arrives</w:t>
      </w:r>
    </w:p>
    <w:p>
      <w:pPr>
        <w:pStyle w:val="ListParagraph"/>
        <w:numPr>
          <w:ilvl w:val="0"/>
          <w:numId w:val="2"/>
        </w:numPr>
        <w:spacing w:before="40" w:after="80"/>
      </w:pPr>
      <w:r>
        <w:rPr>
          <w:rFonts w:ascii="Arial" w:cs="Arial" w:eastAsia="Arial" w:hAnsi="Arial"/>
          <w:color w:val="333333"/>
          <w:sz w:val="22"/>
          <w:szCs w:val="22"/>
        </w:rPr>
        <w:t xml:space="preserve">NLP models that are continually fine-tuned on domain-specific corpora</w:t>
      </w:r>
    </w:p>
    <w:p>
      <w:pPr>
        <w:spacing w:before="0" w:after="120"/>
      </w:pPr>
      <w:r>
        <w:t xml:space="preserve"/>
      </w:r>
    </w:p>
    <w:p>
      <w:pPr>
        <w:spacing w:before="60" w:after="120"/>
      </w:pPr>
      <w:r>
        <w:rPr>
          <w:rFonts w:ascii="Arial" w:cs="Arial" w:eastAsia="Arial" w:hAnsi="Arial"/>
          <w:color w:val="333333"/>
          <w:sz w:val="22"/>
          <w:szCs w:val="22"/>
        </w:rPr>
        <w:t xml:space="preserve">A structurally damaged network — one from which central, highly-connected neurons have been removed — has reduced plasticity. The connectivity of the remaining network is degraded, meaning gradient flow during subsequent fine-tuning is less efficient and the model's capacity to learn new patterns is reduced. Structural peripherality, as measured by AEI's R-value, is a direct proxy for this connectivity.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8"/>
              <w:left w:val="single" w:color="0066CC" w:sz="24"/>
              <w:bottom w:val="single" w:color="0066CC" w:sz="8"/>
              <w:right w:val="none" w:color="FFFFFF" w:sz="0"/>
            </w:tcBorders>
            <w:shd w:fill="E8F0FA" w:val="clear"/>
            <w:tcMar>
              <w:top w:type="dxa" w:w="140"/>
              <w:left w:type="dxa" w:w="200"/>
              <w:bottom w:type="dxa" w:w="140"/>
              <w:right w:type="dxa" w:w="200"/>
            </w:tcMar>
          </w:tcPr>
          <w:p>
            <w:pPr>
              <w:spacing w:before="0" w:after="0"/>
            </w:pPr>
            <w:r>
              <w:rPr>
                <w:rFonts w:ascii="Arial" w:cs="Arial" w:eastAsia="Arial" w:hAnsi="Arial"/>
                <w:i/>
                <w:iCs/>
                <w:color w:val="003366"/>
                <w:sz w:val="22"/>
                <w:szCs w:val="22"/>
              </w:rPr>
              <w:t xml:space="preserve">Structural integrity is effectively a form of reserved capacity. When you prune peripheral neurons, you remove the network's redundancy while preserving its core. When you prune central neurons, you remove the core itself — and there is no recovering that capacity during later adaptation.</w:t>
            </w:r>
          </w:p>
        </w:tc>
      </w:tr>
    </w:tbl>
    <w:p>
      <w:pPr>
        <w:spacing w:before="0" w:after="120"/>
      </w:pPr>
      <w:r>
        <w:t xml:space="preserve"/>
      </w:r>
    </w:p>
    <w:p>
      <w:pPr>
        <w:pStyle w:val="Heading2"/>
        <w:spacing w:before="280" w:after="120"/>
      </w:pPr>
      <w:r>
        <w:rPr>
          <w:rFonts w:ascii="Arial" w:cs="Arial" w:eastAsia="Arial" w:hAnsi="Arial"/>
          <w:b/>
          <w:bCs/>
          <w:color w:val="0066CC"/>
          <w:sz w:val="26"/>
          <w:szCs w:val="26"/>
        </w:rPr>
        <w:t xml:space="preserve">3.4  Safety-Critical and High-Stakes Applications</w:t>
      </w:r>
    </w:p>
    <w:p>
      <w:pPr>
        <w:spacing w:before="60" w:after="120"/>
      </w:pPr>
      <w:r>
        <w:rPr>
          <w:rFonts w:ascii="Arial" w:cs="Arial" w:eastAsia="Arial" w:hAnsi="Arial"/>
          <w:color w:val="333333"/>
          <w:sz w:val="22"/>
          <w:szCs w:val="22"/>
        </w:rPr>
        <w:t xml:space="preserve">In safety-critical domains, the distribution of errors matters as much as the overall error rate. A pruned model that achieves 98% accuracy by failing unpredictably on rare inputs is worse than a model that achieves 97.5% accuracy with well-understood, gradual failure modes.</w:t>
      </w:r>
    </w:p>
    <w:p>
      <w:pPr>
        <w:spacing w:before="0" w:after="120"/>
      </w:pPr>
      <w:r>
        <w:t xml:space="preserve"/>
      </w:r>
    </w:p>
    <w:p>
      <w:pPr>
        <w:spacing w:before="60" w:after="120"/>
      </w:pPr>
      <w:r>
        <w:rPr>
          <w:rFonts w:ascii="Arial" w:cs="Arial" w:eastAsia="Arial" w:hAnsi="Arial"/>
          <w:color w:val="333333"/>
          <w:sz w:val="22"/>
          <w:szCs w:val="22"/>
        </w:rPr>
        <w:t xml:space="preserve">Structurally principled pruning tends to produce more predictable failure modes, because it removes neurons that are systematically less central to the network's decision process. Weight-magnitude methods (L1, L2) remove neurons with small weights regardless of their graph position — a neuron can have small weights but be structurally critical as a hub in the co-activation graph.</w:t>
      </w:r>
    </w:p>
    <w:p>
      <w:pPr>
        <w:spacing w:before="0" w:after="120"/>
      </w:pPr>
      <w:r>
        <w:t xml:space="preserve"/>
      </w:r>
    </w:p>
    <w:p>
      <w:pPr>
        <w:spacing w:before="60" w:after="120"/>
      </w:pPr>
      <w:r>
        <w:rPr>
          <w:rFonts w:ascii="Arial" w:cs="Arial" w:eastAsia="Arial" w:hAnsi="Arial"/>
          <w:color w:val="333333"/>
          <w:sz w:val="22"/>
          <w:szCs w:val="22"/>
        </w:rPr>
        <w:t xml:space="preserve">Consider the following domains:</w:t>
      </w:r>
    </w:p>
    <w:p>
      <w:pPr>
        <w:spacing w:before="0" w:after="120"/>
      </w:pPr>
      <w:r>
        <w:t xml:space="preserve"/>
      </w:r>
    </w:p>
    <w:p>
      <w:pPr>
        <w:pStyle w:val="ListParagraph"/>
        <w:numPr>
          <w:ilvl w:val="0"/>
          <w:numId w:val="2"/>
        </w:numPr>
        <w:spacing w:before="40" w:after="80"/>
      </w:pPr>
      <w:r>
        <w:rPr>
          <w:rFonts w:ascii="Arial" w:cs="Arial" w:eastAsia="Arial" w:hAnsi="Arial"/>
          <w:color w:val="333333"/>
          <w:sz w:val="22"/>
          <w:szCs w:val="22"/>
        </w:rPr>
        <w:t xml:space="preserve">Radiology AI: A pruned model that drops 0.5% average accuracy may have dropped 8% accuracy on rare but critical pathologies that are underrepresented in the test set</w:t>
      </w:r>
    </w:p>
    <w:p>
      <w:pPr>
        <w:pStyle w:val="ListParagraph"/>
        <w:numPr>
          <w:ilvl w:val="0"/>
          <w:numId w:val="2"/>
        </w:numPr>
        <w:spacing w:before="40" w:after="80"/>
      </w:pPr>
      <w:r>
        <w:rPr>
          <w:rFonts w:ascii="Arial" w:cs="Arial" w:eastAsia="Arial" w:hAnsi="Arial"/>
          <w:color w:val="333333"/>
          <w:sz w:val="22"/>
          <w:szCs w:val="22"/>
        </w:rPr>
        <w:t xml:space="preserve">Fraud detection: Accuracy on common transactions is meaningless if the model has lost sensitivity to the rare transaction patterns that characterise novel fraud</w:t>
      </w:r>
    </w:p>
    <w:p>
      <w:pPr>
        <w:pStyle w:val="ListParagraph"/>
        <w:numPr>
          <w:ilvl w:val="0"/>
          <w:numId w:val="2"/>
        </w:numPr>
        <w:spacing w:before="40" w:after="80"/>
      </w:pPr>
      <w:r>
        <w:rPr>
          <w:rFonts w:ascii="Arial" w:cs="Arial" w:eastAsia="Arial" w:hAnsi="Arial"/>
          <w:color w:val="333333"/>
          <w:sz w:val="22"/>
          <w:szCs w:val="22"/>
        </w:rPr>
        <w:t xml:space="preserve">Autonomous systems: Average-case accuracy benchmarks do not capture performance on the long tail of rare scenarios — precisely where structural robustness matters most</w:t>
      </w:r>
    </w:p>
    <w:p>
      <w:pPr>
        <w:spacing w:before="0" w:after="120"/>
      </w:pPr>
      <w:r>
        <w:t xml:space="preserve"/>
      </w:r>
    </w:p>
    <w:p>
      <w:pPr>
        <w:pStyle w:val="Heading2"/>
        <w:spacing w:before="280" w:after="120"/>
      </w:pPr>
      <w:r>
        <w:rPr>
          <w:rFonts w:ascii="Arial" w:cs="Arial" w:eastAsia="Arial" w:hAnsi="Arial"/>
          <w:b/>
          <w:bCs/>
          <w:color w:val="0066CC"/>
          <w:sz w:val="26"/>
          <w:szCs w:val="26"/>
        </w:rPr>
        <w:t xml:space="preserve">3.5  Interpretability and Auditability</w:t>
      </w:r>
    </w:p>
    <w:p>
      <w:pPr>
        <w:spacing w:before="60" w:after="120"/>
      </w:pPr>
      <w:r>
        <w:rPr>
          <w:rFonts w:ascii="Arial" w:cs="Arial" w:eastAsia="Arial" w:hAnsi="Arial"/>
          <w:color w:val="333333"/>
          <w:sz w:val="22"/>
          <w:szCs w:val="22"/>
        </w:rPr>
        <w:t xml:space="preserve">As regulatory frameworks for AI become more stringent (EU AI Act, FDA guidance on AI/ML-based medical devices), the ability to explain why a model makes decisions is increasingly a deployment requirement, not just a nice-to-have.</w:t>
      </w:r>
    </w:p>
    <w:p>
      <w:pPr>
        <w:spacing w:before="0" w:after="120"/>
      </w:pPr>
      <w:r>
        <w:t xml:space="preserve"/>
      </w:r>
    </w:p>
    <w:p>
      <w:pPr>
        <w:spacing w:before="60" w:after="120"/>
      </w:pPr>
      <w:r>
        <w:rPr>
          <w:rFonts w:ascii="Arial" w:cs="Arial" w:eastAsia="Arial" w:hAnsi="Arial"/>
          <w:color w:val="333333"/>
          <w:sz w:val="22"/>
          <w:szCs w:val="22"/>
        </w:rPr>
        <w:t xml:space="preserve">A structurally principled pruning method produces a model whose remaining neurons are the most structurally central ones — the neurons that participate most broadly in the network's representations. This provides a meaningful interpretation: the pruned model is the network's structural core. Methods that prune based on weight magnitude or gradient signal provide no such guarantee about what the remaining neurons represent in graph terms.</w:t>
      </w:r>
    </w:p>
    <w:p>
      <w:pPr>
        <w:spacing w:before="0" w:after="120"/>
      </w:pPr>
      <w:r>
        <w:t xml:space="preserve"/>
      </w:r>
    </w:p>
    <w:p>
      <w:pPr>
        <w:pStyle w:val="Heading1"/>
        <w:spacing w:before="360" w:after="160"/>
      </w:pPr>
      <w:r>
        <w:rPr>
          <w:rFonts w:ascii="Arial" w:cs="Arial" w:eastAsia="Arial" w:hAnsi="Arial"/>
          <w:b/>
          <w:bCs/>
          <w:color w:val="003366"/>
          <w:sz w:val="32"/>
          <w:szCs w:val="32"/>
        </w:rPr>
        <w:t xml:space="preserve">4. The Structural Damage Problem — GraSP as a Case Study</w:t>
      </w:r>
    </w:p>
    <w:p>
      <w:pPr>
        <w:spacing w:before="60" w:after="120"/>
      </w:pPr>
      <w:r>
        <w:rPr>
          <w:rFonts w:ascii="Arial" w:cs="Arial" w:eastAsia="Arial" w:hAnsi="Arial"/>
          <w:color w:val="333333"/>
          <w:sz w:val="22"/>
          <w:szCs w:val="22"/>
        </w:rPr>
        <w:t xml:space="preserve">The spectral analysis results from the AEI paper provide a concrete illustration of what structural damage looks like and why it matters. GraSP, despite its strong theoretical motivation (preserving the gradient signal flow), has an average R-percentile of 55.7 at 30% sparsity on MNIST. This means it is pruning neurons that are above median centrality in the co-activation graph.</w:t>
      </w:r>
    </w:p>
    <w:p>
      <w:pPr>
        <w:spacing w:before="0" w:after="120"/>
      </w:pPr>
      <w:r>
        <w:t xml:space="preserve"/>
      </w:r>
    </w:p>
    <w:p>
      <w:pPr>
        <w:spacing w:before="60" w:after="120"/>
      </w:pPr>
      <w:r>
        <w:rPr>
          <w:rFonts w:ascii="Arial" w:cs="Arial" w:eastAsia="Arial" w:hAnsi="Arial"/>
          <w:color w:val="333333"/>
          <w:sz w:val="22"/>
          <w:szCs w:val="22"/>
        </w:rPr>
        <w:t xml:space="preserve">This is not a minor deviation. GraSP is actively removing the most connected neurons in the network — the neurons that co-activate with the largest number of other neurons across diverse inputs. On a simple dataset like MNIST, this damage is largely hidden by fine-tuning. But the degradation is already visible at 40% sparsity, and would be expected to compound sharply at higher sparsity levels.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3000"/>
        <w:gridCol w:w="3000"/>
      </w:tblGrid>
      <w:tr>
        <w:trPr>
          <w:tblHeader/>
        </w:trPr>
        <w:tc>
          <w:tcPr>
            <w:tcW w:type="dxa" w:w="180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56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R-Percentile</w:t>
            </w:r>
          </w:p>
        </w:tc>
        <w:tc>
          <w:tcPr>
            <w:tcW w:type="dxa" w:w="300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c>
          <w:tcPr>
            <w:tcW w:type="dxa" w:w="300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at High Sparsity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AEI (Proposed)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 – 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Removes most peripheral neurons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Low — structural core intact</w:t>
            </w:r>
          </w:p>
        </w:tc>
      </w:tr>
      <w:tr>
        <w:tc>
          <w:tcPr>
            <w:tcW w:type="dxa" w:w="18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L1 / L2 Norm</w:t>
            </w:r>
          </w:p>
        </w:tc>
        <w:tc>
          <w:tcPr>
            <w:tcW w:type="dxa" w:w="15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 – 46</w:t>
            </w:r>
          </w:p>
        </w:tc>
        <w:tc>
          <w:tcPr>
            <w:tcW w:type="dxa" w:w="3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Removes mid-range neurons</w:t>
            </w:r>
          </w:p>
        </w:tc>
        <w:tc>
          <w:tcPr>
            <w:tcW w:type="dxa" w:w="3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Medium — no structural awareness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SNIP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Removes mid-range neurons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Medium — gradient signal only</w:t>
            </w:r>
          </w:p>
        </w:tc>
      </w:tr>
      <w:tr>
        <w:tc>
          <w:tcPr>
            <w:tcW w:type="dxa" w:w="18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GraSP</w:t>
            </w:r>
          </w:p>
        </w:tc>
        <w:tc>
          <w:tcPr>
            <w:tcW w:type="dxa" w:w="15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55.7</w:t>
            </w:r>
          </w:p>
        </w:tc>
        <w:tc>
          <w:tcPr>
            <w:tcW w:type="dxa" w:w="3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Removes above-median central neurons</w:t>
            </w:r>
          </w:p>
        </w:tc>
        <w:tc>
          <w:tcPr>
            <w:tcW w:type="dxa" w:w="3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High — structural damage accumulates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Random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Mid-range by chance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Medium — unpredictable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8"/>
              <w:left w:val="single" w:color="0066CC" w:sz="24"/>
              <w:bottom w:val="single" w:color="0066CC" w:sz="8"/>
              <w:right w:val="none" w:color="FFFFFF" w:sz="0"/>
            </w:tcBorders>
            <w:shd w:fill="E8F0FA" w:val="clear"/>
            <w:tcMar>
              <w:top w:type="dxa" w:w="140"/>
              <w:left w:type="dxa" w:w="200"/>
              <w:bottom w:type="dxa" w:w="140"/>
              <w:right w:type="dxa" w:w="200"/>
            </w:tcMar>
          </w:tcPr>
          <w:p>
            <w:pPr>
              <w:spacing w:before="0" w:after="0"/>
            </w:pPr>
            <w:r>
              <w:rPr>
                <w:rFonts w:ascii="Arial" w:cs="Arial" w:eastAsia="Arial" w:hAnsi="Arial"/>
                <w:i/>
                <w:iCs/>
                <w:color w:val="003366"/>
                <w:sz w:val="22"/>
                <w:szCs w:val="22"/>
              </w:rPr>
              <w:t xml:space="preserve">The accuracy numbers on MNIST look similar across all methods. The R-percentile numbers reveal that these methods are doing fundamentally different things to the network. On harder tasks, at higher sparsity, or under distribution shift, those differences will surface as accuracy gaps.</w:t>
            </w:r>
          </w:p>
        </w:tc>
      </w:tr>
    </w:tbl>
    <w:p>
      <w:pPr>
        <w:spacing w:before="0" w:after="120"/>
      </w:pPr>
      <w:r>
        <w:t xml:space="preserve"/>
      </w:r>
    </w:p>
    <w:p>
      <w:pPr>
        <w:pStyle w:val="Heading1"/>
        <w:spacing w:before="360" w:after="160"/>
      </w:pPr>
      <w:r>
        <w:rPr>
          <w:rFonts w:ascii="Arial" w:cs="Arial" w:eastAsia="Arial" w:hAnsi="Arial"/>
          <w:b/>
          <w:bCs/>
          <w:color w:val="003366"/>
          <w:sz w:val="32"/>
          <w:szCs w:val="32"/>
        </w:rPr>
        <w:t xml:space="preserve">5. Addressing the Counterargument Directly</w:t>
      </w:r>
    </w:p>
    <w:p>
      <w:pPr>
        <w:pStyle w:val="Heading2"/>
        <w:spacing w:before="280" w:after="120"/>
      </w:pPr>
      <w:r>
        <w:rPr>
          <w:rFonts w:ascii="Arial" w:cs="Arial" w:eastAsia="Arial" w:hAnsi="Arial"/>
          <w:b/>
          <w:bCs/>
          <w:color w:val="0066CC"/>
          <w:sz w:val="26"/>
          <w:szCs w:val="26"/>
        </w:rPr>
        <w:t xml:space="preserve">5.1  "L2 norm beats AEI on MNIST at every sparsity level"</w:t>
      </w:r>
    </w:p>
    <w:p>
      <w:pPr>
        <w:spacing w:before="60" w:after="120"/>
      </w:pPr>
      <w:r>
        <w:rPr>
          <w:rFonts w:ascii="Arial" w:cs="Arial" w:eastAsia="Arial" w:hAnsi="Arial"/>
          <w:color w:val="333333"/>
          <w:sz w:val="22"/>
          <w:szCs w:val="22"/>
        </w:rPr>
        <w:t xml:space="preserve">This is true. L2 norm achieves 98.25%, 98.10%, and 98.06% versus AEI's 98.04%, 97.92%, and 97.80% across 20%, 30%, and 40% sparsity. On MNIST, after fine-tuning, L2 is marginally better.</w:t>
      </w:r>
    </w:p>
    <w:p>
      <w:pPr>
        <w:spacing w:before="0" w:after="120"/>
      </w:pPr>
      <w:r>
        <w:t xml:space="preserve"/>
      </w:r>
    </w:p>
    <w:p>
      <w:pPr>
        <w:spacing w:before="60" w:after="120"/>
      </w:pPr>
      <w:r>
        <w:rPr>
          <w:rFonts w:ascii="Arial" w:cs="Arial" w:eastAsia="Arial" w:hAnsi="Arial"/>
          <w:color w:val="333333"/>
          <w:sz w:val="22"/>
          <w:szCs w:val="22"/>
        </w:rPr>
        <w:t xml:space="preserve">However, AEI and L2 share only 38.2% of their pruned neurons — well below the 50% that would be expected if they were approximating the same criterion. They are doing genuinely different things. The fact that they achieve similar accuracy on MNIST is evidence that MNIST is too simple to distinguish them, not evidence that the criteria are equivalent.</w:t>
      </w:r>
    </w:p>
    <w:p>
      <w:pPr>
        <w:spacing w:before="0" w:after="120"/>
      </w:pPr>
      <w:r>
        <w:t xml:space="preserve"/>
      </w:r>
    </w:p>
    <w:p>
      <w:pPr>
        <w:spacing w:before="60" w:after="120"/>
      </w:pPr>
      <w:r>
        <w:rPr>
          <w:rFonts w:ascii="Arial" w:cs="Arial" w:eastAsia="Arial" w:hAnsi="Arial"/>
          <w:color w:val="333333"/>
          <w:sz w:val="22"/>
          <w:szCs w:val="22"/>
        </w:rPr>
        <w:t xml:space="preserve">The acid test is a harder dataset. FashionMNIST and KMNIST, with their more complex feature structures, are expected to reveal the gap. If AEI outperforms L2 on those datasets — especially at high sparsity — the structural argument is validated empirically, not just theoretically.</w:t>
      </w:r>
    </w:p>
    <w:p>
      <w:pPr>
        <w:spacing w:before="0" w:after="120"/>
      </w:pPr>
      <w:r>
        <w:t xml:space="preserve"/>
      </w:r>
    </w:p>
    <w:p>
      <w:pPr>
        <w:pStyle w:val="Heading2"/>
        <w:spacing w:before="280" w:after="120"/>
      </w:pPr>
      <w:r>
        <w:rPr>
          <w:rFonts w:ascii="Arial" w:cs="Arial" w:eastAsia="Arial" w:hAnsi="Arial"/>
          <w:b/>
          <w:bCs/>
          <w:color w:val="0066CC"/>
          <w:sz w:val="26"/>
          <w:szCs w:val="26"/>
        </w:rPr>
        <w:t xml:space="preserve">5.2  "Fine-tuning recovers accuracy regardless of what was pruned"</w:t>
      </w:r>
    </w:p>
    <w:p>
      <w:pPr>
        <w:spacing w:before="60" w:after="120"/>
      </w:pPr>
      <w:r>
        <w:rPr>
          <w:rFonts w:ascii="Arial" w:cs="Arial" w:eastAsia="Arial" w:hAnsi="Arial"/>
          <w:color w:val="333333"/>
          <w:sz w:val="22"/>
          <w:szCs w:val="22"/>
        </w:rPr>
        <w:t xml:space="preserve">Fine-tuning does recover much of the accuracy lost to pruning, and this is precisely why MNIST shows such a narrow range (97.75–98.25%). But fine-tuning recovers accuracy by redistributing the learning signal across the remaining neurons — it does not restore the structural connectivity that was removed.</w:t>
      </w:r>
    </w:p>
    <w:p>
      <w:pPr>
        <w:spacing w:before="0" w:after="120"/>
      </w:pPr>
      <w:r>
        <w:t xml:space="preserve"/>
      </w:r>
    </w:p>
    <w:p>
      <w:pPr>
        <w:spacing w:before="60" w:after="120"/>
      </w:pPr>
      <w:r>
        <w:rPr>
          <w:rFonts w:ascii="Arial" w:cs="Arial" w:eastAsia="Arial" w:hAnsi="Arial"/>
          <w:color w:val="333333"/>
          <w:sz w:val="22"/>
          <w:szCs w:val="22"/>
        </w:rPr>
        <w:t xml:space="preserve">A network that has had its central neurons removed and then fine-tuned is a structurally impoverished network that has been patched. It may achieve similar accuracy on the original test distribution, but its internal representation is degraded in ways that matter for robustness, adaptation, and generalisation.</w:t>
      </w:r>
    </w:p>
    <w:p>
      <w:pPr>
        <w:spacing w:before="0" w:after="120"/>
      </w:pPr>
      <w:r>
        <w:t xml:space="preserve"/>
      </w:r>
    </w:p>
    <w:p>
      <w:pPr>
        <w:pStyle w:val="Heading2"/>
        <w:spacing w:before="280" w:after="120"/>
      </w:pPr>
      <w:r>
        <w:rPr>
          <w:rFonts w:ascii="Arial" w:cs="Arial" w:eastAsia="Arial" w:hAnsi="Arial"/>
          <w:b/>
          <w:bCs/>
          <w:color w:val="0066CC"/>
          <w:sz w:val="26"/>
          <w:szCs w:val="26"/>
        </w:rPr>
        <w:t xml:space="preserve">5.3  "Accuracy is what users and businesses care about"</w:t>
      </w:r>
    </w:p>
    <w:p>
      <w:pPr>
        <w:spacing w:before="60" w:after="120"/>
      </w:pPr>
      <w:r>
        <w:rPr>
          <w:rFonts w:ascii="Arial" w:cs="Arial" w:eastAsia="Arial" w:hAnsi="Arial"/>
          <w:color w:val="333333"/>
          <w:sz w:val="22"/>
          <w:szCs w:val="22"/>
        </w:rPr>
        <w:t xml:space="preserve">Users and businesses care about accuracy on the inputs that actually arrive in production — not accuracy on the test set used during development. Those can be very different distributions. Structural importance is a proxy for how well the network will generalise beyond the specific test set it was evaluated on.</w:t>
      </w:r>
    </w:p>
    <w:p>
      <w:pPr>
        <w:spacing w:before="0" w:after="120"/>
      </w:pPr>
      <w:r>
        <w:t xml:space="preserve"/>
      </w:r>
    </w:p>
    <w:p>
      <w:pPr>
        <w:spacing w:before="60" w:after="120"/>
      </w:pPr>
      <w:r>
        <w:rPr>
          <w:rFonts w:ascii="Arial" w:cs="Arial" w:eastAsia="Arial" w:hAnsi="Arial"/>
          <w:color w:val="333333"/>
          <w:sz w:val="22"/>
          <w:szCs w:val="22"/>
        </w:rPr>
        <w:t xml:space="preserve">Furthermore, as edge deployment demands push sparsity higher, and as models are expected to adapt and generalise across diverse conditions, the business case for structural quality becomes stronger. The cost of retraining a structurally damaged model that has failed in production far exceeds the marginal cost of applying a principled pruning method in the first place.</w:t>
      </w:r>
    </w:p>
    <w:p>
      <w:pPr>
        <w:spacing w:before="0" w:after="120"/>
      </w:pPr>
      <w:r>
        <w:t xml:space="preserve"/>
      </w:r>
    </w:p>
    <w:p>
      <w:pPr>
        <w:pStyle w:val="Heading1"/>
        <w:spacing w:before="360" w:after="160"/>
      </w:pPr>
      <w:r>
        <w:rPr>
          <w:rFonts w:ascii="Arial" w:cs="Arial" w:eastAsia="Arial" w:hAnsi="Arial"/>
          <w:b/>
          <w:bCs/>
          <w:color w:val="003366"/>
          <w:sz w:val="32"/>
          <w:szCs w:val="32"/>
        </w:rPr>
        <w:t xml:space="preserve">6. Practical Implications for Deployment</w:t>
      </w:r>
    </w:p>
    <w:p>
      <w:pPr>
        <w:spacing w:before="60" w:after="120"/>
      </w:pPr>
      <w:r>
        <w:rPr>
          <w:rFonts w:ascii="Arial" w:cs="Arial" w:eastAsia="Arial" w:hAnsi="Arial"/>
          <w:color w:val="333333"/>
          <w:sz w:val="22"/>
          <w:szCs w:val="22"/>
        </w:rPr>
        <w:t xml:space="preserve">The following decision framework summarises when structural importance is and is not critical in practice: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Deployment Condition</w:t>
            </w:r>
          </w:p>
        </w:tc>
        <w:tc>
          <w:tcPr>
            <w:tcW w:type="dxa" w:w="270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Accuracy-Only Sufficient?</w:t>
            </w:r>
          </w:p>
        </w:tc>
        <w:tc>
          <w:tcPr>
            <w:tcW w:type="dxa" w:w="2700"/>
            <w:tcBorders>
              <w:top w:val="single" w:color="CCCCCC" w:sz="1"/>
              <w:left w:val="single" w:color="CCCCCC" w:sz="1"/>
              <w:bottom w:val="single" w:color="CCCCCC" w:sz="1"/>
              <w:right w:val="single" w:color="CCCCCC" w:sz="1"/>
            </w:tcBorders>
            <w:shd w:fill="0066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Structural Quality Needed?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Fixed distribution, one-time pruning, low stakes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Optional</w:t>
            </w:r>
          </w:p>
        </w:tc>
      </w:tr>
      <w:tr>
        <w:tc>
          <w:tcPr>
            <w:tcW w:type="dxa" w:w="39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Moderate distribution shift expected</w:t>
            </w:r>
          </w:p>
        </w:tc>
        <w:tc>
          <w:tcPr>
            <w:tcW w:type="dxa" w:w="27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w:t>
            </w:r>
          </w:p>
        </w:tc>
        <w:tc>
          <w:tcPr>
            <w:tcW w:type="dxa" w:w="27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Recommended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 sparsity (&gt;50%) required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Required</w:t>
            </w:r>
          </w:p>
        </w:tc>
      </w:tr>
      <w:tr>
        <w:tc>
          <w:tcPr>
            <w:tcW w:type="dxa" w:w="39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Iterative or continual pruning</w:t>
            </w:r>
          </w:p>
        </w:tc>
        <w:tc>
          <w:tcPr>
            <w:tcW w:type="dxa" w:w="27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w:t>
            </w:r>
          </w:p>
        </w:tc>
        <w:tc>
          <w:tcPr>
            <w:tcW w:type="dxa" w:w="27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Required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Safety-critical application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Required</w:t>
            </w:r>
          </w:p>
        </w:tc>
      </w:tr>
      <w:tr>
        <w:tc>
          <w:tcPr>
            <w:tcW w:type="dxa" w:w="39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Regulatory auditability required</w:t>
            </w:r>
          </w:p>
        </w:tc>
        <w:tc>
          <w:tcPr>
            <w:tcW w:type="dxa" w:w="27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w:t>
            </w:r>
          </w:p>
        </w:tc>
        <w:tc>
          <w:tcPr>
            <w:tcW w:type="dxa" w:w="27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Required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Model will be fine-tuned post-deployment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Recommended</w:t>
            </w:r>
          </w:p>
        </w:tc>
      </w:tr>
    </w:tbl>
    <w:p>
      <w:pPr>
        <w:spacing w:before="0" w:after="120"/>
      </w:pPr>
      <w:r>
        <w:t xml:space="preserve"/>
      </w:r>
    </w:p>
    <w:p>
      <w:pPr>
        <w:pStyle w:val="Heading1"/>
        <w:spacing w:before="360" w:after="160"/>
      </w:pPr>
      <w:r>
        <w:rPr>
          <w:rFonts w:ascii="Arial" w:cs="Arial" w:eastAsia="Arial" w:hAnsi="Arial"/>
          <w:b/>
          <w:bCs/>
          <w:color w:val="003366"/>
          <w:sz w:val="32"/>
          <w:szCs w:val="32"/>
        </w:rPr>
        <w:t xml:space="preserve">7. Conclusion</w:t>
      </w:r>
    </w:p>
    <w:p>
      <w:pPr>
        <w:spacing w:before="60" w:after="120"/>
      </w:pPr>
      <w:r>
        <w:rPr>
          <w:rFonts w:ascii="Arial" w:cs="Arial" w:eastAsia="Arial" w:hAnsi="Arial"/>
          <w:color w:val="333333"/>
          <w:sz w:val="22"/>
          <w:szCs w:val="22"/>
        </w:rPr>
        <w:t xml:space="preserve">Accuracy on a standard benchmark is an essential but insufficient criterion for evaluating pruning quality. It measures performance on one distribution, at one sparsity level, at one point in time. It does not measure robustness to distribution shift, behaviour at high sparsity, resilience to iterative pruning, post-deployment adaptability, or predictability of failure modes.</w:t>
      </w:r>
    </w:p>
    <w:p>
      <w:pPr>
        <w:spacing w:before="0" w:after="120"/>
      </w:pPr>
      <w:r>
        <w:t xml:space="preserve"/>
      </w:r>
    </w:p>
    <w:p>
      <w:pPr>
        <w:spacing w:before="60" w:after="120"/>
      </w:pPr>
      <w:r>
        <w:rPr>
          <w:rFonts w:ascii="Arial" w:cs="Arial" w:eastAsia="Arial" w:hAnsi="Arial"/>
          <w:color w:val="333333"/>
          <w:sz w:val="22"/>
          <w:szCs w:val="22"/>
        </w:rPr>
        <w:t xml:space="preserve">Structural importance — as measured by the AEI R-value, which quantifies each neuron's centrality in the co-activation graph — captures a dimension of network quality that weight-magnitude and gradient-based methods are blind to. The spectral analysis results confirm that these methods prune fundamentally different neurons: AEI targets peripheral neurons (R-percentile 0–15), while GraSP removes central ones (R-percentile 55.7), and L1/L2/SNIP scatter across the mid-range with no structural awareness at all.</w:t>
      </w:r>
    </w:p>
    <w:p>
      <w:pPr>
        <w:spacing w:before="0" w:after="120"/>
      </w:pPr>
      <w:r>
        <w:t xml:space="preserve"/>
      </w:r>
    </w:p>
    <w:p>
      <w:pPr>
        <w:spacing w:before="60" w:after="120"/>
      </w:pPr>
      <w:r>
        <w:rPr>
          <w:rFonts w:ascii="Arial" w:cs="Arial" w:eastAsia="Arial" w:hAnsi="Arial"/>
          <w:color w:val="333333"/>
          <w:sz w:val="22"/>
          <w:szCs w:val="22"/>
        </w:rPr>
        <w:t xml:space="preserve">On MNIST, this structural difference is largely hidden by the simplicity of the task and the recovery power of fine-tuning. On harder datasets, at higher sparsity levels, and under realistic deployment conditions, the structural damage caused by non-principled pruning will manifest as accuracy gaps, degraded robustness, and reduced adaptability.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8"/>
              <w:left w:val="single" w:color="0066CC" w:sz="24"/>
              <w:bottom w:val="single" w:color="0066CC" w:sz="8"/>
              <w:right w:val="none" w:color="FFFFFF" w:sz="0"/>
            </w:tcBorders>
            <w:shd w:fill="E8F0FA" w:val="clear"/>
            <w:tcMar>
              <w:top w:type="dxa" w:w="140"/>
              <w:left w:type="dxa" w:w="200"/>
              <w:bottom w:type="dxa" w:w="140"/>
              <w:right w:type="dxa" w:w="200"/>
            </w:tcMar>
          </w:tcPr>
          <w:p>
            <w:pPr>
              <w:spacing w:before="0" w:after="0"/>
            </w:pPr>
            <w:r>
              <w:rPr>
                <w:rFonts w:ascii="Arial" w:cs="Arial" w:eastAsia="Arial" w:hAnsi="Arial"/>
                <w:i/>
                <w:iCs/>
                <w:color w:val="003366"/>
                <w:sz w:val="22"/>
                <w:szCs w:val="22"/>
              </w:rPr>
              <w:t xml:space="preserve">The question is not whether structural importance matters in theory — it is whether the deployment conditions are simple enough that you can afford to ignore it. For an increasing share of real-world applications, the answer is no.</w:t>
            </w:r>
          </w:p>
        </w:tc>
      </w:tr>
    </w:tbl>
    <w:p>
      <w:pPr>
        <w:spacing w:before="0" w:after="120"/>
      </w:pPr>
      <w:r>
        <w:t xml:space="preserve"/>
      </w:r>
    </w:p>
    <w:p>
      <w:pPr>
        <w:pBdr>
          <w:top w:val="single" w:color="0066CC" w:sz="6" w:space="1"/>
        </w:pBdr>
        <w:spacing w:before="480" w:after="0"/>
      </w:pPr>
      <w:r>
        <w:t xml:space="preserve"/>
      </w:r>
    </w:p>
    <w:p>
      <w:pPr>
        <w:spacing w:before="160" w:after="80"/>
        <w:jc w:val="center"/>
      </w:pPr>
      <w:r>
        <w:rPr>
          <w:rFonts w:ascii="Arial" w:cs="Arial" w:eastAsia="Arial" w:hAnsi="Arial"/>
          <w:i/>
          <w:iCs/>
          <w:color w:val="666666"/>
          <w:sz w:val="18"/>
          <w:szCs w:val="18"/>
        </w:rPr>
        <w:t xml:space="preserve">Paper: Spectral Pruning of Deep Neural Networks via Adjacency Edge Index</w:t>
      </w:r>
    </w:p>
    <w:p>
      <w:pPr>
        <w:spacing w:before="0" w:after="0"/>
        <w:jc w:val="center"/>
      </w:pPr>
      <w:r>
        <w:rPr>
          <w:rFonts w:ascii="Arial" w:cs="Arial" w:eastAsia="Arial" w:hAnsi="Arial"/>
          <w:i/>
          <w:iCs/>
          <w:color w:val="666666"/>
          <w:sz w:val="18"/>
          <w:szCs w:val="18"/>
        </w:rPr>
        <w:t xml:space="preserve">Journal: MAKE  |  Status: Under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336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066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2026-03-26T08:58:59.539Z</dcterms:created>
  <dcterms:modified xsi:type="dcterms:W3CDTF">2026-03-26T08:58:59.540Z</dcterms:modified>
</cp:coreProperties>
</file>

<file path=docProps/custom.xml><?xml version="1.0" encoding="utf-8"?>
<Properties xmlns="http://schemas.openxmlformats.org/officeDocument/2006/custom-properties" xmlns:vt="http://schemas.openxmlformats.org/officeDocument/2006/docPropsVTypes"/>
</file>