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480"/>
        <w:jc w:val="center"/>
      </w:pPr>
      <w:r>
        <w:rPr>
          <w:b/>
          <w:i w:val="0"/>
          <w:sz w:val="32"/>
        </w:rPr>
        <w:t>TrazaCarne: Diagramas de Análisis y Diseño</w:t>
      </w:r>
    </w:p>
    <w:p>
      <w:pPr>
        <w:spacing w:before="0" w:after="240"/>
        <w:jc w:val="center"/>
      </w:pPr>
      <w:r>
        <w:rPr>
          <w:b w:val="0"/>
          <w:i w:val="0"/>
          <w:sz w:val="24"/>
        </w:rPr>
        <w:t>Santiago Bustos López, Juan José Enríquez y Samuel Esteban Mena</w:t>
      </w:r>
    </w:p>
    <w:p>
      <w:pPr>
        <w:spacing w:before="0" w:after="240"/>
        <w:jc w:val="center"/>
      </w:pPr>
      <w:r>
        <w:rPr>
          <w:b w:val="0"/>
          <w:i w:val="0"/>
          <w:sz w:val="24"/>
        </w:rPr>
        <w:t>Programación Orientada a Objetos</w:t>
      </w:r>
    </w:p>
    <w:p>
      <w:pPr>
        <w:spacing w:before="0" w:after="240"/>
        <w:jc w:val="center"/>
      </w:pPr>
      <w:r>
        <w:rPr>
          <w:b w:val="0"/>
          <w:i w:val="0"/>
          <w:sz w:val="24"/>
        </w:rPr>
        <w:t>4 de octubre de 2026</w:t>
      </w:r>
    </w:p>
    <w:p>
      <w:pPr>
        <w:spacing w:before="0" w:after="0"/>
      </w:pPr>
      <w:r>
        <w:br w:type="page"/>
      </w:r>
    </w:p>
    <w:p>
      <w:pPr>
        <w:spacing w:before="0" w:after="360"/>
        <w:jc w:val="center"/>
      </w:pPr>
      <w:r>
        <w:rPr>
          <w:b/>
          <w:i w:val="0"/>
          <w:sz w:val="26"/>
        </w:rPr>
        <w:t>Lista de figuras</w:t>
      </w:r>
    </w:p>
    <w:p>
      <w:pPr>
        <w:spacing w:before="0" w:after="160"/>
      </w:pPr>
      <w:r>
        <w:rPr>
          <w:b w:val="0"/>
          <w:i w:val="0"/>
          <w:sz w:val="24"/>
        </w:rPr>
        <w:t>Figura 1.  Diagrama de casos de uso</w:t>
      </w:r>
    </w:p>
    <w:p>
      <w:pPr>
        <w:spacing w:before="0" w:after="160"/>
      </w:pPr>
      <w:r>
        <w:rPr>
          <w:b w:val="0"/>
          <w:i w:val="0"/>
          <w:sz w:val="24"/>
        </w:rPr>
        <w:t>Figura 2.  Modelo de dominio</w:t>
      </w:r>
    </w:p>
    <w:p>
      <w:pPr>
        <w:spacing w:before="0" w:after="160"/>
      </w:pPr>
      <w:r>
        <w:rPr>
          <w:b w:val="0"/>
          <w:i w:val="0"/>
          <w:sz w:val="24"/>
        </w:rPr>
        <w:t>Figura 3.  Diagrama entidad-relación en notación Chen</w:t>
      </w:r>
    </w:p>
    <w:p>
      <w:pPr>
        <w:spacing w:before="0" w:after="160"/>
      </w:pPr>
      <w:r>
        <w:rPr>
          <w:b w:val="0"/>
          <w:i w:val="0"/>
          <w:sz w:val="24"/>
        </w:rPr>
        <w:t>Figura 4.  Diagrama entidad-relación en notación pata de gallo</w:t>
      </w:r>
    </w:p>
    <w:p>
      <w:pPr>
        <w:spacing w:before="0" w:after="160"/>
      </w:pPr>
      <w:r>
        <w:rPr>
          <w:b w:val="0"/>
          <w:i w:val="0"/>
          <w:sz w:val="24"/>
        </w:rPr>
        <w:t>Figura 5.  Diagrama de clases UML</w:t>
      </w:r>
    </w:p>
    <w:p>
      <w:pPr>
        <w:spacing w:before="0" w:after="160"/>
      </w:pPr>
      <w:r>
        <w:rPr>
          <w:b w:val="0"/>
          <w:i w:val="0"/>
          <w:sz w:val="24"/>
        </w:rPr>
        <w:t>Figura 6.  Diagrama de secuencia: registrar compra y lotes (HU-04)</w:t>
      </w:r>
    </w:p>
    <w:p>
      <w:pPr>
        <w:spacing w:before="0" w:after="160"/>
      </w:pPr>
      <w:r>
        <w:rPr>
          <w:b w:val="0"/>
          <w:i w:val="0"/>
          <w:sz w:val="24"/>
        </w:rPr>
        <w:t>Figura 7.  Diagrama de secuencia: registrar venta (HU-05)</w:t>
      </w:r>
    </w:p>
    <w:p>
      <w:pPr>
        <w:spacing w:before="0" w:after="160"/>
      </w:pPr>
      <w:r>
        <w:rPr>
          <w:b w:val="0"/>
          <w:i w:val="0"/>
          <w:sz w:val="24"/>
        </w:rPr>
        <w:t>Figura 8.  Diagrama de secuencia: anular venta (HU-06)</w:t>
      </w:r>
    </w:p>
    <w:p>
      <w:pPr>
        <w:spacing w:before="0" w:after="160"/>
      </w:pPr>
      <w:r>
        <w:rPr>
          <w:b w:val="0"/>
          <w:i w:val="0"/>
          <w:sz w:val="24"/>
        </w:rPr>
        <w:t>Figura 9.  Diagrama de secuencia: consultar trazabilidad (HU-08)</w:t>
      </w:r>
    </w:p>
    <w:p>
      <w:pPr>
        <w:spacing w:before="360" w:after="0"/>
      </w:pPr>
      <w:r>
        <w:rPr>
          <w:b w:val="0"/>
          <w:i/>
          <w:color w:val="555555"/>
          <w:sz w:val="22"/>
        </w:rPr>
        <w:t>Los archivos .drawio originales se pueden editar en draw.io. Las figuras se insertaron en alta resolución para conservar la nitidez al ampliar o imprimir.</w:t>
      </w:r>
    </w:p>
    <w:p>
      <w:pPr>
        <w:sectPr>
          <w:head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0" w:after="0"/>
      </w:pPr>
      <w:r>
        <w:rPr>
          <w:b/>
          <w:i w:val="0"/>
          <w:sz w:val="24"/>
        </w:rPr>
        <w:t>Figura 1</w:t>
      </w:r>
    </w:p>
    <w:p>
      <w:pPr>
        <w:spacing w:before="0" w:after="120"/>
      </w:pPr>
      <w:r>
        <w:rPr>
          <w:b w:val="0"/>
          <w:i/>
          <w:sz w:val="24"/>
        </w:rPr>
        <w:t>Diagrama de casos de uso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48292" cy="53492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sos_de_u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48292" cy="5349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0"/>
      </w:pPr>
      <w:r>
        <w:rPr>
          <w:i/>
          <w:sz w:val="22"/>
        </w:rPr>
        <w:t xml:space="preserve">Nota. </w:t>
      </w:r>
      <w:r>
        <w:rPr>
          <w:sz w:val="22"/>
        </w:rPr>
        <w:t>Muestra qué puede hacer el vendedor, único actor del sistema, con TrazaCarne. Cada caso principal corresponde a una historia de usuario (HU-01 a HU-08) con su prioridad MoSCoW. Elaboración propia.</w:t>
      </w:r>
    </w:p>
    <w:p>
      <w:pPr>
        <w:sectPr>
          <w:pgSz w:w="15840" w:h="12240" w:orient="landscape"/>
          <w:pgMar w:top="864" w:right="864" w:bottom="864" w:left="864" w:header="720" w:footer="720" w:gutter="0"/>
          <w:cols w:space="720"/>
          <w:docGrid w:linePitch="360"/>
        </w:sectPr>
      </w:pPr>
    </w:p>
    <w:p>
      <w:pPr>
        <w:spacing w:before="0" w:after="0"/>
      </w:pPr>
      <w:r>
        <w:rPr>
          <w:b/>
          <w:i w:val="0"/>
          <w:sz w:val="24"/>
        </w:rPr>
        <w:t>Figura 2</w:t>
      </w:r>
    </w:p>
    <w:p>
      <w:pPr>
        <w:spacing w:before="0" w:after="120"/>
      </w:pPr>
      <w:r>
        <w:rPr>
          <w:b w:val="0"/>
          <w:i/>
          <w:sz w:val="24"/>
        </w:rPr>
        <w:t>Modelo de dominio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42490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odelo_domin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249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0"/>
      </w:pPr>
      <w:r>
        <w:rPr>
          <w:i/>
          <w:sz w:val="22"/>
        </w:rPr>
        <w:t xml:space="preserve">Nota. </w:t>
      </w:r>
      <w:r>
        <w:rPr>
          <w:sz w:val="22"/>
        </w:rPr>
        <w:t>Conceptos del negocio y sus relaciones, sin claves, tipos de datos ni métodos. Inventario aparece como concepto; AsignacionLote conserva de qué lote salió cada cantidad vendida. Elaboración propia.</w:t>
      </w:r>
    </w:p>
    <w:p>
      <w:pPr>
        <w:sectPr>
          <w:pgSz w:w="15840" w:h="12240" w:orient="landscape"/>
          <w:pgMar w:top="864" w:right="864" w:bottom="864" w:left="864" w:header="720" w:footer="720" w:gutter="0"/>
          <w:cols w:space="720"/>
          <w:docGrid w:linePitch="360"/>
        </w:sectPr>
      </w:pPr>
    </w:p>
    <w:p>
      <w:pPr>
        <w:spacing w:before="0" w:after="0"/>
      </w:pPr>
      <w:r>
        <w:rPr>
          <w:b/>
          <w:i w:val="0"/>
          <w:sz w:val="24"/>
        </w:rPr>
        <w:t>Figura 3</w:t>
      </w:r>
    </w:p>
    <w:p>
      <w:pPr>
        <w:spacing w:before="0" w:after="120"/>
      </w:pPr>
      <w:r>
        <w:rPr>
          <w:b w:val="0"/>
          <w:i/>
          <w:sz w:val="24"/>
        </w:rPr>
        <w:t>Diagrama entidad-relación en notación Chen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19" cy="43257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r_ch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61119" cy="4325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0"/>
      </w:pPr>
      <w:r>
        <w:rPr>
          <w:i/>
          <w:sz w:val="22"/>
        </w:rPr>
        <w:t xml:space="preserve">Nota. </w:t>
      </w:r>
      <w:r>
        <w:rPr>
          <w:sz w:val="22"/>
        </w:rPr>
        <w:t>Modelo conceptual de datos. Venta–Producto se resuelve con la entidad asociativa DetalleVenta y DetalleVenta–Lote es la relación N:M AsignacionLote. Elaboración propia.</w:t>
      </w:r>
    </w:p>
    <w:p>
      <w:pPr>
        <w:sectPr>
          <w:pgSz w:w="15840" w:h="12240" w:orient="landscape"/>
          <w:pgMar w:top="864" w:right="864" w:bottom="864" w:left="864" w:header="720" w:footer="720" w:gutter="0"/>
          <w:cols w:space="720"/>
          <w:docGrid w:linePitch="360"/>
        </w:sectPr>
      </w:pPr>
    </w:p>
    <w:p>
      <w:pPr>
        <w:spacing w:before="0" w:after="0"/>
      </w:pPr>
      <w:r>
        <w:rPr>
          <w:b/>
          <w:i w:val="0"/>
          <w:sz w:val="24"/>
        </w:rPr>
        <w:t>Figura 4</w:t>
      </w:r>
    </w:p>
    <w:p>
      <w:pPr>
        <w:spacing w:before="0" w:after="120"/>
      </w:pPr>
      <w:r>
        <w:rPr>
          <w:b w:val="0"/>
          <w:i/>
          <w:sz w:val="24"/>
        </w:rPr>
        <w:t>Diagrama entidad-relación en notación pata de gallo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33469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r_pata_de_gall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3346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0"/>
      </w:pPr>
      <w:r>
        <w:rPr>
          <w:i/>
          <w:sz w:val="22"/>
        </w:rPr>
        <w:t xml:space="preserve">Nota. </w:t>
      </w:r>
      <w:r>
        <w:rPr>
          <w:sz w:val="22"/>
        </w:rPr>
        <w:t>Modelo lógico con claves primarias, claves foráneas y cardinalidades. Las relaciones N:M del modelo Chen quedan resueltas con las tablas DetalleVenta y AsignacionLote. Elaboración propia.</w:t>
      </w:r>
    </w:p>
    <w:p>
      <w:pPr>
        <w:sectPr>
          <w:pgSz w:w="15840" w:h="12240" w:orient="landscape"/>
          <w:pgMar w:top="864" w:right="864" w:bottom="864" w:left="864" w:header="720" w:footer="720" w:gutter="0"/>
          <w:cols w:space="720"/>
          <w:docGrid w:linePitch="360"/>
        </w:sectPr>
      </w:pPr>
    </w:p>
    <w:p>
      <w:pPr>
        <w:spacing w:before="0" w:after="0"/>
      </w:pPr>
      <w:r>
        <w:rPr>
          <w:b/>
          <w:i w:val="0"/>
          <w:sz w:val="24"/>
        </w:rPr>
        <w:t>Figura 5</w:t>
      </w:r>
    </w:p>
    <w:p>
      <w:pPr>
        <w:spacing w:before="0" w:after="120"/>
      </w:pPr>
      <w:r>
        <w:rPr>
          <w:b w:val="0"/>
          <w:i/>
          <w:sz w:val="24"/>
        </w:rPr>
        <w:t>Diagrama de clases UML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60227" cy="53492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iagrama_clas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160227" cy="5349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0"/>
      </w:pPr>
      <w:r>
        <w:rPr>
          <w:i/>
          <w:sz w:val="22"/>
        </w:rPr>
        <w:t xml:space="preserve">Nota. </w:t>
      </w:r>
      <w:r>
        <w:rPr>
          <w:sz w:val="22"/>
        </w:rPr>
        <w:t>Diseño orientado a objetos en Java organizado en paquetes: dominio, servicio, consola, repositorio y excepciones. Incluye herencia en Producto, la interfaz EstrategiaAsignacion (FEFO) y composición entre Venta, DetalleVenta y AsignacionLote. Elaboración propia.</w:t>
      </w:r>
    </w:p>
    <w:p>
      <w:pPr>
        <w:sectPr>
          <w:pgSz w:w="15840" w:h="12240" w:orient="landscape"/>
          <w:pgMar w:top="864" w:right="864" w:bottom="864" w:left="864" w:header="720" w:footer="720" w:gutter="0"/>
          <w:cols w:space="720"/>
          <w:docGrid w:linePitch="360"/>
        </w:sectPr>
      </w:pPr>
    </w:p>
    <w:p>
      <w:pPr>
        <w:spacing w:before="0" w:after="0"/>
      </w:pPr>
      <w:r>
        <w:rPr>
          <w:b/>
          <w:i w:val="0"/>
          <w:sz w:val="24"/>
        </w:rPr>
        <w:t>Figura 6</w:t>
      </w:r>
    </w:p>
    <w:p>
      <w:pPr>
        <w:spacing w:before="0" w:after="120"/>
      </w:pPr>
      <w:r>
        <w:rPr>
          <w:b w:val="0"/>
          <w:i/>
          <w:sz w:val="24"/>
        </w:rPr>
        <w:t>Diagrama de secuencia: registrar compra y lotes (HU-04)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16565" cy="53492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ecuencia_registrar_compr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16565" cy="5349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0"/>
      </w:pPr>
      <w:r>
        <w:rPr>
          <w:i/>
          <w:sz w:val="22"/>
        </w:rPr>
        <w:t xml:space="preserve">Nota. </w:t>
      </w:r>
      <w:r>
        <w:rPr>
          <w:sz w:val="22"/>
        </w:rPr>
        <w:t>Validación del abastecedor (RN-01, RN-02), creación de cada lote con sus fechas (RN-03, RN-04) y registro de la entrada en el inventario (RN-10). Elaboración propia.</w:t>
      </w:r>
    </w:p>
    <w:p>
      <w:pPr>
        <w:sectPr>
          <w:pgSz w:w="15840" w:h="12240" w:orient="landscape"/>
          <w:pgMar w:top="864" w:right="864" w:bottom="864" w:left="864" w:header="720" w:footer="720" w:gutter="0"/>
          <w:cols w:space="720"/>
          <w:docGrid w:linePitch="360"/>
        </w:sectPr>
      </w:pPr>
    </w:p>
    <w:p>
      <w:pPr>
        <w:spacing w:before="0" w:after="0"/>
      </w:pPr>
      <w:r>
        <w:rPr>
          <w:b/>
          <w:i w:val="0"/>
          <w:sz w:val="24"/>
        </w:rPr>
        <w:t>Figura 7</w:t>
      </w:r>
    </w:p>
    <w:p>
      <w:pPr>
        <w:spacing w:before="0" w:after="120"/>
      </w:pPr>
      <w:r>
        <w:rPr>
          <w:b w:val="0"/>
          <w:i/>
          <w:sz w:val="24"/>
        </w:rPr>
        <w:t>Diagrama de secuencia: registrar venta (HU-05)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75120" cy="57273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ecuencia_registrar_ve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5727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0"/>
      </w:pPr>
      <w:r>
        <w:rPr>
          <w:i/>
          <w:sz w:val="22"/>
        </w:rPr>
        <w:t xml:space="preserve">Nota. </w:t>
      </w:r>
      <w:r>
        <w:rPr>
          <w:sz w:val="22"/>
        </w:rPr>
        <w:t>Ejemplo de 8 kg de carne molida: validación polimórfica de la cantidad (RN-06), verificación de existencias (RN-07) y asignación FEFO de 5 kg del lote 001 y 3 kg del lote 002 (RN-08, RN-09). Elaboración propia.</w:t>
      </w:r>
    </w:p>
    <w:p>
      <w:pPr>
        <w:sectPr>
          <w:pgSz w:w="12240" w:h="15840"/>
          <w:pgMar w:top="864" w:right="864" w:bottom="864" w:left="864" w:header="720" w:footer="720" w:gutter="0"/>
          <w:cols w:space="720"/>
          <w:docGrid w:linePitch="360"/>
        </w:sectPr>
      </w:pPr>
    </w:p>
    <w:p>
      <w:pPr>
        <w:spacing w:before="0" w:after="0"/>
      </w:pPr>
      <w:r>
        <w:rPr>
          <w:b/>
          <w:i w:val="0"/>
          <w:sz w:val="24"/>
        </w:rPr>
        <w:t>Figura 8</w:t>
      </w:r>
    </w:p>
    <w:p>
      <w:pPr>
        <w:spacing w:before="0" w:after="120"/>
      </w:pPr>
      <w:r>
        <w:rPr>
          <w:b w:val="0"/>
          <w:i/>
          <w:sz w:val="24"/>
        </w:rPr>
        <w:t>Diagrama de secuencia: anular venta (HU-06)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51140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ecuencia_anular_ve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114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0"/>
      </w:pPr>
      <w:r>
        <w:rPr>
          <w:i/>
          <w:sz w:val="22"/>
        </w:rPr>
        <w:t xml:space="preserve">Nota. </w:t>
      </w:r>
      <w:r>
        <w:rPr>
          <w:sz w:val="22"/>
        </w:rPr>
        <w:t>Una venta solo se anula una vez y cada cantidad vuelve al mismo lote del que salió (RN-11). La devolución queda registrada en el historial (RN-10). Elaboración propia.</w:t>
      </w:r>
    </w:p>
    <w:p>
      <w:pPr>
        <w:sectPr>
          <w:pgSz w:w="15840" w:h="12240" w:orient="landscape"/>
          <w:pgMar w:top="864" w:right="864" w:bottom="864" w:left="864" w:header="720" w:footer="720" w:gutter="0"/>
          <w:cols w:space="720"/>
          <w:docGrid w:linePitch="360"/>
        </w:sectPr>
      </w:pPr>
    </w:p>
    <w:p>
      <w:pPr>
        <w:spacing w:before="0" w:after="0"/>
      </w:pPr>
      <w:r>
        <w:rPr>
          <w:b/>
          <w:i w:val="0"/>
          <w:sz w:val="24"/>
        </w:rPr>
        <w:t>Figura 9</w:t>
      </w:r>
    </w:p>
    <w:p>
      <w:pPr>
        <w:spacing w:before="0" w:after="120"/>
      </w:pPr>
      <w:r>
        <w:rPr>
          <w:b w:val="0"/>
          <w:i/>
          <w:sz w:val="24"/>
        </w:rPr>
        <w:t>Diagrama de secuencia: consultar trazabilidad (HU-08)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56406" cy="53492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ecuencia_consultar_trazabilida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456406" cy="5349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0"/>
      </w:pPr>
      <w:r>
        <w:rPr>
          <w:i/>
          <w:sz w:val="22"/>
        </w:rPr>
        <w:t xml:space="preserve">Nota. </w:t>
      </w:r>
      <w:r>
        <w:rPr>
          <w:sz w:val="22"/>
        </w:rPr>
        <w:t>Recorrido en los dos sentidos: de una venta a sus lotes y abastecedor, y de un lote a los clientes que lo compraron (RF-07, RN-09). Elaboración propia.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AutoCompressPicture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TrazaCarne: Diagramas de Análisis y Diseño</dc:title>
  <dc:subject/>
  <dc:creator>Santiago Bustos López, Juan José Enríquez, Samuel Esteban Mena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