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0AB775" w14:textId="75E90D71" w:rsidR="00233023" w:rsidRDefault="00233023" w:rsidP="008F28EC">
      <w:pPr>
        <w:jc w:val="both"/>
      </w:pPr>
      <w:r>
        <w:t>Le contexte politique français démontre, aujourd’hui, une incapacité pour l’Etat de lutter seul, contre les menaces et les opérations malveillantes sur l’ensemble des dimensions de l’espace :</w:t>
      </w:r>
    </w:p>
    <w:tbl>
      <w:tblPr>
        <w:tblStyle w:val="Grilledutableau"/>
        <w:tblW w:w="0" w:type="auto"/>
        <w:tblLook w:val="04A0" w:firstRow="1" w:lastRow="0" w:firstColumn="1" w:lastColumn="0" w:noHBand="0" w:noVBand="1"/>
      </w:tblPr>
      <w:tblGrid>
        <w:gridCol w:w="4531"/>
        <w:gridCol w:w="4531"/>
      </w:tblGrid>
      <w:tr w:rsidR="00144E5C" w14:paraId="10F3377B" w14:textId="77777777" w:rsidTr="00144E5C">
        <w:tc>
          <w:tcPr>
            <w:tcW w:w="4531" w:type="dxa"/>
          </w:tcPr>
          <w:p w14:paraId="0559AC2D" w14:textId="46F16ED4" w:rsidR="00144E5C" w:rsidRDefault="00144E5C" w:rsidP="00144E5C">
            <w:r>
              <w:rPr>
                <w:noProof/>
                <w:lang w:eastAsia="fr-FR"/>
              </w:rPr>
              <w:drawing>
                <wp:inline distT="0" distB="0" distL="0" distR="0" wp14:anchorId="37359501" wp14:editId="177A4603">
                  <wp:extent cx="2635885" cy="1483277"/>
                  <wp:effectExtent l="0" t="0" r="0" b="3175"/>
                  <wp:docPr id="1" name="Image 1" descr="Image result for marine nation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rine nationa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7268" cy="1489682"/>
                          </a:xfrm>
                          <a:prstGeom prst="rect">
                            <a:avLst/>
                          </a:prstGeom>
                          <a:noFill/>
                          <a:ln>
                            <a:noFill/>
                          </a:ln>
                        </pic:spPr>
                      </pic:pic>
                    </a:graphicData>
                  </a:graphic>
                </wp:inline>
              </w:drawing>
            </w:r>
          </w:p>
        </w:tc>
        <w:tc>
          <w:tcPr>
            <w:tcW w:w="4531" w:type="dxa"/>
            <w:vAlign w:val="center"/>
          </w:tcPr>
          <w:p w14:paraId="5C2EF829" w14:textId="0ED151D1" w:rsidR="00144E5C" w:rsidRDefault="00144E5C" w:rsidP="00144E5C">
            <w:pPr>
              <w:jc w:val="center"/>
            </w:pPr>
            <w:r>
              <w:t>MER</w:t>
            </w:r>
          </w:p>
        </w:tc>
      </w:tr>
      <w:tr w:rsidR="00144E5C" w14:paraId="42E875E2" w14:textId="77777777" w:rsidTr="00144E5C">
        <w:tc>
          <w:tcPr>
            <w:tcW w:w="4531" w:type="dxa"/>
          </w:tcPr>
          <w:p w14:paraId="5DA42374" w14:textId="46FB4DA7" w:rsidR="00144E5C" w:rsidRDefault="00144E5C" w:rsidP="00144E5C">
            <w:r>
              <w:rPr>
                <w:noProof/>
                <w:lang w:eastAsia="fr-FR"/>
              </w:rPr>
              <w:drawing>
                <wp:inline distT="0" distB="0" distL="0" distR="0" wp14:anchorId="49D7147A" wp14:editId="64F1D1F8">
                  <wp:extent cx="2635885" cy="1316708"/>
                  <wp:effectExtent l="0" t="0" r="0" b="0"/>
                  <wp:docPr id="2" name="Image 2" descr="Image result for armÃ©e ter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mÃ©e ter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6007" cy="1326760"/>
                          </a:xfrm>
                          <a:prstGeom prst="rect">
                            <a:avLst/>
                          </a:prstGeom>
                          <a:noFill/>
                          <a:ln>
                            <a:noFill/>
                          </a:ln>
                        </pic:spPr>
                      </pic:pic>
                    </a:graphicData>
                  </a:graphic>
                </wp:inline>
              </w:drawing>
            </w:r>
          </w:p>
        </w:tc>
        <w:tc>
          <w:tcPr>
            <w:tcW w:w="4531" w:type="dxa"/>
            <w:vAlign w:val="center"/>
          </w:tcPr>
          <w:p w14:paraId="7CF0F4B3" w14:textId="66CBB298" w:rsidR="00144E5C" w:rsidRDefault="00144E5C" w:rsidP="00144E5C">
            <w:pPr>
              <w:jc w:val="center"/>
            </w:pPr>
            <w:r>
              <w:t>TERRE</w:t>
            </w:r>
          </w:p>
        </w:tc>
      </w:tr>
      <w:tr w:rsidR="00144E5C" w14:paraId="7E676DFD" w14:textId="77777777" w:rsidTr="00144E5C">
        <w:tc>
          <w:tcPr>
            <w:tcW w:w="4531" w:type="dxa"/>
          </w:tcPr>
          <w:p w14:paraId="6AFF2682" w14:textId="1FFF8EA5" w:rsidR="00144E5C" w:rsidRDefault="00144E5C" w:rsidP="00144E5C">
            <w:r>
              <w:rPr>
                <w:noProof/>
                <w:lang w:eastAsia="fr-FR"/>
              </w:rPr>
              <w:drawing>
                <wp:inline distT="0" distB="0" distL="0" distR="0" wp14:anchorId="57705306" wp14:editId="46D63F6D">
                  <wp:extent cx="2636322" cy="1757548"/>
                  <wp:effectExtent l="0" t="0" r="0" b="0"/>
                  <wp:docPr id="3" name="Image 3" descr="Image result for armÃ©e 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rmÃ©e ai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0691" cy="1760461"/>
                          </a:xfrm>
                          <a:prstGeom prst="rect">
                            <a:avLst/>
                          </a:prstGeom>
                          <a:noFill/>
                          <a:ln>
                            <a:noFill/>
                          </a:ln>
                        </pic:spPr>
                      </pic:pic>
                    </a:graphicData>
                  </a:graphic>
                </wp:inline>
              </w:drawing>
            </w:r>
          </w:p>
        </w:tc>
        <w:tc>
          <w:tcPr>
            <w:tcW w:w="4531" w:type="dxa"/>
            <w:vAlign w:val="center"/>
          </w:tcPr>
          <w:p w14:paraId="59752709" w14:textId="77F287D2" w:rsidR="00144E5C" w:rsidRDefault="00144E5C" w:rsidP="00144E5C">
            <w:pPr>
              <w:jc w:val="center"/>
            </w:pPr>
            <w:r>
              <w:t>AIR</w:t>
            </w:r>
          </w:p>
        </w:tc>
      </w:tr>
      <w:tr w:rsidR="00144E5C" w14:paraId="2C041CE0" w14:textId="77777777" w:rsidTr="00144E5C">
        <w:tc>
          <w:tcPr>
            <w:tcW w:w="4531" w:type="dxa"/>
          </w:tcPr>
          <w:p w14:paraId="60F38E6D" w14:textId="3E7D37EA" w:rsidR="00144E5C" w:rsidRDefault="00144E5C" w:rsidP="00144E5C">
            <w:r>
              <w:rPr>
                <w:noProof/>
                <w:lang w:eastAsia="fr-FR"/>
              </w:rPr>
              <w:drawing>
                <wp:inline distT="0" distB="0" distL="0" distR="0" wp14:anchorId="3D35B59F" wp14:editId="16AC92DF">
                  <wp:extent cx="2683823" cy="2010744"/>
                  <wp:effectExtent l="0" t="0" r="2540" b="8890"/>
                  <wp:docPr id="4" name="Imag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1699" cy="2016645"/>
                          </a:xfrm>
                          <a:prstGeom prst="rect">
                            <a:avLst/>
                          </a:prstGeom>
                          <a:noFill/>
                          <a:ln>
                            <a:noFill/>
                          </a:ln>
                        </pic:spPr>
                      </pic:pic>
                    </a:graphicData>
                  </a:graphic>
                </wp:inline>
              </w:drawing>
            </w:r>
          </w:p>
        </w:tc>
        <w:tc>
          <w:tcPr>
            <w:tcW w:w="4531" w:type="dxa"/>
            <w:vAlign w:val="center"/>
          </w:tcPr>
          <w:p w14:paraId="7AABCDD3" w14:textId="4002397F" w:rsidR="00144E5C" w:rsidRDefault="00144E5C" w:rsidP="00144E5C">
            <w:pPr>
              <w:jc w:val="center"/>
            </w:pPr>
            <w:r>
              <w:t>Espace</w:t>
            </w:r>
          </w:p>
        </w:tc>
      </w:tr>
      <w:tr w:rsidR="00144E5C" w14:paraId="0BEB9C3F" w14:textId="77777777" w:rsidTr="00144E5C">
        <w:tc>
          <w:tcPr>
            <w:tcW w:w="4531" w:type="dxa"/>
          </w:tcPr>
          <w:p w14:paraId="34D495B7" w14:textId="33747DB7" w:rsidR="00144E5C" w:rsidRDefault="00144E5C" w:rsidP="00144E5C">
            <w:r>
              <w:rPr>
                <w:noProof/>
                <w:lang w:eastAsia="fr-FR"/>
              </w:rPr>
              <w:drawing>
                <wp:inline distT="0" distB="0" distL="0" distR="0" wp14:anchorId="69738CAC" wp14:editId="136455D9">
                  <wp:extent cx="2708910" cy="1638795"/>
                  <wp:effectExtent l="0" t="0" r="0" b="0"/>
                  <wp:docPr id="5" name="Image 5" descr="Image result for cyber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cyberespa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61645" cy="1670698"/>
                          </a:xfrm>
                          <a:prstGeom prst="rect">
                            <a:avLst/>
                          </a:prstGeom>
                          <a:noFill/>
                          <a:ln>
                            <a:noFill/>
                          </a:ln>
                        </pic:spPr>
                      </pic:pic>
                    </a:graphicData>
                  </a:graphic>
                </wp:inline>
              </w:drawing>
            </w:r>
          </w:p>
        </w:tc>
        <w:tc>
          <w:tcPr>
            <w:tcW w:w="4531" w:type="dxa"/>
            <w:vAlign w:val="center"/>
          </w:tcPr>
          <w:p w14:paraId="5A806D3D" w14:textId="1CCF12C1" w:rsidR="00144E5C" w:rsidRDefault="00144E5C" w:rsidP="00144E5C">
            <w:pPr>
              <w:jc w:val="center"/>
            </w:pPr>
            <w:r>
              <w:t>Cyberespace</w:t>
            </w:r>
          </w:p>
        </w:tc>
      </w:tr>
    </w:tbl>
    <w:p w14:paraId="1E7D4028" w14:textId="77777777" w:rsidR="00233023" w:rsidRDefault="00233023" w:rsidP="008F28EC">
      <w:pPr>
        <w:jc w:val="both"/>
      </w:pPr>
      <w:r>
        <w:lastRenderedPageBreak/>
        <w:t>Dans le même temps, l’armée française a une réelle volonté de se recentrer sur son cœur de métier et de le rendre plus accessible. C’est ici, tout l’enjeu des Entreprises de Services de Sécurité et de Défense (ESSD), acteurs reconnus pour désormais, compléter les actions régaliennes</w:t>
      </w:r>
      <w:r>
        <w:rPr>
          <w:rStyle w:val="Appelnotedebasdep"/>
        </w:rPr>
        <w:footnoteReference w:id="1"/>
      </w:r>
      <w:r>
        <w:t xml:space="preserve"> et répondre à ces menaces à la fois imprévisibles et omniprésentes.</w:t>
      </w:r>
    </w:p>
    <w:p w14:paraId="46130D22" w14:textId="531FD99F" w:rsidR="00233023" w:rsidRDefault="00233023" w:rsidP="008F28EC">
      <w:pPr>
        <w:jc w:val="both"/>
      </w:pPr>
      <w:r>
        <w:t xml:space="preserve">En cela, Associates of </w:t>
      </w:r>
      <w:proofErr w:type="spellStart"/>
      <w:r>
        <w:t>Knowledge</w:t>
      </w:r>
      <w:proofErr w:type="spellEnd"/>
      <w:r>
        <w:t xml:space="preserve"> a été pensée sous la forme d’une ESSD afin d’</w:t>
      </w:r>
      <w:r w:rsidRPr="00233023">
        <w:rPr>
          <w:b/>
        </w:rPr>
        <w:t>anticiper</w:t>
      </w:r>
      <w:r>
        <w:t xml:space="preserve">, de </w:t>
      </w:r>
      <w:r w:rsidRPr="00233023">
        <w:rPr>
          <w:b/>
        </w:rPr>
        <w:t xml:space="preserve">protéger </w:t>
      </w:r>
      <w:r>
        <w:t xml:space="preserve">et de </w:t>
      </w:r>
      <w:r w:rsidRPr="009A1591">
        <w:rPr>
          <w:b/>
        </w:rPr>
        <w:t xml:space="preserve">réguler </w:t>
      </w:r>
      <w:r>
        <w:t>les effets critiques liés aux risques de sécurité et de sûreté rencontrés sur le territoire national et européen.</w:t>
      </w:r>
    </w:p>
    <w:tbl>
      <w:tblPr>
        <w:tblStyle w:val="Grilledutableau"/>
        <w:tblW w:w="0" w:type="auto"/>
        <w:tblLook w:val="04A0" w:firstRow="1" w:lastRow="0" w:firstColumn="1" w:lastColumn="0" w:noHBand="0" w:noVBand="1"/>
      </w:tblPr>
      <w:tblGrid>
        <w:gridCol w:w="3020"/>
        <w:gridCol w:w="3021"/>
        <w:gridCol w:w="3021"/>
      </w:tblGrid>
      <w:tr w:rsidR="008349D9" w14:paraId="7AB4496C" w14:textId="77777777" w:rsidTr="008349D9">
        <w:tc>
          <w:tcPr>
            <w:tcW w:w="3020" w:type="dxa"/>
          </w:tcPr>
          <w:p w14:paraId="2FF133C6" w14:textId="77777777" w:rsidR="008349D9" w:rsidRPr="008F28EC" w:rsidRDefault="008349D9" w:rsidP="008F28EC">
            <w:pPr>
              <w:jc w:val="center"/>
              <w:rPr>
                <w:b/>
                <w:noProof/>
                <w:lang w:eastAsia="fr-FR"/>
              </w:rPr>
            </w:pPr>
          </w:p>
          <w:p w14:paraId="0E00CC21" w14:textId="4183A5FA" w:rsidR="008349D9" w:rsidRPr="008F28EC" w:rsidRDefault="008349D9" w:rsidP="008F28EC">
            <w:pPr>
              <w:jc w:val="center"/>
              <w:rPr>
                <w:b/>
                <w:noProof/>
                <w:lang w:eastAsia="fr-FR"/>
              </w:rPr>
            </w:pPr>
            <w:r w:rsidRPr="008F28EC">
              <w:rPr>
                <w:b/>
                <w:noProof/>
                <w:lang w:eastAsia="fr-FR"/>
              </w:rPr>
              <w:t>ANTICIPER</w:t>
            </w:r>
          </w:p>
          <w:p w14:paraId="616A2DF4" w14:textId="535C10E4" w:rsidR="008349D9" w:rsidRPr="008F28EC" w:rsidRDefault="008349D9" w:rsidP="008F28EC">
            <w:pPr>
              <w:jc w:val="center"/>
              <w:rPr>
                <w:b/>
              </w:rPr>
            </w:pPr>
          </w:p>
        </w:tc>
        <w:tc>
          <w:tcPr>
            <w:tcW w:w="3021" w:type="dxa"/>
          </w:tcPr>
          <w:p w14:paraId="2E52DAE6" w14:textId="77777777" w:rsidR="008349D9" w:rsidRPr="008F28EC" w:rsidRDefault="008349D9" w:rsidP="008F28EC">
            <w:pPr>
              <w:jc w:val="center"/>
              <w:rPr>
                <w:b/>
              </w:rPr>
            </w:pPr>
          </w:p>
          <w:p w14:paraId="4171D550" w14:textId="6A7ABAC3" w:rsidR="008349D9" w:rsidRPr="008F28EC" w:rsidRDefault="008349D9" w:rsidP="008F28EC">
            <w:pPr>
              <w:jc w:val="center"/>
              <w:rPr>
                <w:b/>
              </w:rPr>
            </w:pPr>
            <w:r w:rsidRPr="008F28EC">
              <w:rPr>
                <w:b/>
              </w:rPr>
              <w:t>PROTEGER</w:t>
            </w:r>
          </w:p>
        </w:tc>
        <w:tc>
          <w:tcPr>
            <w:tcW w:w="3021" w:type="dxa"/>
          </w:tcPr>
          <w:p w14:paraId="5C928F06" w14:textId="77777777" w:rsidR="008349D9" w:rsidRPr="008F28EC" w:rsidRDefault="008349D9" w:rsidP="008F28EC">
            <w:pPr>
              <w:jc w:val="center"/>
              <w:rPr>
                <w:b/>
              </w:rPr>
            </w:pPr>
          </w:p>
          <w:p w14:paraId="47113893" w14:textId="00728BED" w:rsidR="008F28EC" w:rsidRPr="008F28EC" w:rsidRDefault="008F28EC" w:rsidP="008F28EC">
            <w:pPr>
              <w:jc w:val="center"/>
              <w:rPr>
                <w:b/>
              </w:rPr>
            </w:pPr>
            <w:r w:rsidRPr="008F28EC">
              <w:rPr>
                <w:b/>
              </w:rPr>
              <w:t>REAGIR</w:t>
            </w:r>
          </w:p>
        </w:tc>
      </w:tr>
    </w:tbl>
    <w:p w14:paraId="07EC8A06" w14:textId="77777777" w:rsidR="008349D9" w:rsidRDefault="008349D9" w:rsidP="008F28EC">
      <w:pPr>
        <w:jc w:val="both"/>
      </w:pPr>
    </w:p>
    <w:p w14:paraId="63EB9995" w14:textId="056DCCE1" w:rsidR="00233023" w:rsidRDefault="00120C7C" w:rsidP="008F28EC">
      <w:pPr>
        <w:jc w:val="both"/>
      </w:pPr>
      <w:r>
        <w:t xml:space="preserve">Ainsi, dans le </w:t>
      </w:r>
      <w:bookmarkStart w:id="0" w:name="_GoBack"/>
      <w:bookmarkEnd w:id="0"/>
      <w:r>
        <w:t xml:space="preserve">cadre de ses missions, Associates of </w:t>
      </w:r>
      <w:proofErr w:type="spellStart"/>
      <w:r>
        <w:t>Knowledge</w:t>
      </w:r>
      <w:proofErr w:type="spellEnd"/>
      <w:r>
        <w:t xml:space="preserve"> fournit des services opérationnels en matière de sécurité et de défense en faisant appel aux experts les plus qualifiés dans le domaine</w:t>
      </w:r>
      <w:r w:rsidR="00DC3895">
        <w:t xml:space="preserve"> </w:t>
      </w:r>
      <w:commentRangeStart w:id="1"/>
      <w:r w:rsidR="00DC3895">
        <w:t>(qui sont nos collaborateurs ?)</w:t>
      </w:r>
      <w:commentRangeEnd w:id="1"/>
      <w:r w:rsidR="00DC3895">
        <w:rPr>
          <w:rStyle w:val="Marquedecommentaire"/>
        </w:rPr>
        <w:commentReference w:id="1"/>
      </w:r>
      <w:r>
        <w:t xml:space="preserve">. La plus-value d’ASK réside dans le fait de la double culture de </w:t>
      </w:r>
      <w:r w:rsidRPr="00120C7C">
        <w:rPr>
          <w:b/>
        </w:rPr>
        <w:t>recherche</w:t>
      </w:r>
      <w:r>
        <w:t xml:space="preserve"> et </w:t>
      </w:r>
      <w:r w:rsidRPr="00120C7C">
        <w:rPr>
          <w:b/>
        </w:rPr>
        <w:t>opérationnelle</w:t>
      </w:r>
      <w:r>
        <w:t xml:space="preserve"> démontrant ainsi une réelle </w:t>
      </w:r>
      <w:r w:rsidRPr="00DC3895">
        <w:rPr>
          <w:b/>
        </w:rPr>
        <w:t>démarche d’amélioration continue</w:t>
      </w:r>
      <w:r>
        <w:t xml:space="preserve"> et d’innovation continuelle.</w:t>
      </w:r>
    </w:p>
    <w:p w14:paraId="42C69DEE" w14:textId="31125896" w:rsidR="008F28EC" w:rsidRDefault="008F28EC" w:rsidP="00233023">
      <w:r>
        <w:rPr>
          <w:noProof/>
          <w:lang w:eastAsia="fr-FR"/>
        </w:rPr>
        <w:drawing>
          <wp:inline distT="0" distB="0" distL="0" distR="0" wp14:anchorId="47D5346D" wp14:editId="0BB219A4">
            <wp:extent cx="5795158" cy="2018665"/>
            <wp:effectExtent l="0" t="0" r="0" b="19685"/>
            <wp:docPr id="7"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7DD3D6C" w14:textId="16E0F077" w:rsidR="00DC3895" w:rsidRDefault="00DC3895" w:rsidP="00233023">
      <w:r>
        <w:t xml:space="preserve">Associates Of </w:t>
      </w:r>
      <w:proofErr w:type="spellStart"/>
      <w:r>
        <w:t>Knowledge</w:t>
      </w:r>
      <w:proofErr w:type="spellEnd"/>
      <w:r>
        <w:t xml:space="preserve"> est structurée de façon telle que nous sommes en capacité de répondre à tous les besoins de sécurité et de défense des organisations. Vous pouvez prendre connaissance de la structuration d’ASK en allant consulter la page de chaque cabinet.</w:t>
      </w:r>
    </w:p>
    <w:p w14:paraId="1CCD4137" w14:textId="7AD64730" w:rsidR="00526EB9" w:rsidRDefault="00526EB9" w:rsidP="00526EB9">
      <w:r>
        <w:t xml:space="preserve">Associates of </w:t>
      </w:r>
      <w:proofErr w:type="spellStart"/>
      <w:r>
        <w:t>Knowledge</w:t>
      </w:r>
      <w:proofErr w:type="spellEnd"/>
      <w:r>
        <w:t xml:space="preserve"> étant également un centre de formation en matière de sécurité et de défense pour palier l’écart entre les besoins existants et la réalité du terrain, elle propose une large gammes de formation (forces armées, forces de sécurité, </w:t>
      </w:r>
      <w:proofErr w:type="spellStart"/>
      <w:r>
        <w:t>etc</w:t>
      </w:r>
      <w:proofErr w:type="spellEnd"/>
      <w:r>
        <w:t>), accompagne chaque acteur dans la logistique (construction d’installation, ravitaillement en matériels et entretiens), dans le conseil et l’assistance tactique (conception de simulation de conflit et assistance), la sécurité (surveillance d’installation et protection rapprochée) et enfin, le renseignement</w:t>
      </w:r>
    </w:p>
    <w:p w14:paraId="1B10B9C0" w14:textId="77777777" w:rsidR="00526EB9" w:rsidRDefault="00526EB9" w:rsidP="00526EB9">
      <w:r>
        <w:t xml:space="preserve">Les destinataires de ces services sont multiples, les principales solutions étant d’accompagner les organisations à l’international, les organisations gouvernementales, les institutions, d’assister les entreprises privées et publiques ainsi que d’assurer la protection des biens et physique des personnes. </w:t>
      </w:r>
    </w:p>
    <w:p w14:paraId="097602A3" w14:textId="6BB2AFF3" w:rsidR="00526EB9" w:rsidRPr="00233023" w:rsidRDefault="00526EB9" w:rsidP="00526EB9">
      <w:r>
        <w:lastRenderedPageBreak/>
        <w:t xml:space="preserve">En vertu des codes internationaux durcis depuis 2003, il semble nécessaire de spécifier qu’Associates of </w:t>
      </w:r>
      <w:proofErr w:type="spellStart"/>
      <w:r>
        <w:t>Knowledge</w:t>
      </w:r>
      <w:proofErr w:type="spellEnd"/>
      <w:r>
        <w:t xml:space="preserve"> n’entend pas pratiquer d’opérations paramilitaires, n’engage aucun personnel au combat et demeure en totale conformité avec les contraintes économiques et réglementaires françaises.</w:t>
      </w:r>
    </w:p>
    <w:sectPr w:rsidR="00526EB9" w:rsidRPr="00233023">
      <w:headerReference w:type="default" r:id="rId2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ILLER, AYMERIC" w:date="2018-07-11T15:57:00Z" w:initials="MA">
    <w:p w14:paraId="75BABBB2" w14:textId="47CD7BC7" w:rsidR="00DC3895" w:rsidRDefault="00DC3895">
      <w:pPr>
        <w:pStyle w:val="Commentaire"/>
      </w:pPr>
      <w:r>
        <w:rPr>
          <w:rStyle w:val="Marquedecommentaire"/>
        </w:rPr>
        <w:annotationRef/>
      </w:r>
      <w:r>
        <w:t>Lien vers la présentation des collaborateurs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BABBB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D1C333" w14:textId="77777777" w:rsidR="00233023" w:rsidRDefault="00233023" w:rsidP="00233023">
      <w:pPr>
        <w:spacing w:after="0" w:line="240" w:lineRule="auto"/>
      </w:pPr>
      <w:r>
        <w:separator/>
      </w:r>
    </w:p>
  </w:endnote>
  <w:endnote w:type="continuationSeparator" w:id="0">
    <w:p w14:paraId="1BB96D8D" w14:textId="77777777" w:rsidR="00233023" w:rsidRDefault="00233023" w:rsidP="00233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1AB234" w14:textId="77777777" w:rsidR="00233023" w:rsidRDefault="00233023" w:rsidP="00233023">
      <w:pPr>
        <w:spacing w:after="0" w:line="240" w:lineRule="auto"/>
      </w:pPr>
      <w:r>
        <w:separator/>
      </w:r>
    </w:p>
  </w:footnote>
  <w:footnote w:type="continuationSeparator" w:id="0">
    <w:p w14:paraId="4AA35B30" w14:textId="77777777" w:rsidR="00233023" w:rsidRDefault="00233023" w:rsidP="00233023">
      <w:pPr>
        <w:spacing w:after="0" w:line="240" w:lineRule="auto"/>
      </w:pPr>
      <w:r>
        <w:continuationSeparator/>
      </w:r>
    </w:p>
  </w:footnote>
  <w:footnote w:id="1">
    <w:p w14:paraId="2BC049A9" w14:textId="77777777" w:rsidR="00233023" w:rsidRDefault="00233023">
      <w:pPr>
        <w:pStyle w:val="Notedebasdepage"/>
      </w:pPr>
      <w:r>
        <w:rPr>
          <w:rStyle w:val="Appelnotedebasdep"/>
        </w:rPr>
        <w:footnoteRef/>
      </w:r>
      <w:r>
        <w:t xml:space="preserve"> </w:t>
      </w:r>
      <w:r w:rsidRPr="00233023">
        <w:t>Qui relève de l'autorité souveraine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91C97" w14:textId="77777777" w:rsidR="00233023" w:rsidRDefault="00233023" w:rsidP="00233023">
    <w:pPr>
      <w:jc w:val="center"/>
    </w:pPr>
    <w:r>
      <w:t>Présentation d’ASK</w:t>
    </w:r>
  </w:p>
  <w:p w14:paraId="532AB96D" w14:textId="77777777" w:rsidR="00233023" w:rsidRDefault="0023302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F6BBE"/>
    <w:multiLevelType w:val="hybridMultilevel"/>
    <w:tmpl w:val="6B32F3F8"/>
    <w:lvl w:ilvl="0" w:tplc="73AAA36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7A55050"/>
    <w:multiLevelType w:val="hybridMultilevel"/>
    <w:tmpl w:val="1F488D46"/>
    <w:lvl w:ilvl="0" w:tplc="73AAA36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ILLER, AYMERIC">
    <w15:presenceInfo w15:providerId="AD" w15:userId="S-1-5-21-1014176260-98930707-4043447730-7114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revisionView w:markup="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023"/>
    <w:rsid w:val="0011371F"/>
    <w:rsid w:val="00120C7C"/>
    <w:rsid w:val="00144E5C"/>
    <w:rsid w:val="00233023"/>
    <w:rsid w:val="00526EB9"/>
    <w:rsid w:val="006D46C8"/>
    <w:rsid w:val="00820341"/>
    <w:rsid w:val="008349D9"/>
    <w:rsid w:val="008F28EC"/>
    <w:rsid w:val="009A1591"/>
    <w:rsid w:val="00C813AE"/>
    <w:rsid w:val="00DC38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1D926"/>
  <w15:chartTrackingRefBased/>
  <w15:docId w15:val="{3974EA41-4742-4F40-B1C2-08FFC3187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33023"/>
    <w:pPr>
      <w:tabs>
        <w:tab w:val="center" w:pos="4536"/>
        <w:tab w:val="right" w:pos="9072"/>
      </w:tabs>
      <w:spacing w:after="0" w:line="240" w:lineRule="auto"/>
    </w:pPr>
  </w:style>
  <w:style w:type="character" w:customStyle="1" w:styleId="En-tteCar">
    <w:name w:val="En-tête Car"/>
    <w:basedOn w:val="Policepardfaut"/>
    <w:link w:val="En-tte"/>
    <w:uiPriority w:val="99"/>
    <w:rsid w:val="00233023"/>
  </w:style>
  <w:style w:type="paragraph" w:styleId="Pieddepage">
    <w:name w:val="footer"/>
    <w:basedOn w:val="Normal"/>
    <w:link w:val="PieddepageCar"/>
    <w:uiPriority w:val="99"/>
    <w:unhideWhenUsed/>
    <w:rsid w:val="0023302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3023"/>
  </w:style>
  <w:style w:type="paragraph" w:styleId="Paragraphedeliste">
    <w:name w:val="List Paragraph"/>
    <w:basedOn w:val="Normal"/>
    <w:uiPriority w:val="34"/>
    <w:qFormat/>
    <w:rsid w:val="00233023"/>
    <w:pPr>
      <w:ind w:left="720"/>
      <w:contextualSpacing/>
    </w:pPr>
  </w:style>
  <w:style w:type="character" w:styleId="Marquedecommentaire">
    <w:name w:val="annotation reference"/>
    <w:basedOn w:val="Policepardfaut"/>
    <w:uiPriority w:val="99"/>
    <w:semiHidden/>
    <w:unhideWhenUsed/>
    <w:rsid w:val="00233023"/>
    <w:rPr>
      <w:sz w:val="16"/>
      <w:szCs w:val="16"/>
    </w:rPr>
  </w:style>
  <w:style w:type="paragraph" w:styleId="Commentaire">
    <w:name w:val="annotation text"/>
    <w:basedOn w:val="Normal"/>
    <w:link w:val="CommentaireCar"/>
    <w:uiPriority w:val="99"/>
    <w:semiHidden/>
    <w:unhideWhenUsed/>
    <w:rsid w:val="00233023"/>
    <w:pPr>
      <w:spacing w:line="240" w:lineRule="auto"/>
    </w:pPr>
    <w:rPr>
      <w:sz w:val="20"/>
      <w:szCs w:val="20"/>
    </w:rPr>
  </w:style>
  <w:style w:type="character" w:customStyle="1" w:styleId="CommentaireCar">
    <w:name w:val="Commentaire Car"/>
    <w:basedOn w:val="Policepardfaut"/>
    <w:link w:val="Commentaire"/>
    <w:uiPriority w:val="99"/>
    <w:semiHidden/>
    <w:rsid w:val="00233023"/>
    <w:rPr>
      <w:sz w:val="20"/>
      <w:szCs w:val="20"/>
    </w:rPr>
  </w:style>
  <w:style w:type="paragraph" w:styleId="Objetducommentaire">
    <w:name w:val="annotation subject"/>
    <w:basedOn w:val="Commentaire"/>
    <w:next w:val="Commentaire"/>
    <w:link w:val="ObjetducommentaireCar"/>
    <w:uiPriority w:val="99"/>
    <w:semiHidden/>
    <w:unhideWhenUsed/>
    <w:rsid w:val="00233023"/>
    <w:rPr>
      <w:b/>
      <w:bCs/>
    </w:rPr>
  </w:style>
  <w:style w:type="character" w:customStyle="1" w:styleId="ObjetducommentaireCar">
    <w:name w:val="Objet du commentaire Car"/>
    <w:basedOn w:val="CommentaireCar"/>
    <w:link w:val="Objetducommentaire"/>
    <w:uiPriority w:val="99"/>
    <w:semiHidden/>
    <w:rsid w:val="00233023"/>
    <w:rPr>
      <w:b/>
      <w:bCs/>
      <w:sz w:val="20"/>
      <w:szCs w:val="20"/>
    </w:rPr>
  </w:style>
  <w:style w:type="paragraph" w:styleId="Textedebulles">
    <w:name w:val="Balloon Text"/>
    <w:basedOn w:val="Normal"/>
    <w:link w:val="TextedebullesCar"/>
    <w:uiPriority w:val="99"/>
    <w:semiHidden/>
    <w:unhideWhenUsed/>
    <w:rsid w:val="0023302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33023"/>
    <w:rPr>
      <w:rFonts w:ascii="Segoe UI" w:hAnsi="Segoe UI" w:cs="Segoe UI"/>
      <w:sz w:val="18"/>
      <w:szCs w:val="18"/>
    </w:rPr>
  </w:style>
  <w:style w:type="paragraph" w:styleId="Notedebasdepage">
    <w:name w:val="footnote text"/>
    <w:basedOn w:val="Normal"/>
    <w:link w:val="NotedebasdepageCar"/>
    <w:uiPriority w:val="99"/>
    <w:semiHidden/>
    <w:unhideWhenUsed/>
    <w:rsid w:val="0023302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33023"/>
    <w:rPr>
      <w:sz w:val="20"/>
      <w:szCs w:val="20"/>
    </w:rPr>
  </w:style>
  <w:style w:type="character" w:styleId="Appelnotedebasdep">
    <w:name w:val="footnote reference"/>
    <w:basedOn w:val="Policepardfaut"/>
    <w:uiPriority w:val="99"/>
    <w:semiHidden/>
    <w:unhideWhenUsed/>
    <w:rsid w:val="00233023"/>
    <w:rPr>
      <w:vertAlign w:val="superscript"/>
    </w:rPr>
  </w:style>
  <w:style w:type="table" w:styleId="Grilledutableau">
    <w:name w:val="Table Grid"/>
    <w:basedOn w:val="TableauNormal"/>
    <w:uiPriority w:val="59"/>
    <w:unhideWhenUsed/>
    <w:rsid w:val="00144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image" Target="media/image3.jpe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2.jpeg"/><Relationship Id="rId14" Type="http://schemas.microsoft.com/office/2011/relationships/commentsExtended" Target="commentsExtended.xml"/><Relationship Id="rId22"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202A40-B7CE-4FD9-A33D-65AC41A1BA48}" type="doc">
      <dgm:prSet loTypeId="urn:microsoft.com/office/officeart/2005/8/layout/cycle8" loCatId="cycle" qsTypeId="urn:microsoft.com/office/officeart/2005/8/quickstyle/simple5" qsCatId="simple" csTypeId="urn:microsoft.com/office/officeart/2005/8/colors/accent1_2" csCatId="accent1" phldr="1"/>
      <dgm:spPr/>
    </dgm:pt>
    <dgm:pt modelId="{8C608053-008F-4B02-B3D2-897D94107B91}">
      <dgm:prSet phldrT="[Texte]"/>
      <dgm:spPr/>
      <dgm:t>
        <a:bodyPr/>
        <a:lstStyle/>
        <a:p>
          <a:pPr algn="ctr"/>
          <a:r>
            <a:rPr lang="fr-FR"/>
            <a:t>Recherche</a:t>
          </a:r>
        </a:p>
      </dgm:t>
    </dgm:pt>
    <dgm:pt modelId="{12332B61-F776-454A-92D8-B039BBE2B8D8}" type="parTrans" cxnId="{0D7390B6-FB57-4FE3-9E5E-9CE18FC638D0}">
      <dgm:prSet/>
      <dgm:spPr/>
      <dgm:t>
        <a:bodyPr/>
        <a:lstStyle/>
        <a:p>
          <a:pPr algn="ctr"/>
          <a:endParaRPr lang="fr-FR"/>
        </a:p>
      </dgm:t>
    </dgm:pt>
    <dgm:pt modelId="{5934DE78-522E-4AB1-800F-DA41EB890E50}" type="sibTrans" cxnId="{0D7390B6-FB57-4FE3-9E5E-9CE18FC638D0}">
      <dgm:prSet/>
      <dgm:spPr/>
      <dgm:t>
        <a:bodyPr/>
        <a:lstStyle/>
        <a:p>
          <a:pPr algn="ctr"/>
          <a:endParaRPr lang="fr-FR"/>
        </a:p>
      </dgm:t>
    </dgm:pt>
    <dgm:pt modelId="{1AFB9D97-B40B-4895-8A41-58E78D03A09E}">
      <dgm:prSet phldrT="[Texte]"/>
      <dgm:spPr/>
      <dgm:t>
        <a:bodyPr/>
        <a:lstStyle/>
        <a:p>
          <a:pPr algn="ctr"/>
          <a:r>
            <a:rPr lang="fr-FR"/>
            <a:t>Opérationnel</a:t>
          </a:r>
        </a:p>
      </dgm:t>
    </dgm:pt>
    <dgm:pt modelId="{FB4E13BE-F8E5-4ED1-865E-DA6C4C282264}" type="parTrans" cxnId="{F0BD525C-967D-4A4D-91C3-B6E1B504E13F}">
      <dgm:prSet/>
      <dgm:spPr/>
      <dgm:t>
        <a:bodyPr/>
        <a:lstStyle/>
        <a:p>
          <a:pPr algn="ctr"/>
          <a:endParaRPr lang="fr-FR"/>
        </a:p>
      </dgm:t>
    </dgm:pt>
    <dgm:pt modelId="{ACAF49D8-2783-4E9B-9E44-4A67F65334A7}" type="sibTrans" cxnId="{F0BD525C-967D-4A4D-91C3-B6E1B504E13F}">
      <dgm:prSet/>
      <dgm:spPr/>
      <dgm:t>
        <a:bodyPr/>
        <a:lstStyle/>
        <a:p>
          <a:pPr algn="ctr"/>
          <a:endParaRPr lang="fr-FR"/>
        </a:p>
      </dgm:t>
    </dgm:pt>
    <dgm:pt modelId="{F10E60A4-A3F4-451A-9B63-EF24313663AC}" type="pres">
      <dgm:prSet presAssocID="{FA202A40-B7CE-4FD9-A33D-65AC41A1BA48}" presName="compositeShape" presStyleCnt="0">
        <dgm:presLayoutVars>
          <dgm:chMax val="7"/>
          <dgm:dir/>
          <dgm:resizeHandles val="exact"/>
        </dgm:presLayoutVars>
      </dgm:prSet>
      <dgm:spPr/>
    </dgm:pt>
    <dgm:pt modelId="{49E0DBCA-BDFB-4991-971E-312D9580EAC7}" type="pres">
      <dgm:prSet presAssocID="{FA202A40-B7CE-4FD9-A33D-65AC41A1BA48}" presName="wedge1" presStyleLbl="node1" presStyleIdx="0" presStyleCnt="2"/>
      <dgm:spPr/>
    </dgm:pt>
    <dgm:pt modelId="{9DE15A8B-AB9B-47A6-A3E1-D422F32A3DBD}" type="pres">
      <dgm:prSet presAssocID="{FA202A40-B7CE-4FD9-A33D-65AC41A1BA48}" presName="dummy1a" presStyleCnt="0"/>
      <dgm:spPr/>
    </dgm:pt>
    <dgm:pt modelId="{F564E144-CE17-400A-9FF8-69935CFB1590}" type="pres">
      <dgm:prSet presAssocID="{FA202A40-B7CE-4FD9-A33D-65AC41A1BA48}" presName="dummy1b" presStyleCnt="0"/>
      <dgm:spPr/>
    </dgm:pt>
    <dgm:pt modelId="{16E41CDF-BDF2-4657-BDFE-7E59BACF6016}" type="pres">
      <dgm:prSet presAssocID="{FA202A40-B7CE-4FD9-A33D-65AC41A1BA48}" presName="wedge1Tx" presStyleLbl="node1" presStyleIdx="0" presStyleCnt="2">
        <dgm:presLayoutVars>
          <dgm:chMax val="0"/>
          <dgm:chPref val="0"/>
          <dgm:bulletEnabled val="1"/>
        </dgm:presLayoutVars>
      </dgm:prSet>
      <dgm:spPr/>
    </dgm:pt>
    <dgm:pt modelId="{E5EAE278-C56B-4F72-A4C7-990EB2E28889}" type="pres">
      <dgm:prSet presAssocID="{FA202A40-B7CE-4FD9-A33D-65AC41A1BA48}" presName="wedge2" presStyleLbl="node1" presStyleIdx="1" presStyleCnt="2"/>
      <dgm:spPr/>
    </dgm:pt>
    <dgm:pt modelId="{FE9679A9-24FA-4069-8A2F-33B96D804341}" type="pres">
      <dgm:prSet presAssocID="{FA202A40-B7CE-4FD9-A33D-65AC41A1BA48}" presName="dummy2a" presStyleCnt="0"/>
      <dgm:spPr/>
    </dgm:pt>
    <dgm:pt modelId="{0125E826-BDD7-46C4-A7B7-282F1874114B}" type="pres">
      <dgm:prSet presAssocID="{FA202A40-B7CE-4FD9-A33D-65AC41A1BA48}" presName="dummy2b" presStyleCnt="0"/>
      <dgm:spPr/>
    </dgm:pt>
    <dgm:pt modelId="{45DD4521-CC4F-4F85-8035-C8B91BCAC4AA}" type="pres">
      <dgm:prSet presAssocID="{FA202A40-B7CE-4FD9-A33D-65AC41A1BA48}" presName="wedge2Tx" presStyleLbl="node1" presStyleIdx="1" presStyleCnt="2">
        <dgm:presLayoutVars>
          <dgm:chMax val="0"/>
          <dgm:chPref val="0"/>
          <dgm:bulletEnabled val="1"/>
        </dgm:presLayoutVars>
      </dgm:prSet>
      <dgm:spPr/>
    </dgm:pt>
    <dgm:pt modelId="{C190DD99-FC70-4989-9875-CC6B4D45516C}" type="pres">
      <dgm:prSet presAssocID="{5934DE78-522E-4AB1-800F-DA41EB890E50}" presName="arrowWedge1" presStyleLbl="fgSibTrans2D1" presStyleIdx="0" presStyleCnt="2"/>
      <dgm:spPr/>
    </dgm:pt>
    <dgm:pt modelId="{DA461136-D8B3-4B6B-94DE-EE85074305C5}" type="pres">
      <dgm:prSet presAssocID="{ACAF49D8-2783-4E9B-9E44-4A67F65334A7}" presName="arrowWedge2" presStyleLbl="fgSibTrans2D1" presStyleIdx="1" presStyleCnt="2"/>
      <dgm:spPr/>
    </dgm:pt>
  </dgm:ptLst>
  <dgm:cxnLst>
    <dgm:cxn modelId="{DA02F6A6-5536-4A0E-8841-8583833D93D9}" type="presOf" srcId="{8C608053-008F-4B02-B3D2-897D94107B91}" destId="{16E41CDF-BDF2-4657-BDFE-7E59BACF6016}" srcOrd="1" destOrd="0" presId="urn:microsoft.com/office/officeart/2005/8/layout/cycle8"/>
    <dgm:cxn modelId="{8010FB9B-5275-458E-97AB-0C1A123FEE5C}" type="presOf" srcId="{1AFB9D97-B40B-4895-8A41-58E78D03A09E}" destId="{E5EAE278-C56B-4F72-A4C7-990EB2E28889}" srcOrd="0" destOrd="0" presId="urn:microsoft.com/office/officeart/2005/8/layout/cycle8"/>
    <dgm:cxn modelId="{F9AA1A2E-2AF3-483D-884A-319B8311B489}" type="presOf" srcId="{1AFB9D97-B40B-4895-8A41-58E78D03A09E}" destId="{45DD4521-CC4F-4F85-8035-C8B91BCAC4AA}" srcOrd="1" destOrd="0" presId="urn:microsoft.com/office/officeart/2005/8/layout/cycle8"/>
    <dgm:cxn modelId="{F0BD525C-967D-4A4D-91C3-B6E1B504E13F}" srcId="{FA202A40-B7CE-4FD9-A33D-65AC41A1BA48}" destId="{1AFB9D97-B40B-4895-8A41-58E78D03A09E}" srcOrd="1" destOrd="0" parTransId="{FB4E13BE-F8E5-4ED1-865E-DA6C4C282264}" sibTransId="{ACAF49D8-2783-4E9B-9E44-4A67F65334A7}"/>
    <dgm:cxn modelId="{3E3BB114-964E-4930-AB01-30870899BC97}" type="presOf" srcId="{FA202A40-B7CE-4FD9-A33D-65AC41A1BA48}" destId="{F10E60A4-A3F4-451A-9B63-EF24313663AC}" srcOrd="0" destOrd="0" presId="urn:microsoft.com/office/officeart/2005/8/layout/cycle8"/>
    <dgm:cxn modelId="{9101A3B9-1018-440A-9C31-01FCE74FA7D8}" type="presOf" srcId="{8C608053-008F-4B02-B3D2-897D94107B91}" destId="{49E0DBCA-BDFB-4991-971E-312D9580EAC7}" srcOrd="0" destOrd="0" presId="urn:microsoft.com/office/officeart/2005/8/layout/cycle8"/>
    <dgm:cxn modelId="{0D7390B6-FB57-4FE3-9E5E-9CE18FC638D0}" srcId="{FA202A40-B7CE-4FD9-A33D-65AC41A1BA48}" destId="{8C608053-008F-4B02-B3D2-897D94107B91}" srcOrd="0" destOrd="0" parTransId="{12332B61-F776-454A-92D8-B039BBE2B8D8}" sibTransId="{5934DE78-522E-4AB1-800F-DA41EB890E50}"/>
    <dgm:cxn modelId="{EABCBD11-9EB1-4E46-BC7B-115FADEE6146}" type="presParOf" srcId="{F10E60A4-A3F4-451A-9B63-EF24313663AC}" destId="{49E0DBCA-BDFB-4991-971E-312D9580EAC7}" srcOrd="0" destOrd="0" presId="urn:microsoft.com/office/officeart/2005/8/layout/cycle8"/>
    <dgm:cxn modelId="{F644B34D-CA16-4E15-8793-B893BC641A65}" type="presParOf" srcId="{F10E60A4-A3F4-451A-9B63-EF24313663AC}" destId="{9DE15A8B-AB9B-47A6-A3E1-D422F32A3DBD}" srcOrd="1" destOrd="0" presId="urn:microsoft.com/office/officeart/2005/8/layout/cycle8"/>
    <dgm:cxn modelId="{2A6A2434-9C33-4028-BC16-1040C2042362}" type="presParOf" srcId="{F10E60A4-A3F4-451A-9B63-EF24313663AC}" destId="{F564E144-CE17-400A-9FF8-69935CFB1590}" srcOrd="2" destOrd="0" presId="urn:microsoft.com/office/officeart/2005/8/layout/cycle8"/>
    <dgm:cxn modelId="{252B1FC3-BA28-4AEC-9099-A398D19149BE}" type="presParOf" srcId="{F10E60A4-A3F4-451A-9B63-EF24313663AC}" destId="{16E41CDF-BDF2-4657-BDFE-7E59BACF6016}" srcOrd="3" destOrd="0" presId="urn:microsoft.com/office/officeart/2005/8/layout/cycle8"/>
    <dgm:cxn modelId="{83CDC5BB-8F9A-4321-BE7D-83FE78BEA32A}" type="presParOf" srcId="{F10E60A4-A3F4-451A-9B63-EF24313663AC}" destId="{E5EAE278-C56B-4F72-A4C7-990EB2E28889}" srcOrd="4" destOrd="0" presId="urn:microsoft.com/office/officeart/2005/8/layout/cycle8"/>
    <dgm:cxn modelId="{258B198D-3193-470E-A0E6-ECE1286F31EE}" type="presParOf" srcId="{F10E60A4-A3F4-451A-9B63-EF24313663AC}" destId="{FE9679A9-24FA-4069-8A2F-33B96D804341}" srcOrd="5" destOrd="0" presId="urn:microsoft.com/office/officeart/2005/8/layout/cycle8"/>
    <dgm:cxn modelId="{504982D8-CD34-4447-A5A0-09D9A61563BE}" type="presParOf" srcId="{F10E60A4-A3F4-451A-9B63-EF24313663AC}" destId="{0125E826-BDD7-46C4-A7B7-282F1874114B}" srcOrd="6" destOrd="0" presId="urn:microsoft.com/office/officeart/2005/8/layout/cycle8"/>
    <dgm:cxn modelId="{E63356B6-E4D0-42B4-9EDE-2CB8B4A58686}" type="presParOf" srcId="{F10E60A4-A3F4-451A-9B63-EF24313663AC}" destId="{45DD4521-CC4F-4F85-8035-C8B91BCAC4AA}" srcOrd="7" destOrd="0" presId="urn:microsoft.com/office/officeart/2005/8/layout/cycle8"/>
    <dgm:cxn modelId="{1B7A0FFE-25A7-4E56-A535-331322EA7010}" type="presParOf" srcId="{F10E60A4-A3F4-451A-9B63-EF24313663AC}" destId="{C190DD99-FC70-4989-9875-CC6B4D45516C}" srcOrd="8" destOrd="0" presId="urn:microsoft.com/office/officeart/2005/8/layout/cycle8"/>
    <dgm:cxn modelId="{5BC6945D-B5D7-4EF1-B7D2-02DD2A776E68}" type="presParOf" srcId="{F10E60A4-A3F4-451A-9B63-EF24313663AC}" destId="{DA461136-D8B3-4B6B-94DE-EE85074305C5}" srcOrd="9" destOrd="0" presId="urn:microsoft.com/office/officeart/2005/8/layout/cycle8"/>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E0DBCA-BDFB-4991-971E-312D9580EAC7}">
      <dsp:nvSpPr>
        <dsp:cNvPr id="0" name=""/>
        <dsp:cNvSpPr/>
      </dsp:nvSpPr>
      <dsp:spPr>
        <a:xfrm>
          <a:off x="2090113" y="143493"/>
          <a:ext cx="1695678" cy="1695678"/>
        </a:xfrm>
        <a:prstGeom prst="pie">
          <a:avLst>
            <a:gd name="adj1" fmla="val 16200000"/>
            <a:gd name="adj2" fmla="val 540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Recherche</a:t>
          </a:r>
        </a:p>
      </dsp:txBody>
      <dsp:txXfrm>
        <a:off x="3016680" y="587599"/>
        <a:ext cx="605599" cy="807466"/>
      </dsp:txXfrm>
    </dsp:sp>
    <dsp:sp modelId="{E5EAE278-C56B-4F72-A4C7-990EB2E28889}">
      <dsp:nvSpPr>
        <dsp:cNvPr id="0" name=""/>
        <dsp:cNvSpPr/>
      </dsp:nvSpPr>
      <dsp:spPr>
        <a:xfrm>
          <a:off x="2009366" y="143493"/>
          <a:ext cx="1695678" cy="1695678"/>
        </a:xfrm>
        <a:prstGeom prst="pie">
          <a:avLst>
            <a:gd name="adj1" fmla="val 5400000"/>
            <a:gd name="adj2" fmla="val 1620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Opérationnel</a:t>
          </a:r>
        </a:p>
      </dsp:txBody>
      <dsp:txXfrm>
        <a:off x="2172878" y="587599"/>
        <a:ext cx="605599" cy="807466"/>
      </dsp:txXfrm>
    </dsp:sp>
    <dsp:sp modelId="{C190DD99-FC70-4989-9875-CC6B4D45516C}">
      <dsp:nvSpPr>
        <dsp:cNvPr id="0" name=""/>
        <dsp:cNvSpPr/>
      </dsp:nvSpPr>
      <dsp:spPr>
        <a:xfrm>
          <a:off x="1985142" y="38522"/>
          <a:ext cx="1905619" cy="1905619"/>
        </a:xfrm>
        <a:prstGeom prst="circularArrow">
          <a:avLst>
            <a:gd name="adj1" fmla="val 5085"/>
            <a:gd name="adj2" fmla="val 327528"/>
            <a:gd name="adj3" fmla="val 5072472"/>
            <a:gd name="adj4" fmla="val 16200000"/>
            <a:gd name="adj5" fmla="val 5932"/>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DA461136-D8B3-4B6B-94DE-EE85074305C5}">
      <dsp:nvSpPr>
        <dsp:cNvPr id="0" name=""/>
        <dsp:cNvSpPr/>
      </dsp:nvSpPr>
      <dsp:spPr>
        <a:xfrm>
          <a:off x="1904395" y="38522"/>
          <a:ext cx="1905619" cy="1905619"/>
        </a:xfrm>
        <a:prstGeom prst="circularArrow">
          <a:avLst>
            <a:gd name="adj1" fmla="val 5085"/>
            <a:gd name="adj2" fmla="val 327528"/>
            <a:gd name="adj3" fmla="val 15872472"/>
            <a:gd name="adj4" fmla="val 5400000"/>
            <a:gd name="adj5" fmla="val 5932"/>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91018-8F84-4470-821C-C54C33B80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415</Words>
  <Characters>2288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MAILLER, AYMERIC</dc:creator>
  <cp:keywords/>
  <dc:description/>
  <cp:lastModifiedBy>MAILLER, AYMERIC</cp:lastModifiedBy>
  <cp:revision>8</cp:revision>
  <cp:lastPrinted>2018-07-11T14:05:00Z</cp:lastPrinted>
  <dcterms:created xsi:type="dcterms:W3CDTF">2018-07-11T13:18:00Z</dcterms:created>
  <dcterms:modified xsi:type="dcterms:W3CDTF">2018-07-11T14:10:00Z</dcterms:modified>
</cp:coreProperties>
</file>