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D2C" w14:textId="4A6935D5" w:rsidR="00FC6B50" w:rsidRPr="00083671" w:rsidRDefault="00FC6B50" w:rsidP="002946C5">
      <w:pPr>
        <w:rPr>
          <w:rFonts w:cs="Times New Roman"/>
        </w:rPr>
      </w:pPr>
    </w:p>
    <w:p w14:paraId="62FB5A68" w14:textId="2111E195" w:rsidR="00174C05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 xml:space="preserve">Informe Modulo </w:t>
      </w:r>
      <w:r w:rsidR="00AE7CAE">
        <w:rPr>
          <w:rFonts w:cs="Times New Roman"/>
          <w:lang w:val="es-ES"/>
        </w:rPr>
        <w:t>5</w:t>
      </w:r>
    </w:p>
    <w:p w14:paraId="0AEC2D34" w14:textId="5240D528" w:rsidR="00174C05" w:rsidRPr="00083671" w:rsidRDefault="00AE7CAE" w:rsidP="001F6214">
      <w:pPr>
        <w:jc w:val="center"/>
        <w:rPr>
          <w:rFonts w:cs="Times New Roman"/>
          <w:lang w:val="es-ES"/>
        </w:rPr>
      </w:pPr>
      <w:r w:rsidRPr="00AE7CAE">
        <w:rPr>
          <w:rFonts w:cs="Times New Roman"/>
        </w:rPr>
        <w:t>Gestión de Suministros</w:t>
      </w:r>
    </w:p>
    <w:p w14:paraId="1AB0FCBE" w14:textId="77777777" w:rsidR="00174C05" w:rsidRDefault="00174C05" w:rsidP="001F6214">
      <w:pPr>
        <w:jc w:val="center"/>
        <w:rPr>
          <w:rFonts w:cs="Times New Roman"/>
          <w:lang w:val="es-ES"/>
        </w:rPr>
      </w:pPr>
    </w:p>
    <w:p w14:paraId="37DF6880" w14:textId="77777777" w:rsidR="00AE7CAE" w:rsidRPr="00083671" w:rsidRDefault="00AE7CAE" w:rsidP="001F6214">
      <w:pPr>
        <w:jc w:val="center"/>
        <w:rPr>
          <w:rFonts w:cs="Times New Roman"/>
          <w:lang w:val="es-ES"/>
        </w:rPr>
      </w:pPr>
    </w:p>
    <w:p w14:paraId="3B0671D9" w14:textId="4A64A893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Versión: 1.</w:t>
      </w:r>
      <w:r w:rsidR="00E02439" w:rsidRPr="00083671">
        <w:rPr>
          <w:rFonts w:cs="Times New Roman"/>
          <w:lang w:val="es-ES"/>
        </w:rPr>
        <w:t>0</w:t>
      </w:r>
      <w:r w:rsidRPr="00083671">
        <w:rPr>
          <w:rFonts w:cs="Times New Roman"/>
          <w:lang w:val="es-ES"/>
        </w:rPr>
        <w:t>.</w:t>
      </w:r>
      <w:r w:rsidR="00925318" w:rsidRPr="00083671">
        <w:rPr>
          <w:rFonts w:cs="Times New Roman"/>
          <w:lang w:val="es-ES"/>
        </w:rPr>
        <w:t>0</w:t>
      </w:r>
    </w:p>
    <w:p w14:paraId="7FBDE4C2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4F3A2D8B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3335473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3746703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28FD2C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78C335B7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14A57D2" w14:textId="1C4273A0" w:rsidR="00FC6B50" w:rsidRPr="00083671" w:rsidRDefault="00435EC7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1</w:t>
      </w:r>
      <w:r w:rsidR="00BC2B1F">
        <w:rPr>
          <w:rFonts w:cs="Times New Roman"/>
          <w:lang w:val="es-ES"/>
        </w:rPr>
        <w:t>6</w:t>
      </w:r>
      <w:r w:rsidRPr="00083671">
        <w:rPr>
          <w:rFonts w:cs="Times New Roman"/>
          <w:lang w:val="es-ES"/>
        </w:rPr>
        <w:t xml:space="preserve"> de </w:t>
      </w:r>
      <w:r w:rsidR="007533B0" w:rsidRPr="00083671">
        <w:rPr>
          <w:rFonts w:cs="Times New Roman"/>
          <w:lang w:val="es-ES"/>
        </w:rPr>
        <w:t>mayo</w:t>
      </w:r>
      <w:r w:rsidRPr="00083671">
        <w:rPr>
          <w:rFonts w:cs="Times New Roman"/>
          <w:lang w:val="es-ES"/>
        </w:rPr>
        <w:t xml:space="preserve"> del 2026</w:t>
      </w:r>
    </w:p>
    <w:p w14:paraId="73694290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27B14A9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0D6F63E6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F9A500A" w14:textId="77777777" w:rsidR="00174C05" w:rsidRPr="00083671" w:rsidRDefault="00174C05" w:rsidP="001F6214">
      <w:pPr>
        <w:jc w:val="center"/>
        <w:rPr>
          <w:rFonts w:cs="Times New Roman"/>
          <w:lang w:val="es-ES"/>
        </w:rPr>
      </w:pPr>
    </w:p>
    <w:p w14:paraId="1C17B96E" w14:textId="1ACCE201" w:rsidR="00FC6B50" w:rsidRPr="00083671" w:rsidRDefault="00FC6B50" w:rsidP="001F6214">
      <w:pPr>
        <w:jc w:val="center"/>
        <w:rPr>
          <w:rFonts w:cs="Times New Roman"/>
          <w:lang w:val="es-ES"/>
        </w:rPr>
      </w:pPr>
      <w:r w:rsidRPr="00083671">
        <w:rPr>
          <w:rFonts w:cs="Times New Roman"/>
          <w:lang w:val="es-ES"/>
        </w:rPr>
        <w:t>Samuel Alexander Perdomo Fajardo</w:t>
      </w:r>
    </w:p>
    <w:p w14:paraId="00BAA08F" w14:textId="76F86D51" w:rsidR="00FC6B50" w:rsidRPr="00083671" w:rsidRDefault="00FC6B5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4FF72127" w14:textId="77777777" w:rsidR="007533B0" w:rsidRPr="00083671" w:rsidRDefault="007533B0" w:rsidP="007533B0">
      <w:pPr>
        <w:tabs>
          <w:tab w:val="left" w:pos="5880"/>
        </w:tabs>
        <w:rPr>
          <w:rFonts w:cs="Times New Roman"/>
          <w:i/>
          <w:iCs/>
          <w:lang w:val="es-ES"/>
        </w:rPr>
      </w:pPr>
    </w:p>
    <w:p w14:paraId="37CD7CAF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4D67BE2A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6706BDB8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5D15C530" w14:textId="77777777" w:rsidR="00FC6B50" w:rsidRPr="00083671" w:rsidRDefault="00FC6B50" w:rsidP="00FC6B50">
      <w:pPr>
        <w:rPr>
          <w:rFonts w:cs="Times New Roman"/>
          <w:lang w:val="es-ES"/>
        </w:rPr>
      </w:pPr>
    </w:p>
    <w:p w14:paraId="292DFCE3" w14:textId="77777777" w:rsidR="00FC6B50" w:rsidRDefault="00FC6B50" w:rsidP="00FC6B50">
      <w:pPr>
        <w:rPr>
          <w:rFonts w:cs="Times New Roman"/>
        </w:rPr>
      </w:pPr>
    </w:p>
    <w:p w14:paraId="588CF01C" w14:textId="77777777" w:rsidR="00BC2B1F" w:rsidRPr="00083671" w:rsidRDefault="00BC2B1F" w:rsidP="00FC6B50">
      <w:pPr>
        <w:rPr>
          <w:rFonts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8"/>
          <w:szCs w:val="28"/>
          <w:lang w:val="es-ES" w:eastAsia="en-US"/>
          <w14:ligatures w14:val="standardContextual"/>
        </w:rPr>
        <w:id w:val="-195083543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4"/>
        </w:rPr>
      </w:sdtEndPr>
      <w:sdtContent>
        <w:p w14:paraId="419CBF0B" w14:textId="24F8DC81" w:rsidR="00174C05" w:rsidRPr="00083671" w:rsidRDefault="00174C05" w:rsidP="00174C05">
          <w:pPr>
            <w:pStyle w:val="TtuloTDC"/>
            <w:jc w:val="center"/>
            <w:rPr>
              <w:rFonts w:cs="Times New Roman"/>
              <w:sz w:val="28"/>
              <w:szCs w:val="28"/>
            </w:rPr>
          </w:pPr>
          <w:r w:rsidRPr="00083671">
            <w:rPr>
              <w:rFonts w:cs="Times New Roman"/>
              <w:sz w:val="28"/>
              <w:szCs w:val="28"/>
              <w:lang w:val="es-ES"/>
            </w:rPr>
            <w:t>Tabla de contenido</w:t>
          </w:r>
        </w:p>
        <w:p w14:paraId="29F69DC1" w14:textId="41EAC3C7" w:rsidR="00AE7CAE" w:rsidRDefault="00174C0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 w:rsidRPr="00083671">
            <w:rPr>
              <w:rFonts w:cs="Times New Roman"/>
            </w:rPr>
            <w:fldChar w:fldCharType="begin"/>
          </w:r>
          <w:r w:rsidRPr="00083671">
            <w:rPr>
              <w:rFonts w:cs="Times New Roman"/>
            </w:rPr>
            <w:instrText xml:space="preserve"> TOC \o "1-3" \h \z \u </w:instrText>
          </w:r>
          <w:r w:rsidRPr="00083671">
            <w:rPr>
              <w:rFonts w:cs="Times New Roman"/>
            </w:rPr>
            <w:fldChar w:fldCharType="separate"/>
          </w:r>
          <w:hyperlink w:anchor="_Toc229778490" w:history="1">
            <w:r w:rsidR="00AE7CAE" w:rsidRPr="00A46D5D">
              <w:rPr>
                <w:rStyle w:val="Hipervnculo"/>
                <w:rFonts w:cs="Times New Roman"/>
                <w:noProof/>
              </w:rPr>
              <w:t>Alcance del Modulo</w:t>
            </w:r>
            <w:r w:rsidR="00AE7CAE">
              <w:rPr>
                <w:noProof/>
                <w:webHidden/>
              </w:rPr>
              <w:tab/>
            </w:r>
            <w:r w:rsidR="00AE7CAE">
              <w:rPr>
                <w:noProof/>
                <w:webHidden/>
              </w:rPr>
              <w:fldChar w:fldCharType="begin"/>
            </w:r>
            <w:r w:rsidR="00AE7CAE">
              <w:rPr>
                <w:noProof/>
                <w:webHidden/>
              </w:rPr>
              <w:instrText xml:space="preserve"> PAGEREF _Toc229778490 \h </w:instrText>
            </w:r>
            <w:r w:rsidR="00AE7CAE">
              <w:rPr>
                <w:noProof/>
                <w:webHidden/>
              </w:rPr>
            </w:r>
            <w:r w:rsidR="00AE7CAE">
              <w:rPr>
                <w:noProof/>
                <w:webHidden/>
              </w:rPr>
              <w:fldChar w:fldCharType="separate"/>
            </w:r>
            <w:r w:rsidR="00AE7CAE">
              <w:rPr>
                <w:noProof/>
                <w:webHidden/>
              </w:rPr>
              <w:t>3</w:t>
            </w:r>
            <w:r w:rsidR="00AE7CAE">
              <w:rPr>
                <w:noProof/>
                <w:webHidden/>
              </w:rPr>
              <w:fldChar w:fldCharType="end"/>
            </w:r>
          </w:hyperlink>
        </w:p>
        <w:p w14:paraId="750ECDD3" w14:textId="61F103AA" w:rsidR="00AE7CAE" w:rsidRDefault="00AE7CAE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1" w:history="1">
            <w:r w:rsidRPr="00A46D5D">
              <w:rPr>
                <w:rStyle w:val="Hipervnculo"/>
                <w:rFonts w:cs="Times New Roman"/>
                <w:noProof/>
              </w:rPr>
              <w:t>Lógica de Negocio en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B1A40" w14:textId="3E4C794B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2" w:history="1">
            <w:r w:rsidRPr="00A46D5D">
              <w:rPr>
                <w:rStyle w:val="Hipervnculo"/>
                <w:noProof/>
              </w:rPr>
              <w:t>Dominio 1: Registro de Suministros (RF-75, RF-76)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AFA2A" w14:textId="2B6F871E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3" w:history="1">
            <w:r w:rsidRPr="00A46D5D">
              <w:rPr>
                <w:rStyle w:val="Hipervnculo"/>
                <w:noProof/>
              </w:rPr>
              <w:t>Dominio 2: Acumulación por Ciclo Productivo (RF-78)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C1333" w14:textId="28EE12F2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4" w:history="1">
            <w:r w:rsidRPr="00A46D5D">
              <w:rPr>
                <w:rStyle w:val="Hipervnculo"/>
                <w:noProof/>
              </w:rPr>
              <w:t>Dominio 3: Medición de Eficiencia Productiva (RF-74)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93B41" w14:textId="15CE1F1B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5" w:history="1">
            <w:r w:rsidRPr="00A46D5D">
              <w:rPr>
                <w:rStyle w:val="Hipervnculo"/>
                <w:noProof/>
              </w:rPr>
              <w:t>Dominio 4: Provisión NIC 41 (RF-79)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32180" w14:textId="59DBB535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6" w:history="1">
            <w:r w:rsidRPr="00A46D5D">
              <w:rPr>
                <w:rStyle w:val="Hipervnculo"/>
                <w:noProof/>
              </w:rPr>
              <w:t>Dominio 5: Auditoría y Trazabilidad Transversal (RF-80, RF-81)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2A20" w14:textId="55F639F9" w:rsidR="00AE7CAE" w:rsidRDefault="00AE7CA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9778497" w:history="1">
            <w:r w:rsidRPr="00A46D5D">
              <w:rPr>
                <w:rStyle w:val="Hipervnculo"/>
                <w:noProof/>
              </w:rPr>
              <w:t>Patrones de Diseño e Integridad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_Toc229778497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E768" w14:textId="79F20CED" w:rsidR="00174C05" w:rsidRPr="00083671" w:rsidRDefault="00174C05">
          <w:pPr>
            <w:rPr>
              <w:rFonts w:cs="Times New Roman"/>
            </w:rPr>
          </w:pPr>
          <w:r w:rsidRPr="00083671">
            <w:rPr>
              <w:rFonts w:cs="Times New Roman"/>
              <w:b/>
              <w:bCs/>
              <w:lang w:val="es-ES"/>
            </w:rPr>
            <w:fldChar w:fldCharType="end"/>
          </w:r>
        </w:p>
      </w:sdtContent>
    </w:sdt>
    <w:p w14:paraId="1AB45307" w14:textId="77777777" w:rsidR="00FC6B50" w:rsidRPr="00083671" w:rsidRDefault="00FC6B50" w:rsidP="00FC6B50">
      <w:pPr>
        <w:rPr>
          <w:rFonts w:cs="Times New Roman"/>
        </w:rPr>
      </w:pPr>
    </w:p>
    <w:p w14:paraId="5C121A5A" w14:textId="77777777" w:rsidR="00FC6B50" w:rsidRPr="00083671" w:rsidRDefault="00FC6B50" w:rsidP="00FC6B50">
      <w:pPr>
        <w:rPr>
          <w:rFonts w:cs="Times New Roman"/>
        </w:rPr>
      </w:pPr>
    </w:p>
    <w:p w14:paraId="72C32555" w14:textId="77777777" w:rsidR="00174C05" w:rsidRPr="00083671" w:rsidRDefault="00174C05" w:rsidP="00FC6B50">
      <w:pPr>
        <w:rPr>
          <w:rFonts w:cs="Times New Roman"/>
        </w:rPr>
      </w:pPr>
    </w:p>
    <w:p w14:paraId="0D06988E" w14:textId="77777777" w:rsidR="00174C05" w:rsidRPr="00083671" w:rsidRDefault="00174C05" w:rsidP="00FC6B50">
      <w:pPr>
        <w:rPr>
          <w:rFonts w:cs="Times New Roman"/>
        </w:rPr>
      </w:pPr>
    </w:p>
    <w:p w14:paraId="6511DB12" w14:textId="77777777" w:rsidR="00174C05" w:rsidRPr="00083671" w:rsidRDefault="00174C05" w:rsidP="00FC6B50">
      <w:pPr>
        <w:rPr>
          <w:rFonts w:cs="Times New Roman"/>
        </w:rPr>
      </w:pPr>
    </w:p>
    <w:p w14:paraId="7CE8B7BB" w14:textId="77777777" w:rsidR="00174C05" w:rsidRPr="00083671" w:rsidRDefault="00174C05" w:rsidP="00FC6B50">
      <w:pPr>
        <w:rPr>
          <w:rFonts w:cs="Times New Roman"/>
        </w:rPr>
      </w:pPr>
    </w:p>
    <w:p w14:paraId="40D19754" w14:textId="77777777" w:rsidR="00174C05" w:rsidRPr="00083671" w:rsidRDefault="00174C05" w:rsidP="00FC6B50">
      <w:pPr>
        <w:rPr>
          <w:rFonts w:cs="Times New Roman"/>
        </w:rPr>
      </w:pPr>
    </w:p>
    <w:p w14:paraId="10B3FB95" w14:textId="77777777" w:rsidR="00174C05" w:rsidRPr="00083671" w:rsidRDefault="00174C05" w:rsidP="00FC6B50">
      <w:pPr>
        <w:rPr>
          <w:rFonts w:cs="Times New Roman"/>
        </w:rPr>
      </w:pPr>
    </w:p>
    <w:p w14:paraId="7A5118C8" w14:textId="77777777" w:rsidR="00174C05" w:rsidRPr="00083671" w:rsidRDefault="00174C05" w:rsidP="00FC6B50">
      <w:pPr>
        <w:rPr>
          <w:rFonts w:cs="Times New Roman"/>
        </w:rPr>
      </w:pPr>
    </w:p>
    <w:p w14:paraId="3485D295" w14:textId="77777777" w:rsidR="007533B0" w:rsidRPr="00083671" w:rsidRDefault="007533B0" w:rsidP="00FC6B50">
      <w:pPr>
        <w:rPr>
          <w:rFonts w:cs="Times New Roman"/>
        </w:rPr>
      </w:pPr>
    </w:p>
    <w:p w14:paraId="630BC192" w14:textId="77777777" w:rsidR="007533B0" w:rsidRPr="00083671" w:rsidRDefault="007533B0" w:rsidP="00FC6B50">
      <w:pPr>
        <w:rPr>
          <w:rFonts w:cs="Times New Roman"/>
        </w:rPr>
      </w:pPr>
    </w:p>
    <w:p w14:paraId="1241A055" w14:textId="77777777" w:rsidR="007533B0" w:rsidRPr="00083671" w:rsidRDefault="007533B0" w:rsidP="00FC6B50">
      <w:pPr>
        <w:rPr>
          <w:rFonts w:cs="Times New Roman"/>
        </w:rPr>
      </w:pPr>
    </w:p>
    <w:p w14:paraId="62B8A391" w14:textId="77777777" w:rsidR="007533B0" w:rsidRPr="00083671" w:rsidRDefault="007533B0" w:rsidP="00FC6B50">
      <w:pPr>
        <w:rPr>
          <w:rFonts w:cs="Times New Roman"/>
        </w:rPr>
      </w:pPr>
    </w:p>
    <w:p w14:paraId="0919D714" w14:textId="77777777" w:rsidR="007533B0" w:rsidRPr="00083671" w:rsidRDefault="007533B0" w:rsidP="00FC6B50">
      <w:pPr>
        <w:rPr>
          <w:rFonts w:cs="Times New Roman"/>
        </w:rPr>
      </w:pPr>
    </w:p>
    <w:p w14:paraId="6493179C" w14:textId="77777777" w:rsidR="007533B0" w:rsidRPr="00083671" w:rsidRDefault="007533B0" w:rsidP="00FC6B50">
      <w:pPr>
        <w:rPr>
          <w:rFonts w:cs="Times New Roman"/>
        </w:rPr>
      </w:pPr>
    </w:p>
    <w:p w14:paraId="136B7117" w14:textId="77777777" w:rsidR="007533B0" w:rsidRPr="00083671" w:rsidRDefault="007533B0" w:rsidP="00FC6B50">
      <w:pPr>
        <w:rPr>
          <w:rFonts w:cs="Times New Roman"/>
        </w:rPr>
      </w:pPr>
    </w:p>
    <w:p w14:paraId="3C77A94C" w14:textId="77777777" w:rsidR="00174C05" w:rsidRPr="00083671" w:rsidRDefault="00174C05" w:rsidP="00FC6B50">
      <w:pPr>
        <w:rPr>
          <w:rFonts w:cs="Times New Roman"/>
        </w:rPr>
      </w:pPr>
    </w:p>
    <w:p w14:paraId="78F791CF" w14:textId="77777777" w:rsidR="00174C05" w:rsidRPr="00083671" w:rsidRDefault="00174C05" w:rsidP="00FC6B50">
      <w:pPr>
        <w:rPr>
          <w:rFonts w:cs="Times New Roman"/>
        </w:rPr>
      </w:pPr>
    </w:p>
    <w:p w14:paraId="68BA18C6" w14:textId="0EA3A4D7" w:rsidR="00A41FBB" w:rsidRPr="00083671" w:rsidRDefault="00A41FBB" w:rsidP="00C96DE2">
      <w:pPr>
        <w:pStyle w:val="Ttulo1"/>
        <w:jc w:val="both"/>
        <w:rPr>
          <w:rFonts w:cs="Times New Roman"/>
        </w:rPr>
      </w:pPr>
      <w:bookmarkStart w:id="0" w:name="_Toc229778490"/>
      <w:r w:rsidRPr="00083671">
        <w:rPr>
          <w:rFonts w:cs="Times New Roman"/>
        </w:rPr>
        <w:lastRenderedPageBreak/>
        <w:t>Alcance del Modulo</w:t>
      </w:r>
      <w:bookmarkEnd w:id="0"/>
    </w:p>
    <w:p w14:paraId="574CC2E7" w14:textId="77777777" w:rsidR="00AE7CAE" w:rsidRPr="00AE7CAE" w:rsidRDefault="00AE7CAE" w:rsidP="00AE7CAE">
      <w:pPr>
        <w:jc w:val="both"/>
        <w:rPr>
          <w:rFonts w:cs="Times New Roman"/>
        </w:rPr>
      </w:pPr>
      <w:r w:rsidRPr="00AE7CAE">
        <w:rPr>
          <w:rFonts w:cs="Times New Roman"/>
        </w:rPr>
        <w:t>Desde la óptica del Productor y Gestor de Granja, el Módulo 5 (M05) constituye la capa operativa de trazabilidad económica de la producción pecuaria. Su propósito central es registrar, clasificar y acumular todos los desembolsos directos asociados al ciclo de vida del activo biológico —alimentos, medicamentos, mano de obra directa y servicios veterinarios— sin gestionar inventario comercial, sino vinculando cada costo al activo o lote específico que lo consume. Para el Productor, M05 habilita el cálculo del Índice de Conversión Alimenticia (ICA) por período o ciclo completo (RF-74), permitiendo evaluar la eficiencia productiva y detectar desviaciones tempranas. Para el Veterinario, el módulo registra aplicaciones de medicamentos con trazabilidad completa: principio activo, dosis, vía de administración, período de retiro y responsable clínico (RF-76), garantizando cumplimiento sanitario y seguridad alimentaria. Para el Contador, M05 clasifica automáticamente cada registro según su naturaleza contable —MANTENIMIENTO (gasto del período), INVERSIÓN (capitalizable según política de especie) o VENTA (deducible del valor razonable)—, alimentando directamente el motor financiero de NIC 41 (M06) con objetos de dominio validados y auditables.</w:t>
      </w:r>
    </w:p>
    <w:p w14:paraId="7EDAAB41" w14:textId="5C276A4C" w:rsidR="00AE7CAE" w:rsidRPr="00AE7CAE" w:rsidRDefault="00AE7CAE" w:rsidP="00AE7CAE">
      <w:pPr>
        <w:jc w:val="both"/>
        <w:rPr>
          <w:rFonts w:cs="Times New Roman"/>
        </w:rPr>
      </w:pPr>
      <w:r>
        <w:rPr>
          <w:rFonts w:cs="Times New Roman"/>
        </w:rPr>
        <w:t>Por otro lado, d</w:t>
      </w:r>
      <w:r w:rsidRPr="00AE7CAE">
        <w:rPr>
          <w:rFonts w:cs="Times New Roman"/>
        </w:rPr>
        <w:t>esde la arquitectura interna, M05 implementa un pipeline de ingesta, clasificación y acumulación de costos con garantías de integridad transaccional y concurrencia optimista. El flujo se estructura en cuatro capas funcionales:</w:t>
      </w:r>
    </w:p>
    <w:p w14:paraId="25E8CA29" w14:textId="77777777" w:rsidR="00AE7CAE" w:rsidRPr="00AE7CAE" w:rsidRDefault="00AE7CAE" w:rsidP="00AE7CAE">
      <w:pPr>
        <w:jc w:val="both"/>
        <w:rPr>
          <w:rFonts w:cs="Times New Roman"/>
        </w:rPr>
      </w:pPr>
      <w:r w:rsidRPr="00AE7CAE">
        <w:rPr>
          <w:rFonts w:cs="Times New Roman"/>
        </w:rPr>
        <w:t xml:space="preserve">Ingesta y validación (RF-75, RF-76): Recepción de registros de consumo de alimentos y aplicación de medicamentos, con validación de existencia del activo, estado del ciclo productivo y unicidad idempotente mediante </w:t>
      </w:r>
      <w:proofErr w:type="spellStart"/>
      <w:r w:rsidRPr="00AE7CAE">
        <w:rPr>
          <w:rFonts w:cs="Times New Roman"/>
        </w:rPr>
        <w:t>id_idempotencia</w:t>
      </w:r>
      <w:proofErr w:type="spellEnd"/>
      <w:r w:rsidRPr="00AE7CAE">
        <w:rPr>
          <w:rFonts w:cs="Times New Roman"/>
        </w:rPr>
        <w:t xml:space="preserve"> (UUID). Los registros se persisten con estado VALIDADO o ANULADO, sin operaciones UPDATE sobre datos históricos.</w:t>
      </w:r>
    </w:p>
    <w:p w14:paraId="6EA04FF2" w14:textId="77777777" w:rsidR="00AE7CAE" w:rsidRPr="00AE7CAE" w:rsidRDefault="00AE7CAE" w:rsidP="00AE7CAE">
      <w:pPr>
        <w:jc w:val="both"/>
        <w:rPr>
          <w:rFonts w:cs="Times New Roman"/>
        </w:rPr>
      </w:pPr>
      <w:r w:rsidRPr="00AE7CAE">
        <w:rPr>
          <w:rFonts w:cs="Times New Roman"/>
        </w:rPr>
        <w:t xml:space="preserve">Clasificación y enriquecimiento (RF-78): Determinación automática de </w:t>
      </w:r>
      <w:proofErr w:type="spellStart"/>
      <w:r w:rsidRPr="00AE7CAE">
        <w:rPr>
          <w:rFonts w:cs="Times New Roman"/>
        </w:rPr>
        <w:t>naturaleza_costo</w:t>
      </w:r>
      <w:proofErr w:type="spellEnd"/>
      <w:r w:rsidRPr="00AE7CAE">
        <w:rPr>
          <w:rFonts w:cs="Times New Roman"/>
        </w:rPr>
        <w:t xml:space="preserve"> (MANTENIMIENTO/INVERSIÓN/VENTA) según catálogo parametrizado en M09, aplicando restricciones técnicas a nivel de base de datos (CHECK </w:t>
      </w:r>
      <w:proofErr w:type="spellStart"/>
      <w:r w:rsidRPr="00AE7CAE">
        <w:rPr>
          <w:rFonts w:cs="Times New Roman"/>
        </w:rPr>
        <w:t>constraints</w:t>
      </w:r>
      <w:proofErr w:type="spellEnd"/>
      <w:r w:rsidRPr="00AE7CAE">
        <w:rPr>
          <w:rFonts w:cs="Times New Roman"/>
        </w:rPr>
        <w:t xml:space="preserve">, </w:t>
      </w:r>
      <w:proofErr w:type="spellStart"/>
      <w:r w:rsidRPr="00AE7CAE">
        <w:rPr>
          <w:rFonts w:cs="Times New Roman"/>
        </w:rPr>
        <w:t>enums</w:t>
      </w:r>
      <w:proofErr w:type="spellEnd"/>
      <w:r w:rsidRPr="00AE7CAE">
        <w:rPr>
          <w:rFonts w:cs="Times New Roman"/>
        </w:rPr>
        <w:t xml:space="preserve">) que impiden clasificaciones inválidas. Cada registro se enriquece con </w:t>
      </w:r>
      <w:proofErr w:type="spellStart"/>
      <w:r w:rsidRPr="00AE7CAE">
        <w:rPr>
          <w:rFonts w:cs="Times New Roman"/>
        </w:rPr>
        <w:t>origen_precio</w:t>
      </w:r>
      <w:proofErr w:type="spellEnd"/>
      <w:r w:rsidRPr="00AE7CAE">
        <w:rPr>
          <w:rFonts w:cs="Times New Roman"/>
        </w:rPr>
        <w:t xml:space="preserve"> (M40, manual, heredado) y </w:t>
      </w:r>
      <w:proofErr w:type="spellStart"/>
      <w:r w:rsidRPr="00AE7CAE">
        <w:rPr>
          <w:rFonts w:cs="Times New Roman"/>
        </w:rPr>
        <w:t>costo_registro</w:t>
      </w:r>
      <w:proofErr w:type="spellEnd"/>
      <w:r w:rsidRPr="00AE7CAE">
        <w:rPr>
          <w:rFonts w:cs="Times New Roman"/>
        </w:rPr>
        <w:t xml:space="preserve"> calculado como cantidad × </w:t>
      </w:r>
      <w:proofErr w:type="spellStart"/>
      <w:r w:rsidRPr="00AE7CAE">
        <w:rPr>
          <w:rFonts w:cs="Times New Roman"/>
        </w:rPr>
        <w:t>precio_unitario</w:t>
      </w:r>
      <w:proofErr w:type="spellEnd"/>
      <w:r w:rsidRPr="00AE7CAE">
        <w:rPr>
          <w:rFonts w:cs="Times New Roman"/>
        </w:rPr>
        <w:t>.</w:t>
      </w:r>
    </w:p>
    <w:p w14:paraId="1727FAF1" w14:textId="77777777" w:rsidR="00AE7CAE" w:rsidRPr="00AE7CAE" w:rsidRDefault="00AE7CAE" w:rsidP="00AE7CAE">
      <w:pPr>
        <w:jc w:val="both"/>
        <w:rPr>
          <w:rFonts w:cs="Times New Roman"/>
        </w:rPr>
      </w:pPr>
      <w:r w:rsidRPr="00AE7CAE">
        <w:rPr>
          <w:rFonts w:cs="Times New Roman"/>
        </w:rPr>
        <w:t xml:space="preserve">Acumulación con control de concurrencia (RF-78): Actualización del acumulado por ciclo productivo en la tabla </w:t>
      </w:r>
      <w:proofErr w:type="spellStart"/>
      <w:r w:rsidRPr="00AE7CAE">
        <w:rPr>
          <w:rFonts w:cs="Times New Roman"/>
        </w:rPr>
        <w:t>acumulado_ciclo</w:t>
      </w:r>
      <w:proofErr w:type="spellEnd"/>
      <w:r w:rsidRPr="00AE7CAE">
        <w:rPr>
          <w:rFonts w:cs="Times New Roman"/>
        </w:rPr>
        <w:t xml:space="preserve"> mediante patrón de concurrencia optimista: lectura del </w:t>
      </w:r>
      <w:proofErr w:type="spellStart"/>
      <w:r w:rsidRPr="00AE7CAE">
        <w:rPr>
          <w:rFonts w:cs="Times New Roman"/>
        </w:rPr>
        <w:t>version_acumulado</w:t>
      </w:r>
      <w:proofErr w:type="spellEnd"/>
      <w:r w:rsidRPr="00AE7CAE">
        <w:rPr>
          <w:rFonts w:cs="Times New Roman"/>
        </w:rPr>
        <w:t xml:space="preserve">, cálculo del nuevo acumulado, y escritura condicional WHERE </w:t>
      </w:r>
      <w:proofErr w:type="spellStart"/>
      <w:r w:rsidRPr="00AE7CAE">
        <w:rPr>
          <w:rFonts w:cs="Times New Roman"/>
        </w:rPr>
        <w:t>version_acumulado</w:t>
      </w:r>
      <w:proofErr w:type="spellEnd"/>
      <w:r w:rsidRPr="00AE7CAE">
        <w:rPr>
          <w:rFonts w:cs="Times New Roman"/>
        </w:rPr>
        <w:t xml:space="preserve"> </w:t>
      </w:r>
      <w:proofErr w:type="gramStart"/>
      <w:r w:rsidRPr="00AE7CAE">
        <w:rPr>
          <w:rFonts w:cs="Times New Roman"/>
        </w:rPr>
        <w:t>= :</w:t>
      </w:r>
      <w:proofErr w:type="spellStart"/>
      <w:r w:rsidRPr="00AE7CAE">
        <w:rPr>
          <w:rFonts w:cs="Times New Roman"/>
        </w:rPr>
        <w:t>version</w:t>
      </w:r>
      <w:proofErr w:type="gramEnd"/>
      <w:r w:rsidRPr="00AE7CAE">
        <w:rPr>
          <w:rFonts w:cs="Times New Roman"/>
        </w:rPr>
        <w:t>_leida</w:t>
      </w:r>
      <w:proofErr w:type="spellEnd"/>
      <w:r w:rsidRPr="00AE7CAE">
        <w:rPr>
          <w:rFonts w:cs="Times New Roman"/>
        </w:rPr>
        <w:t xml:space="preserve">. En caso de conflicto (0 filas afectadas), se aplica reintento con </w:t>
      </w:r>
      <w:proofErr w:type="spellStart"/>
      <w:r w:rsidRPr="00AE7CAE">
        <w:rPr>
          <w:rFonts w:cs="Times New Roman"/>
        </w:rPr>
        <w:t>backoff</w:t>
      </w:r>
      <w:proofErr w:type="spellEnd"/>
      <w:r w:rsidRPr="00AE7CAE">
        <w:rPr>
          <w:rFonts w:cs="Times New Roman"/>
        </w:rPr>
        <w:t xml:space="preserve"> exponencial (máx. 3 intentos), garantizando consistencia sin bloqueos pesados.</w:t>
      </w:r>
    </w:p>
    <w:p w14:paraId="73D2A51F" w14:textId="77777777" w:rsidR="00AE7CAE" w:rsidRPr="00AE7CAE" w:rsidRDefault="00AE7CAE" w:rsidP="00AE7CAE">
      <w:pPr>
        <w:jc w:val="both"/>
        <w:rPr>
          <w:rFonts w:cs="Times New Roman"/>
        </w:rPr>
      </w:pPr>
      <w:r w:rsidRPr="00AE7CAE">
        <w:rPr>
          <w:rFonts w:cs="Times New Roman"/>
        </w:rPr>
        <w:t xml:space="preserve">Provisión y entrega financiera (RF-79): Cálculo de la provisión de costos de mantenimiento esperados para el período siguiente, requerida por NIC 41 para activos sin precio de mercado </w:t>
      </w:r>
      <w:r w:rsidRPr="00AE7CAE">
        <w:rPr>
          <w:rFonts w:cs="Times New Roman"/>
        </w:rPr>
        <w:lastRenderedPageBreak/>
        <w:t>activo. El reporte se genera con hash de integridad SHA-256, versionado y trazabilidad completa, y se entrega a M06 mediante evento asíncrono con confirmación de recepción.</w:t>
      </w:r>
    </w:p>
    <w:p w14:paraId="38771F02" w14:textId="73159197" w:rsidR="00F62BC2" w:rsidRDefault="00AE7CAE" w:rsidP="00AE7CAE">
      <w:pPr>
        <w:jc w:val="both"/>
      </w:pPr>
      <w:r w:rsidRPr="00AE7CAE">
        <w:rPr>
          <w:rFonts w:cs="Times New Roman"/>
        </w:rPr>
        <w:t>El módulo opera bajo principios de inmutabilidad (</w:t>
      </w:r>
      <w:proofErr w:type="spellStart"/>
      <w:r w:rsidRPr="00AE7CAE">
        <w:rPr>
          <w:rFonts w:cs="Times New Roman"/>
        </w:rPr>
        <w:t>append-only</w:t>
      </w:r>
      <w:proofErr w:type="spellEnd"/>
      <w:r w:rsidRPr="00AE7CAE">
        <w:rPr>
          <w:rFonts w:cs="Times New Roman"/>
        </w:rPr>
        <w:t xml:space="preserve"> para registros validados), idempotencia (claves UUID para </w:t>
      </w:r>
      <w:proofErr w:type="spellStart"/>
      <w:r w:rsidRPr="00AE7CAE">
        <w:rPr>
          <w:rFonts w:cs="Times New Roman"/>
        </w:rPr>
        <w:t>deduplicación</w:t>
      </w:r>
      <w:proofErr w:type="spellEnd"/>
      <w:r w:rsidRPr="00AE7CAE">
        <w:rPr>
          <w:rFonts w:cs="Times New Roman"/>
        </w:rPr>
        <w:t>) y segregación de responsabilidades (ingesta ≠ clasificación ≠ acumulación), permitiendo escalabilidad horizontal y mantenibilidad a largo plazo.</w:t>
      </w:r>
    </w:p>
    <w:p w14:paraId="2F5A3EB5" w14:textId="41F83CE8" w:rsidR="00C96DE2" w:rsidRPr="00BC2B1F" w:rsidRDefault="00C96DE2" w:rsidP="00BC2B1F">
      <w:pPr>
        <w:jc w:val="both"/>
        <w:rPr>
          <w:rFonts w:cs="Times New Roman"/>
        </w:rPr>
      </w:pPr>
    </w:p>
    <w:p w14:paraId="0F789C00" w14:textId="417BD354" w:rsidR="00174C05" w:rsidRPr="00083671" w:rsidRDefault="00174C05" w:rsidP="00174C05">
      <w:pPr>
        <w:pStyle w:val="Ttulo1"/>
        <w:rPr>
          <w:rFonts w:cs="Times New Roman"/>
        </w:rPr>
      </w:pPr>
      <w:bookmarkStart w:id="1" w:name="_Toc229778491"/>
      <w:r w:rsidRPr="00083671">
        <w:rPr>
          <w:rFonts w:cs="Times New Roman"/>
        </w:rPr>
        <w:t>Lógica de Negocio en Base de Datos</w:t>
      </w:r>
      <w:bookmarkEnd w:id="1"/>
    </w:p>
    <w:p w14:paraId="4506BDEF" w14:textId="77777777" w:rsidR="00A41FBB" w:rsidRPr="00083671" w:rsidRDefault="00A41FBB" w:rsidP="00A41FBB">
      <w:pPr>
        <w:rPr>
          <w:rFonts w:cs="Times New Roman"/>
        </w:rPr>
      </w:pPr>
    </w:p>
    <w:p w14:paraId="160E108F" w14:textId="77777777" w:rsidR="00AE7CAE" w:rsidRDefault="00AE7CAE" w:rsidP="00AE7CAE">
      <w:pPr>
        <w:jc w:val="both"/>
      </w:pPr>
      <w:r>
        <w:t>El esquema relacional de M05 se estructura en torno a cinco dominios lógicos interconectados: Registro de Suministros, Acumulación por Ciclo, Medición de Eficiencia, Provisión NIC 41 y Auditoría Transversal. Cada dominio implementa restricciones de integridad, control de concurrencia y trazabilidad explícita para cumplir con los requerimientos RF-74 a RF-81.</w:t>
      </w:r>
    </w:p>
    <w:p w14:paraId="349DEAFB" w14:textId="77777777" w:rsidR="00AE7CAE" w:rsidRDefault="00AE7CAE" w:rsidP="00AE7CAE">
      <w:pPr>
        <w:pStyle w:val="Ttulo2"/>
      </w:pPr>
      <w:bookmarkStart w:id="2" w:name="_Toc229778492"/>
      <w:r>
        <w:t>Dominio 1: Registro de Suministros (RF-75, RF-76)</w:t>
      </w:r>
      <w:bookmarkEnd w:id="2"/>
    </w:p>
    <w:p w14:paraId="294C7F65" w14:textId="77777777" w:rsidR="00AE7CAE" w:rsidRDefault="00AE7CAE" w:rsidP="00AE7CAE">
      <w:pPr>
        <w:jc w:val="both"/>
      </w:pPr>
      <w:r>
        <w:t xml:space="preserve">La tabla </w:t>
      </w:r>
      <w:proofErr w:type="spellStart"/>
      <w:r>
        <w:t>registro_suministro</w:t>
      </w:r>
      <w:proofErr w:type="spellEnd"/>
      <w:r>
        <w:t xml:space="preserve"> constituye el repositorio central de costos directos vinculados al activo biológico. Su clave primaria UUID (</w:t>
      </w:r>
      <w:proofErr w:type="spellStart"/>
      <w:r>
        <w:t>id_registro_suministro</w:t>
      </w:r>
      <w:proofErr w:type="spellEnd"/>
      <w:r>
        <w:t xml:space="preserve">) garantiza unicidad global, mientras que la restricción única sobre </w:t>
      </w:r>
      <w:proofErr w:type="spellStart"/>
      <w:r>
        <w:t>id_idempotencia</w:t>
      </w:r>
      <w:proofErr w:type="spellEnd"/>
      <w:r>
        <w:t xml:space="preserve"> previene duplicados por reintentos de cliente. El campo </w:t>
      </w:r>
      <w:proofErr w:type="spellStart"/>
      <w:r>
        <w:t>naturaleza_costo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MANTENIMIENTO, INVERSIÓN, VENTA) es NOT NULL y determina el tratamiento contable posterior; esta clasificación se aplica mediante lógica de negocio parametrizada en M09, pero se </w:t>
      </w:r>
      <w:proofErr w:type="spellStart"/>
      <w:r>
        <w:t>enforcea</w:t>
      </w:r>
      <w:proofErr w:type="spellEnd"/>
      <w:r>
        <w:t xml:space="preserve"> a nivel de base de datos para evitar inconsistencias. Los campos id_registro_rf75 y id_registro_rf76 (UUID) permiten trazabilidad bidireccional hacia las fuentes operativas de alimentos y medicamentos, respectivamente. El cálculo de </w:t>
      </w:r>
      <w:proofErr w:type="spellStart"/>
      <w:r>
        <w:t>costo_registro</w:t>
      </w:r>
      <w:proofErr w:type="spellEnd"/>
      <w:r>
        <w:t xml:space="preserve"> = cantidad × </w:t>
      </w:r>
      <w:proofErr w:type="spellStart"/>
      <w:r>
        <w:t>precio_unitario_resuelto</w:t>
      </w:r>
      <w:proofErr w:type="spellEnd"/>
      <w:r>
        <w:t xml:space="preserve"> se realiza en capa de aplicación, pero la precisión </w:t>
      </w:r>
      <w:proofErr w:type="gramStart"/>
      <w:r>
        <w:t>DECIMAL(</w:t>
      </w:r>
      <w:proofErr w:type="gramEnd"/>
      <w:r>
        <w:t>14,4) garantiza consistencia monetaria en persistencia.</w:t>
      </w:r>
    </w:p>
    <w:p w14:paraId="76C001DB" w14:textId="77777777" w:rsidR="00AE7CAE" w:rsidRDefault="00AE7CAE" w:rsidP="00AE7CAE">
      <w:pPr>
        <w:jc w:val="both"/>
      </w:pPr>
      <w:r>
        <w:t xml:space="preserve">Las tablas </w:t>
      </w:r>
      <w:proofErr w:type="spellStart"/>
      <w:r>
        <w:t>registros_consumo_alimentos</w:t>
      </w:r>
      <w:proofErr w:type="spellEnd"/>
      <w:r>
        <w:t xml:space="preserve"> y </w:t>
      </w:r>
      <w:proofErr w:type="spellStart"/>
      <w:r>
        <w:t>registros_medicamentos</w:t>
      </w:r>
      <w:proofErr w:type="spellEnd"/>
      <w:r>
        <w:t xml:space="preserve"> especializan el registro por tipo de suministro. </w:t>
      </w:r>
      <w:proofErr w:type="spellStart"/>
      <w:r>
        <w:t>registros_medicamentos</w:t>
      </w:r>
      <w:proofErr w:type="spellEnd"/>
      <w:r>
        <w:t xml:space="preserve"> incluye campos clínicos críticos: </w:t>
      </w:r>
      <w:proofErr w:type="spellStart"/>
      <w:r>
        <w:t>via_aplicacion</w:t>
      </w:r>
      <w:proofErr w:type="spellEnd"/>
      <w:r>
        <w:t xml:space="preserve">, </w:t>
      </w:r>
      <w:proofErr w:type="spellStart"/>
      <w:r>
        <w:t>periodo_retiro_dias</w:t>
      </w:r>
      <w:proofErr w:type="spellEnd"/>
      <w:r>
        <w:t xml:space="preserve">, </w:t>
      </w:r>
      <w:proofErr w:type="spellStart"/>
      <w:r>
        <w:t>fecha_fin_retiro</w:t>
      </w:r>
      <w:proofErr w:type="spellEnd"/>
      <w:r>
        <w:t xml:space="preserve">, </w:t>
      </w:r>
      <w:proofErr w:type="spellStart"/>
      <w:r>
        <w:t>id_evento_sanitario</w:t>
      </w:r>
      <w:proofErr w:type="spellEnd"/>
      <w:r>
        <w:t xml:space="preserve"> y </w:t>
      </w:r>
      <w:proofErr w:type="spellStart"/>
      <w:r>
        <w:t>id_usuario_veterinario</w:t>
      </w:r>
      <w:proofErr w:type="spellEnd"/>
      <w:r>
        <w:t xml:space="preserve">, garantizando trazabilidad sanitaria completa. El campo </w:t>
      </w:r>
      <w:proofErr w:type="spellStart"/>
      <w:r>
        <w:t>dosis_por_individuo</w:t>
      </w:r>
      <w:proofErr w:type="spellEnd"/>
      <w:r>
        <w:t xml:space="preserve"> se calcula automáticamente para activos POBLACIONALES, dividiendo la dosis total entre </w:t>
      </w:r>
      <w:proofErr w:type="spellStart"/>
      <w:r>
        <w:t>cantidad_actual</w:t>
      </w:r>
      <w:proofErr w:type="spellEnd"/>
      <w:r>
        <w:t xml:space="preserve"> del lote. Ambas tablas implementan estado VALIDADO/ANULADO con campos de justificación y </w:t>
      </w:r>
      <w:proofErr w:type="spellStart"/>
      <w:r>
        <w:t>timestamp</w:t>
      </w:r>
      <w:proofErr w:type="spellEnd"/>
      <w:r>
        <w:t xml:space="preserve"> de anulación, preservando el historial sin eliminación física.</w:t>
      </w:r>
    </w:p>
    <w:p w14:paraId="3F14294B" w14:textId="77777777" w:rsidR="00AE7CAE" w:rsidRDefault="00AE7CAE" w:rsidP="00AE7CAE">
      <w:pPr>
        <w:pStyle w:val="Ttulo2"/>
      </w:pPr>
      <w:bookmarkStart w:id="3" w:name="_Toc229778493"/>
      <w:r>
        <w:lastRenderedPageBreak/>
        <w:t>Dominio 2: Acumulación por Ciclo Productivo (RF-78)</w:t>
      </w:r>
      <w:bookmarkEnd w:id="3"/>
    </w:p>
    <w:p w14:paraId="0380EA1B" w14:textId="77777777" w:rsidR="00AE7CAE" w:rsidRDefault="00AE7CAE" w:rsidP="00AE7CAE">
      <w:pPr>
        <w:jc w:val="both"/>
      </w:pPr>
      <w:r>
        <w:t xml:space="preserve">La </w:t>
      </w:r>
      <w:proofErr w:type="gramStart"/>
      <w:r>
        <w:t xml:space="preserve">tabla </w:t>
      </w:r>
      <w:proofErr w:type="spellStart"/>
      <w:r>
        <w:t>acumulado</w:t>
      </w:r>
      <w:proofErr w:type="gramEnd"/>
      <w:r>
        <w:t>_ciclo</w:t>
      </w:r>
      <w:proofErr w:type="spellEnd"/>
      <w:r>
        <w:t xml:space="preserve"> materializa la acumulación de costos por ciclo productivo, con clave foránea a </w:t>
      </w:r>
      <w:proofErr w:type="spellStart"/>
      <w:r>
        <w:t>id_ciclo_productivo</w:t>
      </w:r>
      <w:proofErr w:type="spellEnd"/>
      <w:r>
        <w:t xml:space="preserve"> y campo </w:t>
      </w:r>
      <w:proofErr w:type="spellStart"/>
      <w:r>
        <w:t>acumulado_por_categoria</w:t>
      </w:r>
      <w:proofErr w:type="spellEnd"/>
      <w:r>
        <w:t xml:space="preserve"> (JSONB) que desglosa el total por naturaleza de costo. El mecanismo de concurrencia optimista se implementa mediante </w:t>
      </w:r>
      <w:proofErr w:type="spellStart"/>
      <w:r>
        <w:t>version_acumulado</w:t>
      </w:r>
      <w:proofErr w:type="spellEnd"/>
      <w:r>
        <w:t xml:space="preserve"> (</w:t>
      </w:r>
      <w:proofErr w:type="spellStart"/>
      <w:r>
        <w:t>integer</w:t>
      </w:r>
      <w:proofErr w:type="spellEnd"/>
      <w:r>
        <w:t xml:space="preserve">, default 0): cada actualización incrementa la versión y valida que no haya sido modificada concurrentemente. La lógica de reintento con </w:t>
      </w:r>
      <w:proofErr w:type="spellStart"/>
      <w:r>
        <w:t>backoff</w:t>
      </w:r>
      <w:proofErr w:type="spellEnd"/>
      <w:r>
        <w:t xml:space="preserve"> se gestiona en capa de aplicación, pero el esquema habilita este patrón mediante la exposición de la versión como columna actualizable. El campo </w:t>
      </w:r>
      <w:proofErr w:type="spellStart"/>
      <w:r>
        <w:t>fecha_ultima_actualizacion</w:t>
      </w:r>
      <w:proofErr w:type="spellEnd"/>
      <w:r>
        <w:t xml:space="preserve"> permite diagnóstico de latencia en actualizaciones masivas.</w:t>
      </w:r>
    </w:p>
    <w:p w14:paraId="03A1C8B5" w14:textId="77777777" w:rsidR="00AE7CAE" w:rsidRDefault="00AE7CAE" w:rsidP="00AE7CAE">
      <w:pPr>
        <w:jc w:val="both"/>
      </w:pPr>
      <w:proofErr w:type="spellStart"/>
      <w:r>
        <w:t>costos_productivos</w:t>
      </w:r>
      <w:proofErr w:type="spellEnd"/>
      <w:r>
        <w:t xml:space="preserve"> consolida el cálculo periódico de costos por categoría (medicamento, mano de obra, infraestructura), con fechas de inicio y fin del período de cálculo y justificación del precio aplicado. Este registro sirve como fuente para reportes financieros y para la provisión NIC 41.</w:t>
      </w:r>
    </w:p>
    <w:p w14:paraId="709D7263" w14:textId="77777777" w:rsidR="00AE7CAE" w:rsidRDefault="00AE7CAE" w:rsidP="00AE7CAE">
      <w:pPr>
        <w:pStyle w:val="Ttulo2"/>
      </w:pPr>
      <w:bookmarkStart w:id="4" w:name="_Toc229778494"/>
      <w:r>
        <w:t>Dominio 3: Medición de Eficiencia Productiva (RF-74)</w:t>
      </w:r>
      <w:bookmarkEnd w:id="4"/>
    </w:p>
    <w:p w14:paraId="633A275D" w14:textId="77777777" w:rsidR="00AE7CAE" w:rsidRDefault="00AE7CAE" w:rsidP="00AE7CAE">
      <w:pPr>
        <w:jc w:val="both"/>
      </w:pPr>
      <w:r>
        <w:t xml:space="preserve">La </w:t>
      </w:r>
      <w:proofErr w:type="gramStart"/>
      <w:r>
        <w:t xml:space="preserve">tabla </w:t>
      </w:r>
      <w:proofErr w:type="spellStart"/>
      <w:r>
        <w:t>resultado</w:t>
      </w:r>
      <w:proofErr w:type="gramEnd"/>
      <w:r>
        <w:t>_ica</w:t>
      </w:r>
      <w:proofErr w:type="spellEnd"/>
      <w:r>
        <w:t xml:space="preserve"> almacena los resultados del cálculo </w:t>
      </w:r>
      <w:proofErr w:type="spellStart"/>
      <w:r>
        <w:t>batch</w:t>
      </w:r>
      <w:proofErr w:type="spellEnd"/>
      <w:r>
        <w:t xml:space="preserve"> del Índice de Conversión Alimenticia, con período de evaluación, alimento consumido, ganancia de peso y CA calculado (</w:t>
      </w:r>
      <w:proofErr w:type="spellStart"/>
      <w:r>
        <w:t>alimento_consumido</w:t>
      </w:r>
      <w:proofErr w:type="spellEnd"/>
      <w:r>
        <w:t xml:space="preserve"> / </w:t>
      </w:r>
      <w:proofErr w:type="spellStart"/>
      <w:r>
        <w:t>ganancia_peso</w:t>
      </w:r>
      <w:proofErr w:type="spellEnd"/>
      <w:r>
        <w:t xml:space="preserve">). El campo </w:t>
      </w:r>
      <w:proofErr w:type="spellStart"/>
      <w:r>
        <w:t>clasificacion_ca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) categoriza el resultado según rangos configurados en M09, mientras que </w:t>
      </w:r>
      <w:proofErr w:type="spellStart"/>
      <w:r>
        <w:t>data_quality_score</w:t>
      </w:r>
      <w:proofErr w:type="spellEnd"/>
      <w:r>
        <w:t xml:space="preserve"> (0-100) indica la confiabilidad del cálculo basado en completitud de datos de entrada. La causa de no-cálculo (</w:t>
      </w:r>
      <w:proofErr w:type="spellStart"/>
      <w:r>
        <w:t>causa_no_calculo</w:t>
      </w:r>
      <w:proofErr w:type="spellEnd"/>
      <w:r>
        <w:t>) se registra cuando faltan datos críticos (pesaje, consumo), permitiendo diagnóstico operativo.</w:t>
      </w:r>
    </w:p>
    <w:p w14:paraId="49050E19" w14:textId="77777777" w:rsidR="00AE7CAE" w:rsidRDefault="00AE7CAE" w:rsidP="00AE7CAE">
      <w:pPr>
        <w:jc w:val="both"/>
      </w:pPr>
      <w:proofErr w:type="spellStart"/>
      <w:r>
        <w:t>mediciones_incrementales</w:t>
      </w:r>
      <w:proofErr w:type="spellEnd"/>
      <w:r>
        <w:t xml:space="preserve"> soporta el cálculo incremental del ICA entre eventos de pesaje, vinculando peso actual, consumo acumulado y costo asociado. El campo </w:t>
      </w:r>
      <w:proofErr w:type="spellStart"/>
      <w:r>
        <w:t>esquema_proceso</w:t>
      </w:r>
      <w:proofErr w:type="spellEnd"/>
      <w:r>
        <w:t xml:space="preserve"> (</w:t>
      </w:r>
      <w:proofErr w:type="spellStart"/>
      <w:r>
        <w:t>enum</w:t>
      </w:r>
      <w:proofErr w:type="spellEnd"/>
      <w:r>
        <w:t>) distingue entre cálculo AUTOMATICO (</w:t>
      </w:r>
      <w:proofErr w:type="spellStart"/>
      <w:r>
        <w:t>trigger</w:t>
      </w:r>
      <w:proofErr w:type="spellEnd"/>
      <w:r>
        <w:t xml:space="preserve"> por evento de crecimiento) y MANUAL (solicitud explícita del usuario), habilitando trazabilidad del origen del resultado.</w:t>
      </w:r>
    </w:p>
    <w:p w14:paraId="61FAC3D3" w14:textId="77777777" w:rsidR="00AE7CAE" w:rsidRDefault="00AE7CAE" w:rsidP="00AE7CAE">
      <w:pPr>
        <w:pStyle w:val="Ttulo2"/>
      </w:pPr>
      <w:bookmarkStart w:id="5" w:name="_Toc229778495"/>
      <w:r>
        <w:t>Dominio 4: Provisión NIC 41 (RF-79)</w:t>
      </w:r>
      <w:bookmarkEnd w:id="5"/>
    </w:p>
    <w:p w14:paraId="6C376152" w14:textId="77777777" w:rsidR="00AE7CAE" w:rsidRDefault="00AE7CAE" w:rsidP="00AE7CAE">
      <w:pPr>
        <w:jc w:val="both"/>
      </w:pPr>
      <w:r>
        <w:t>La tabla provision_nic41 implementa el cálculo de la provisión de costos de mantenimiento esperados para el período siguiente, requerida por NIC 41 para activos sin precio de mercado activo. El campo modalidad (</w:t>
      </w:r>
      <w:proofErr w:type="spellStart"/>
      <w:r>
        <w:t>enum</w:t>
      </w:r>
      <w:proofErr w:type="spellEnd"/>
      <w:r>
        <w:t xml:space="preserve">) distingue entre provisión por activo individual o por lote, mientras que </w:t>
      </w:r>
      <w:proofErr w:type="spellStart"/>
      <w:r>
        <w:t>desglose_categoria</w:t>
      </w:r>
      <w:proofErr w:type="spellEnd"/>
      <w:r>
        <w:t xml:space="preserve"> (JSONB) detalla la composición del monto por tipo de costo. La </w:t>
      </w:r>
      <w:proofErr w:type="spellStart"/>
      <w:r>
        <w:t>autoreferencia</w:t>
      </w:r>
      <w:proofErr w:type="spellEnd"/>
      <w:r>
        <w:t xml:space="preserve"> </w:t>
      </w:r>
      <w:proofErr w:type="spellStart"/>
      <w:r>
        <w:t>id_reporte_anterior</w:t>
      </w:r>
      <w:proofErr w:type="spellEnd"/>
      <w:r>
        <w:t xml:space="preserve"> permite trazabilidad de correcciones, y </w:t>
      </w:r>
      <w:proofErr w:type="spellStart"/>
      <w:r>
        <w:t>motivo_correccion</w:t>
      </w:r>
      <w:proofErr w:type="spellEnd"/>
      <w:r>
        <w:t xml:space="preserve"> documenta la causa de ajustes. El hash de integridad </w:t>
      </w:r>
      <w:proofErr w:type="spellStart"/>
      <w:r>
        <w:t>hash_integridad</w:t>
      </w:r>
      <w:proofErr w:type="spellEnd"/>
      <w:r>
        <w:t xml:space="preserve"> (SHA-256) garantiza inmutabilidad </w:t>
      </w:r>
      <w:proofErr w:type="spellStart"/>
      <w:r>
        <w:t>post-generación</w:t>
      </w:r>
      <w:proofErr w:type="spellEnd"/>
      <w:r>
        <w:t>, y fecha_entrega_m06 registra la confirmación de recepción por el módulo financiero.</w:t>
      </w:r>
    </w:p>
    <w:p w14:paraId="239D87AB" w14:textId="77777777" w:rsidR="00AE7CAE" w:rsidRDefault="00AE7CAE" w:rsidP="00AE7CAE">
      <w:pPr>
        <w:pStyle w:val="Ttulo2"/>
      </w:pPr>
      <w:bookmarkStart w:id="6" w:name="_Toc229778496"/>
      <w:r>
        <w:lastRenderedPageBreak/>
        <w:t>Dominio 5: Auditoría y Trazabilidad Transversal (RF-80, RF-81)</w:t>
      </w:r>
      <w:bookmarkEnd w:id="6"/>
    </w:p>
    <w:p w14:paraId="6D6A6EC7" w14:textId="77777777" w:rsidR="00AE7CAE" w:rsidRDefault="00AE7CAE" w:rsidP="00AE7CAE">
      <w:pPr>
        <w:jc w:val="both"/>
      </w:pPr>
      <w:r>
        <w:t xml:space="preserve">La </w:t>
      </w:r>
      <w:proofErr w:type="gramStart"/>
      <w:r>
        <w:t xml:space="preserve">tabla </w:t>
      </w:r>
      <w:proofErr w:type="spellStart"/>
      <w:r>
        <w:t>auditorias</w:t>
      </w:r>
      <w:proofErr w:type="gramEnd"/>
      <w:r>
        <w:t>_suministros</w:t>
      </w:r>
      <w:proofErr w:type="spellEnd"/>
      <w:r>
        <w:t xml:space="preserve"> implementa el registro </w:t>
      </w:r>
      <w:proofErr w:type="spellStart"/>
      <w:r>
        <w:t>append-only</w:t>
      </w:r>
      <w:proofErr w:type="spellEnd"/>
      <w:r>
        <w:t xml:space="preserve"> de todos los eventos relevantes del módulo, heredando el esquema base de RF-10 y extendiéndolo con campos específicos: </w:t>
      </w:r>
      <w:proofErr w:type="spellStart"/>
      <w:r>
        <w:t>id_activo_biologico</w:t>
      </w:r>
      <w:proofErr w:type="spellEnd"/>
      <w:r>
        <w:t xml:space="preserve">, </w:t>
      </w:r>
      <w:proofErr w:type="spellStart"/>
      <w:r>
        <w:t>id_ciclo_productivo</w:t>
      </w:r>
      <w:proofErr w:type="spellEnd"/>
      <w:r>
        <w:t xml:space="preserve">, </w:t>
      </w:r>
      <w:proofErr w:type="spellStart"/>
      <w:r>
        <w:t>costo_afectado</w:t>
      </w:r>
      <w:proofErr w:type="spellEnd"/>
      <w:r>
        <w:t xml:space="preserve">, </w:t>
      </w:r>
      <w:proofErr w:type="spellStart"/>
      <w:r>
        <w:t>origen_precio</w:t>
      </w:r>
      <w:proofErr w:type="spellEnd"/>
      <w:r>
        <w:t xml:space="preserve"> y </w:t>
      </w:r>
      <w:proofErr w:type="spellStart"/>
      <w:r>
        <w:t>clasificacion_registro</w:t>
      </w:r>
      <w:proofErr w:type="spellEnd"/>
      <w:r>
        <w:t xml:space="preserve">. El campo </w:t>
      </w:r>
      <w:proofErr w:type="spellStart"/>
      <w:r>
        <w:t>hash_integridad</w:t>
      </w:r>
      <w:proofErr w:type="spellEnd"/>
      <w:r>
        <w:t xml:space="preserve"> permite verificación criptográfica de inmutabilidad, mientras que </w:t>
      </w:r>
      <w:proofErr w:type="spellStart"/>
      <w:r>
        <w:t>registro_incompleto</w:t>
      </w:r>
      <w:proofErr w:type="spellEnd"/>
      <w:r>
        <w:t xml:space="preserve"> y </w:t>
      </w:r>
      <w:proofErr w:type="spellStart"/>
      <w:r>
        <w:t>detalle_causa</w:t>
      </w:r>
      <w:proofErr w:type="spellEnd"/>
      <w:r>
        <w:t xml:space="preserve"> documentan fallos parciales sin rechazar el evento completo. Los campos de reintento (</w:t>
      </w:r>
      <w:proofErr w:type="spellStart"/>
      <w:r>
        <w:t>numero_reintentos</w:t>
      </w:r>
      <w:proofErr w:type="spellEnd"/>
      <w:r>
        <w:t xml:space="preserve">, </w:t>
      </w:r>
      <w:proofErr w:type="spellStart"/>
      <w:r>
        <w:t>fecha_intentos</w:t>
      </w:r>
      <w:proofErr w:type="spellEnd"/>
      <w:r>
        <w:t>) habilitan diagnóstico de problemas de concurrencia o conectividad.</w:t>
      </w:r>
    </w:p>
    <w:p w14:paraId="2728C952" w14:textId="77777777" w:rsidR="00AE7CAE" w:rsidRDefault="00AE7CAE" w:rsidP="00AE7CAE">
      <w:pPr>
        <w:jc w:val="both"/>
      </w:pPr>
      <w:proofErr w:type="spellStart"/>
      <w:r>
        <w:t>historial_suministros_activos</w:t>
      </w:r>
      <w:proofErr w:type="spellEnd"/>
      <w:r>
        <w:t xml:space="preserve"> materializa consultas de historial por activo, con agregación de costos por categoría y metadatos de exportación. Aunque es una tabla de reporte (no transaccional), su diseño permite consultas eficientes mediante índices en </w:t>
      </w:r>
      <w:proofErr w:type="spellStart"/>
      <w:r>
        <w:t>id_activo_biologico</w:t>
      </w:r>
      <w:proofErr w:type="spellEnd"/>
      <w:r>
        <w:t xml:space="preserve"> y </w:t>
      </w:r>
      <w:proofErr w:type="spellStart"/>
      <w:r>
        <w:t>fecha_inicio</w:t>
      </w:r>
      <w:proofErr w:type="spellEnd"/>
      <w:r>
        <w:t>/</w:t>
      </w:r>
      <w:proofErr w:type="spellStart"/>
      <w:r>
        <w:t>fecha_fin</w:t>
      </w:r>
      <w:proofErr w:type="spellEnd"/>
      <w:r>
        <w:t>.</w:t>
      </w:r>
    </w:p>
    <w:p w14:paraId="62C02089" w14:textId="77777777" w:rsidR="00AE7CAE" w:rsidRDefault="00AE7CAE" w:rsidP="00AE7CAE">
      <w:pPr>
        <w:pStyle w:val="Ttulo2"/>
      </w:pPr>
      <w:bookmarkStart w:id="7" w:name="_Toc229778497"/>
      <w:r>
        <w:t>Patrones de Diseño e Integridad Técnica</w:t>
      </w:r>
      <w:bookmarkEnd w:id="7"/>
    </w:p>
    <w:p w14:paraId="7FAD0820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 xml:space="preserve">Concurrencia optimista: El campo </w:t>
      </w:r>
      <w:proofErr w:type="spellStart"/>
      <w:r>
        <w:t>version_acumulado</w:t>
      </w:r>
      <w:proofErr w:type="spellEnd"/>
      <w:r>
        <w:t xml:space="preserve"> en </w:t>
      </w:r>
      <w:proofErr w:type="spellStart"/>
      <w:r>
        <w:t>acumulado_ciclo</w:t>
      </w:r>
      <w:proofErr w:type="spellEnd"/>
      <w:r>
        <w:t xml:space="preserve"> habilita actualizaciones sin bloqueos pesados, con lógica de reintento gestionada en aplicación.</w:t>
      </w:r>
    </w:p>
    <w:p w14:paraId="2C1DA418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 xml:space="preserve">Idempotencia mediante UUID: La clave </w:t>
      </w:r>
      <w:proofErr w:type="spellStart"/>
      <w:r>
        <w:t>id_idempotencia</w:t>
      </w:r>
      <w:proofErr w:type="spellEnd"/>
      <w:r>
        <w:t xml:space="preserve"> única en </w:t>
      </w:r>
      <w:proofErr w:type="spellStart"/>
      <w:r>
        <w:t>registro_suministro</w:t>
      </w:r>
      <w:proofErr w:type="spellEnd"/>
      <w:r>
        <w:t xml:space="preserve"> previene duplicados por reintentos de red, sin depender de combinaciones complejas de campos de negocio.</w:t>
      </w:r>
    </w:p>
    <w:p w14:paraId="082CF8ED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 xml:space="preserve">Clasificación </w:t>
      </w:r>
      <w:proofErr w:type="spellStart"/>
      <w:r>
        <w:t>enforceada</w:t>
      </w:r>
      <w:proofErr w:type="spellEnd"/>
      <w:r>
        <w:t xml:space="preserve"> a nivel de BD: El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naturaleza_costo</w:t>
      </w:r>
      <w:proofErr w:type="spellEnd"/>
      <w:r>
        <w:t xml:space="preserve"> con restricción NOT NULL garantiza que ningún registro persista sin clasificación contable válida, trasladando reglas de negocio a restricciones de integridad.</w:t>
      </w:r>
    </w:p>
    <w:p w14:paraId="40564529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>Trazabilidad bidireccional: Las claves foráneas UUID hacia id_registro_rf75/rf76 permiten navegación desde el costo acumulado hasta el evento operativo original, y viceversa.</w:t>
      </w:r>
    </w:p>
    <w:p w14:paraId="48A7FE0D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 xml:space="preserve">Inmutabilidad selectiva: Registros validados no admiten UPDATE; las correcciones se implementan como nuevos registros con </w:t>
      </w:r>
      <w:proofErr w:type="spellStart"/>
      <w:r>
        <w:t>id_registro_original</w:t>
      </w:r>
      <w:proofErr w:type="spellEnd"/>
      <w:r>
        <w:t xml:space="preserve"> y </w:t>
      </w:r>
      <w:proofErr w:type="spellStart"/>
      <w:r>
        <w:t>motivo_correccion</w:t>
      </w:r>
      <w:proofErr w:type="spellEnd"/>
      <w:r>
        <w:t>, preservando el historial completo.</w:t>
      </w:r>
    </w:p>
    <w:p w14:paraId="6FCA0F7D" w14:textId="77777777" w:rsidR="00AE7CAE" w:rsidRDefault="00AE7CAE" w:rsidP="00AE7CAE">
      <w:pPr>
        <w:pStyle w:val="Prrafodelista"/>
        <w:numPr>
          <w:ilvl w:val="0"/>
          <w:numId w:val="7"/>
        </w:numPr>
        <w:jc w:val="both"/>
      </w:pPr>
      <w:r>
        <w:t xml:space="preserve">Precisión monetaria consistente: Todos los campos de costo usan </w:t>
      </w:r>
      <w:proofErr w:type="gramStart"/>
      <w:r>
        <w:t>DECIMAL(</w:t>
      </w:r>
      <w:proofErr w:type="gramEnd"/>
      <w:r>
        <w:t>14,4) o (16,4), evitando errores de redondeo acumulados en cálculos financieros.</w:t>
      </w:r>
    </w:p>
    <w:p w14:paraId="1F8061C8" w14:textId="35C1154A" w:rsidR="00083671" w:rsidRPr="00083671" w:rsidRDefault="00AE7CAE" w:rsidP="00AE7CAE">
      <w:pPr>
        <w:jc w:val="both"/>
      </w:pPr>
      <w:r>
        <w:t>Este modelo relacional equilibra normalización para integridad referencial con flexibilidad JSONB para agregados variables, soportando los flujos operativos de registro, clasificación y acumulación de costos mientras garantiza trazabilidad, concurrencia segura y cumplimiento de NIC 41 para la valoración financiera de activos biológicos.</w:t>
      </w:r>
    </w:p>
    <w:sectPr w:rsidR="00083671" w:rsidRPr="0008367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E494" w14:textId="77777777" w:rsidR="00F921D8" w:rsidRDefault="00F921D8" w:rsidP="00075967">
      <w:pPr>
        <w:spacing w:after="0" w:line="240" w:lineRule="auto"/>
      </w:pPr>
      <w:r>
        <w:separator/>
      </w:r>
    </w:p>
  </w:endnote>
  <w:endnote w:type="continuationSeparator" w:id="0">
    <w:p w14:paraId="6A9725C9" w14:textId="77777777" w:rsidR="00F921D8" w:rsidRDefault="00F921D8" w:rsidP="0007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C9F" w14:textId="77777777" w:rsidR="00075967" w:rsidRPr="00FF0542" w:rsidRDefault="00075967">
    <w:pPr>
      <w:pStyle w:val="Piedepgina"/>
      <w:jc w:val="center"/>
      <w:rPr>
        <w:rFonts w:cs="Times New Roman"/>
        <w:caps/>
      </w:rPr>
    </w:pPr>
    <w:r w:rsidRPr="00FF0542">
      <w:rPr>
        <w:rFonts w:cs="Times New Roman"/>
        <w:caps/>
      </w:rPr>
      <w:fldChar w:fldCharType="begin"/>
    </w:r>
    <w:r w:rsidRPr="00FF0542">
      <w:rPr>
        <w:rFonts w:cs="Times New Roman"/>
        <w:caps/>
      </w:rPr>
      <w:instrText>PAGE   \* MERGEFORMAT</w:instrText>
    </w:r>
    <w:r w:rsidRPr="00FF0542">
      <w:rPr>
        <w:rFonts w:cs="Times New Roman"/>
        <w:caps/>
      </w:rPr>
      <w:fldChar w:fldCharType="separate"/>
    </w:r>
    <w:r w:rsidRPr="00FF0542">
      <w:rPr>
        <w:rFonts w:cs="Times New Roman"/>
        <w:caps/>
        <w:lang w:val="es-ES"/>
      </w:rPr>
      <w:t>2</w:t>
    </w:r>
    <w:r w:rsidRPr="00FF0542">
      <w:rPr>
        <w:rFonts w:cs="Times New Roman"/>
        <w:caps/>
      </w:rPr>
      <w:fldChar w:fldCharType="end"/>
    </w:r>
  </w:p>
  <w:p w14:paraId="76211DA2" w14:textId="77777777" w:rsidR="00075967" w:rsidRDefault="0007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EEEB" w14:textId="77777777" w:rsidR="00F921D8" w:rsidRDefault="00F921D8" w:rsidP="00075967">
      <w:pPr>
        <w:spacing w:after="0" w:line="240" w:lineRule="auto"/>
      </w:pPr>
      <w:r>
        <w:separator/>
      </w:r>
    </w:p>
  </w:footnote>
  <w:footnote w:type="continuationSeparator" w:id="0">
    <w:p w14:paraId="210622CB" w14:textId="77777777" w:rsidR="00F921D8" w:rsidRDefault="00F921D8" w:rsidP="0007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06"/>
    <w:multiLevelType w:val="hybridMultilevel"/>
    <w:tmpl w:val="5D3E77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00C32"/>
    <w:multiLevelType w:val="hybridMultilevel"/>
    <w:tmpl w:val="5492D53E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58C8361E"/>
    <w:multiLevelType w:val="hybridMultilevel"/>
    <w:tmpl w:val="94F03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13A6C"/>
    <w:multiLevelType w:val="hybridMultilevel"/>
    <w:tmpl w:val="F6BE66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2076E0"/>
    <w:multiLevelType w:val="hybridMultilevel"/>
    <w:tmpl w:val="8A903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E27F8"/>
    <w:multiLevelType w:val="hybridMultilevel"/>
    <w:tmpl w:val="F8E04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71BD8"/>
    <w:multiLevelType w:val="hybridMultilevel"/>
    <w:tmpl w:val="9A868F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917424">
    <w:abstractNumId w:val="1"/>
  </w:num>
  <w:num w:numId="2" w16cid:durableId="1162283641">
    <w:abstractNumId w:val="0"/>
  </w:num>
  <w:num w:numId="3" w16cid:durableId="1648900605">
    <w:abstractNumId w:val="5"/>
  </w:num>
  <w:num w:numId="4" w16cid:durableId="965039668">
    <w:abstractNumId w:val="4"/>
  </w:num>
  <w:num w:numId="5" w16cid:durableId="1779107371">
    <w:abstractNumId w:val="2"/>
  </w:num>
  <w:num w:numId="6" w16cid:durableId="75328841">
    <w:abstractNumId w:val="3"/>
  </w:num>
  <w:num w:numId="7" w16cid:durableId="1420759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6"/>
    <w:rsid w:val="00006BDD"/>
    <w:rsid w:val="000215F8"/>
    <w:rsid w:val="00044D41"/>
    <w:rsid w:val="00050388"/>
    <w:rsid w:val="00057813"/>
    <w:rsid w:val="0006275A"/>
    <w:rsid w:val="00065206"/>
    <w:rsid w:val="00075967"/>
    <w:rsid w:val="0007737E"/>
    <w:rsid w:val="00083671"/>
    <w:rsid w:val="00086E12"/>
    <w:rsid w:val="00092126"/>
    <w:rsid w:val="000940DF"/>
    <w:rsid w:val="000A11E5"/>
    <w:rsid w:val="000E0212"/>
    <w:rsid w:val="000F5016"/>
    <w:rsid w:val="000F5466"/>
    <w:rsid w:val="001134B8"/>
    <w:rsid w:val="00144990"/>
    <w:rsid w:val="00174C05"/>
    <w:rsid w:val="001826E6"/>
    <w:rsid w:val="001B729E"/>
    <w:rsid w:val="001F06C0"/>
    <w:rsid w:val="001F6214"/>
    <w:rsid w:val="002167B3"/>
    <w:rsid w:val="00225C29"/>
    <w:rsid w:val="00240CB1"/>
    <w:rsid w:val="002414D8"/>
    <w:rsid w:val="00241CE2"/>
    <w:rsid w:val="002438CA"/>
    <w:rsid w:val="002711D3"/>
    <w:rsid w:val="0029082B"/>
    <w:rsid w:val="00292F99"/>
    <w:rsid w:val="0029361E"/>
    <w:rsid w:val="002946C5"/>
    <w:rsid w:val="002A3BED"/>
    <w:rsid w:val="002B0BC5"/>
    <w:rsid w:val="002B7D58"/>
    <w:rsid w:val="002D1304"/>
    <w:rsid w:val="002E73B8"/>
    <w:rsid w:val="002F14C9"/>
    <w:rsid w:val="00300491"/>
    <w:rsid w:val="003012C2"/>
    <w:rsid w:val="00313770"/>
    <w:rsid w:val="00347EEF"/>
    <w:rsid w:val="00355461"/>
    <w:rsid w:val="00361A5B"/>
    <w:rsid w:val="00361AFC"/>
    <w:rsid w:val="00394C7A"/>
    <w:rsid w:val="003B60A4"/>
    <w:rsid w:val="003D2B76"/>
    <w:rsid w:val="003D505A"/>
    <w:rsid w:val="003F1BE2"/>
    <w:rsid w:val="00421E2C"/>
    <w:rsid w:val="004236D6"/>
    <w:rsid w:val="00432829"/>
    <w:rsid w:val="00435EC7"/>
    <w:rsid w:val="00453EC7"/>
    <w:rsid w:val="00487C7D"/>
    <w:rsid w:val="004A339C"/>
    <w:rsid w:val="004A6555"/>
    <w:rsid w:val="004B04BE"/>
    <w:rsid w:val="004B04EB"/>
    <w:rsid w:val="004C149A"/>
    <w:rsid w:val="004D0D15"/>
    <w:rsid w:val="004D47BE"/>
    <w:rsid w:val="004D6AF1"/>
    <w:rsid w:val="004D7BE2"/>
    <w:rsid w:val="004F0977"/>
    <w:rsid w:val="004F0A83"/>
    <w:rsid w:val="00570369"/>
    <w:rsid w:val="005931F5"/>
    <w:rsid w:val="00594C7F"/>
    <w:rsid w:val="00595D1E"/>
    <w:rsid w:val="00595E18"/>
    <w:rsid w:val="005B6E38"/>
    <w:rsid w:val="005C0E9A"/>
    <w:rsid w:val="005C4D27"/>
    <w:rsid w:val="005D3010"/>
    <w:rsid w:val="005E43F1"/>
    <w:rsid w:val="005E6053"/>
    <w:rsid w:val="00646C57"/>
    <w:rsid w:val="00656A29"/>
    <w:rsid w:val="006571D3"/>
    <w:rsid w:val="006735B9"/>
    <w:rsid w:val="006745A5"/>
    <w:rsid w:val="006C0BF2"/>
    <w:rsid w:val="006D670B"/>
    <w:rsid w:val="006D720A"/>
    <w:rsid w:val="00700B0F"/>
    <w:rsid w:val="0070591C"/>
    <w:rsid w:val="00717CAA"/>
    <w:rsid w:val="007533B0"/>
    <w:rsid w:val="00760F20"/>
    <w:rsid w:val="00767BDA"/>
    <w:rsid w:val="00773410"/>
    <w:rsid w:val="00776923"/>
    <w:rsid w:val="00782034"/>
    <w:rsid w:val="00782F53"/>
    <w:rsid w:val="007876C8"/>
    <w:rsid w:val="00790D47"/>
    <w:rsid w:val="007B5E94"/>
    <w:rsid w:val="00825FDF"/>
    <w:rsid w:val="008440B6"/>
    <w:rsid w:val="008520BB"/>
    <w:rsid w:val="00860437"/>
    <w:rsid w:val="00860C75"/>
    <w:rsid w:val="00882C87"/>
    <w:rsid w:val="008A1B45"/>
    <w:rsid w:val="008A2825"/>
    <w:rsid w:val="008B694C"/>
    <w:rsid w:val="008D17BA"/>
    <w:rsid w:val="008D1927"/>
    <w:rsid w:val="008D3AB2"/>
    <w:rsid w:val="008F2C9B"/>
    <w:rsid w:val="008F442B"/>
    <w:rsid w:val="008F62C2"/>
    <w:rsid w:val="0090777B"/>
    <w:rsid w:val="009104F9"/>
    <w:rsid w:val="00917F6F"/>
    <w:rsid w:val="00925318"/>
    <w:rsid w:val="00955FED"/>
    <w:rsid w:val="00990C09"/>
    <w:rsid w:val="00994323"/>
    <w:rsid w:val="009A5893"/>
    <w:rsid w:val="009A5E34"/>
    <w:rsid w:val="009C655E"/>
    <w:rsid w:val="009E0177"/>
    <w:rsid w:val="009F5E4E"/>
    <w:rsid w:val="00A007C5"/>
    <w:rsid w:val="00A007F1"/>
    <w:rsid w:val="00A06FF7"/>
    <w:rsid w:val="00A2280E"/>
    <w:rsid w:val="00A249E4"/>
    <w:rsid w:val="00A41FBB"/>
    <w:rsid w:val="00A52F0E"/>
    <w:rsid w:val="00A55135"/>
    <w:rsid w:val="00A76CFA"/>
    <w:rsid w:val="00A82E52"/>
    <w:rsid w:val="00AE35D1"/>
    <w:rsid w:val="00AE7CAE"/>
    <w:rsid w:val="00AF0FB5"/>
    <w:rsid w:val="00AF5975"/>
    <w:rsid w:val="00B11F95"/>
    <w:rsid w:val="00B145AC"/>
    <w:rsid w:val="00B34E37"/>
    <w:rsid w:val="00B4021B"/>
    <w:rsid w:val="00B7323F"/>
    <w:rsid w:val="00B825D3"/>
    <w:rsid w:val="00BB79CA"/>
    <w:rsid w:val="00BC2B1F"/>
    <w:rsid w:val="00BC43B0"/>
    <w:rsid w:val="00BE2E4D"/>
    <w:rsid w:val="00C05F41"/>
    <w:rsid w:val="00C11427"/>
    <w:rsid w:val="00C21EC6"/>
    <w:rsid w:val="00C3498F"/>
    <w:rsid w:val="00C677F2"/>
    <w:rsid w:val="00C72614"/>
    <w:rsid w:val="00C819CE"/>
    <w:rsid w:val="00C96DE2"/>
    <w:rsid w:val="00CB1FD7"/>
    <w:rsid w:val="00CD412D"/>
    <w:rsid w:val="00CF37A9"/>
    <w:rsid w:val="00CF7EF7"/>
    <w:rsid w:val="00D04E67"/>
    <w:rsid w:val="00D05964"/>
    <w:rsid w:val="00D2660A"/>
    <w:rsid w:val="00D369B8"/>
    <w:rsid w:val="00D374F7"/>
    <w:rsid w:val="00D42039"/>
    <w:rsid w:val="00D4383A"/>
    <w:rsid w:val="00D50CD8"/>
    <w:rsid w:val="00D60CD3"/>
    <w:rsid w:val="00D61994"/>
    <w:rsid w:val="00D67016"/>
    <w:rsid w:val="00D9296D"/>
    <w:rsid w:val="00DB36D0"/>
    <w:rsid w:val="00DD1F2B"/>
    <w:rsid w:val="00DE1999"/>
    <w:rsid w:val="00DF1B58"/>
    <w:rsid w:val="00DF31C5"/>
    <w:rsid w:val="00DF79BF"/>
    <w:rsid w:val="00E01635"/>
    <w:rsid w:val="00E02439"/>
    <w:rsid w:val="00E1052D"/>
    <w:rsid w:val="00E415CD"/>
    <w:rsid w:val="00E42175"/>
    <w:rsid w:val="00E47719"/>
    <w:rsid w:val="00E75EA7"/>
    <w:rsid w:val="00E821DB"/>
    <w:rsid w:val="00E9020A"/>
    <w:rsid w:val="00E92181"/>
    <w:rsid w:val="00EA7913"/>
    <w:rsid w:val="00EB4335"/>
    <w:rsid w:val="00EC4C8E"/>
    <w:rsid w:val="00EE5F1D"/>
    <w:rsid w:val="00F0188C"/>
    <w:rsid w:val="00F0190F"/>
    <w:rsid w:val="00F053C6"/>
    <w:rsid w:val="00F12249"/>
    <w:rsid w:val="00F236CB"/>
    <w:rsid w:val="00F4136F"/>
    <w:rsid w:val="00F533B2"/>
    <w:rsid w:val="00F62BC2"/>
    <w:rsid w:val="00F64457"/>
    <w:rsid w:val="00F7182B"/>
    <w:rsid w:val="00F80195"/>
    <w:rsid w:val="00F833A1"/>
    <w:rsid w:val="00F87130"/>
    <w:rsid w:val="00F916AC"/>
    <w:rsid w:val="00F921D8"/>
    <w:rsid w:val="00F979E8"/>
    <w:rsid w:val="00FA30DE"/>
    <w:rsid w:val="00FB67E3"/>
    <w:rsid w:val="00FC54CD"/>
    <w:rsid w:val="00FC6B50"/>
    <w:rsid w:val="00FE0667"/>
    <w:rsid w:val="00F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8E725"/>
  <w15:chartTrackingRefBased/>
  <w15:docId w15:val="{7E7E56E3-38E2-44CF-B6B8-8A62BBE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1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74C0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B1F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C0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B1F"/>
    <w:rPr>
      <w:rFonts w:ascii="Times New Roman" w:eastAsiaTheme="majorEastAsia" w:hAnsi="Times New Roman" w:cstheme="majorBidi"/>
      <w:i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E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B5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B5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4C0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967"/>
  </w:style>
  <w:style w:type="paragraph" w:styleId="Piedepgina">
    <w:name w:val="footer"/>
    <w:basedOn w:val="Normal"/>
    <w:link w:val="Piedepgina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967"/>
  </w:style>
  <w:style w:type="table" w:styleId="Tablaconcuadrcula">
    <w:name w:val="Table Grid"/>
    <w:basedOn w:val="Tablanormal"/>
    <w:uiPriority w:val="39"/>
    <w:rsid w:val="00094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0F20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Fuentedeprrafopredeter"/>
    <w:rsid w:val="00240CB1"/>
  </w:style>
  <w:style w:type="paragraph" w:styleId="NormalWeb">
    <w:name w:val="Normal (Web)"/>
    <w:basedOn w:val="Normal"/>
    <w:uiPriority w:val="99"/>
    <w:semiHidden/>
    <w:unhideWhenUsed/>
    <w:rsid w:val="00083671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1774</Words>
  <Characters>9762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7</cp:revision>
  <dcterms:created xsi:type="dcterms:W3CDTF">2026-04-21T17:54:00Z</dcterms:created>
  <dcterms:modified xsi:type="dcterms:W3CDTF">2026-05-16T04:01:00Z</dcterms:modified>
</cp:coreProperties>
</file>