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508"/>
        </w:trPr>
        <w:tc>
          <w:tcPr>
            <w:tcW w:type="dxa" w:w="1544"/>
            <w:vMerge w:val="restart"/>
            <w:tcBorders>
              <w:bottom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1860" cy="6299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629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36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5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4"/>
              </w:rPr>
              <w:t>n20</w:t>
            </w:r>
          </w:p>
        </w:tc>
        <w:tc>
          <w:tcPr>
            <w:tcW w:type="dxa" w:w="25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8" w:after="0"/>
              <w:ind w:left="0" w:right="3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05179" cy="5537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79" cy="553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4" w:lineRule="auto" w:before="560" w:after="0"/>
              <w:ind w:left="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180"/>
        </w:trPr>
        <w:tc>
          <w:tcPr>
            <w:tcW w:type="dxa" w:w="597"/>
            <w:vMerge/>
            <w:tcBorders>
              <w:bottom w:sz="4.0" w:val="single" w:color="#6E2C3E"/>
            </w:tcBorders>
          </w:tcPr>
          <w:p/>
        </w:tc>
        <w:tc>
          <w:tcPr>
            <w:tcW w:type="dxa" w:w="105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Informe de Riesgo</w:t>
            </w:r>
          </w:p>
        </w:tc>
        <w:tc>
          <w:tcPr>
            <w:tcW w:type="dxa" w:w="578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704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1194"/>
            <w:gridSpan w:val="2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597"/>
            <w:vMerge/>
            <w:tcBorders>
              <w:bottom w:sz="4.0" w:val="single" w:color="#6E2C3E"/>
            </w:tcBorders>
          </w:tcPr>
          <w:p/>
        </w:tc>
        <w:tc>
          <w:tcPr>
            <w:tcW w:type="dxa" w:w="6836"/>
            <w:gridSpan w:val="16"/>
            <w:tcBorders>
              <w:bottom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6E2C3E"/>
                <w:sz w:val="14"/>
              </w:rPr>
              <w:t>TIPS PESOS N20</w:t>
            </w:r>
            <w:r>
              <w:rPr>
                <w:rFonts w:ascii="Calibri" w:hAnsi="Calibri" w:eastAsia="Calibri"/>
                <w:b w:val="0"/>
                <w:i w:val="0"/>
                <w:color w:val="993366"/>
                <w:sz w:val="14"/>
                <w:u w:val="single"/>
              </w:rPr>
              <w:t>__________________________________________________________________________________</w:t>
            </w:r>
          </w:p>
        </w:tc>
        <w:tc>
          <w:tcPr>
            <w:tcW w:type="dxa" w:w="1194"/>
            <w:gridSpan w:val="2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544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1860" cy="6299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629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56"/>
            <w:gridSpan w:val="2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$millones de pesos</w:t>
            </w:r>
          </w:p>
        </w:tc>
        <w:tc>
          <w:tcPr>
            <w:tcW w:type="dxa" w:w="5780"/>
            <w:gridSpan w:val="14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6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Edad de la emisión: 53 meses</w:t>
            </w:r>
          </w:p>
        </w:tc>
        <w:tc>
          <w:tcPr>
            <w:tcW w:type="dxa" w:w="1194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71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$161,881 millones </w:t>
            </w:r>
          </w:p>
        </w:tc>
        <w:tc>
          <w:tcPr>
            <w:tcW w:type="dxa" w:w="1194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71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Mora &gt;120 días: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$6,282 millones </w:t>
            </w:r>
          </w:p>
        </w:tc>
        <w:tc>
          <w:tcPr>
            <w:tcW w:type="dxa" w:w="119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548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6"/>
              </w:rPr>
              <w:t>Saldos y cobertura _______________________________________</w:t>
            </w:r>
          </w:p>
        </w:tc>
        <w:tc>
          <w:tcPr>
            <w:tcW w:type="dxa" w:w="1632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Avalúo BRP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3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119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47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8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6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1968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Participación</w:t>
            </w: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23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" w:after="0"/>
              <w:ind w:left="2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1194"/>
            <w:gridSpan w:val="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A1-2024: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5.29%</w:t>
            </w:r>
          </w:p>
        </w:tc>
        <w:tc>
          <w:tcPr>
            <w:tcW w:type="dxa" w:w="7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$121,500</w:t>
            </w:r>
          </w:p>
        </w:tc>
        <w:tc>
          <w:tcPr>
            <w:tcW w:type="dxa" w:w="4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2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4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3284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2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35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1,400</w:t>
            </w:r>
          </w:p>
        </w:tc>
      </w:tr>
      <w:tr>
        <w:trPr>
          <w:trHeight w:hRule="exact" w:val="164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A2-2034: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6.04%</w:t>
            </w:r>
          </w:p>
        </w:tc>
        <w:tc>
          <w:tcPr>
            <w:tcW w:type="dxa" w:w="7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$283,500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$140,031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95.1%</w:t>
            </w:r>
          </w:p>
        </w:tc>
        <w:tc>
          <w:tcPr>
            <w:tcW w:type="dxa" w:w="1124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50.6%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A1 + A2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2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111.12%</w:t>
            </w:r>
          </w:p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B-2034: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9.00%</w:t>
            </w:r>
          </w:p>
        </w:tc>
        <w:tc>
          <w:tcPr>
            <w:tcW w:type="dxa" w:w="7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$45,000</w:t>
            </w:r>
          </w:p>
        </w:tc>
        <w:tc>
          <w:tcPr>
            <w:tcW w:type="dxa" w:w="42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2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$ </w:t>
            </w:r>
          </w:p>
        </w:tc>
        <w:tc>
          <w:tcPr>
            <w:tcW w:type="dxa" w:w="4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-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05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100.0%</w:t>
            </w:r>
          </w:p>
        </w:tc>
        <w:tc>
          <w:tcPr>
            <w:tcW w:type="dxa" w:w="103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A1 + A2 + B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2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111.12%</w:t>
            </w:r>
          </w:p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MZ-2034: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12.60%</w:t>
            </w:r>
          </w:p>
        </w:tc>
        <w:tc>
          <w:tcPr>
            <w:tcW w:type="dxa" w:w="7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$4,950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$4,950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3.4%</w:t>
            </w:r>
          </w:p>
        </w:tc>
        <w:tc>
          <w:tcPr>
            <w:tcW w:type="dxa" w:w="84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2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2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A1 + A2 + B + MZ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2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107.32%</w:t>
            </w:r>
          </w:p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C-2034: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7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14.40%</w:t>
            </w:r>
          </w:p>
        </w:tc>
        <w:tc>
          <w:tcPr>
            <w:tcW w:type="dxa" w:w="7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$2,250</w:t>
            </w:r>
          </w:p>
        </w:tc>
        <w:tc>
          <w:tcPr>
            <w:tcW w:type="dxa" w:w="91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 xml:space="preserve"> $2,250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1.5%</w:t>
            </w:r>
          </w:p>
        </w:tc>
        <w:tc>
          <w:tcPr>
            <w:tcW w:type="dxa" w:w="7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34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A1 + A2 + B + MZ + C</w:t>
            </w:r>
          </w:p>
        </w:tc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2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105.68%</w:t>
            </w:r>
          </w:p>
        </w:tc>
        <w:tc>
          <w:tcPr>
            <w:tcW w:type="dxa" w:w="597"/>
            <w:vMerge/>
            <w:tcBorders/>
          </w:tcPr>
          <w:p/>
        </w:tc>
        <w:tc>
          <w:tcPr>
            <w:tcW w:type="dxa" w:w="5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9" w:lineRule="auto" w:before="20" w:after="94"/>
        <w:ind w:left="276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16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>
        <w:trPr>
          <w:trHeight w:hRule="exact" w:val="220"/>
        </w:trPr>
        <w:tc>
          <w:tcPr>
            <w:tcW w:type="dxa" w:w="4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4.0" w:type="dxa"/>
            </w:tblPr>
            <w:tblGrid>
              <w:gridCol w:w="1225"/>
              <w:gridCol w:w="1225"/>
              <w:gridCol w:w="1225"/>
              <w:gridCol w:w="1225"/>
            </w:tblGrid>
            <w:tr>
              <w:trPr>
                <w:trHeight w:hRule="exact" w:val="595"/>
              </w:trPr>
              <w:tc>
                <w:tcPr>
                  <w:tcW w:type="dxa" w:w="8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Observado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enero</w:t>
                  </w:r>
                </w:p>
              </w:tc>
              <w:tc>
                <w:tcPr>
                  <w:tcW w:type="dxa" w:w="9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Media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móvil 12 meses</w:t>
                  </w:r>
                </w:p>
              </w:tc>
              <w:tc>
                <w:tcPr>
                  <w:tcW w:type="dxa" w:w="9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Prepago pp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de la emisión</w:t>
                  </w:r>
                </w:p>
              </w:tc>
              <w:tc>
                <w:tcPr>
                  <w:tcW w:type="dxa" w:w="8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Escenario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 xml:space="preserve">valoración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41E42"/>
                      <w:sz w:val="14"/>
                    </w:rPr>
                    <w:t>marzo</w:t>
                  </w:r>
                </w:p>
              </w:tc>
            </w:tr>
            <w:tr>
              <w:trPr>
                <w:trHeight w:hRule="exact" w:val="183"/>
              </w:trPr>
              <w:tc>
                <w:tcPr>
                  <w:tcW w:type="dxa" w:w="80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9.88%</w:t>
                  </w:r>
                </w:p>
              </w:tc>
              <w:tc>
                <w:tcPr>
                  <w:tcW w:type="dxa" w:w="9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8.36%</w:t>
                  </w:r>
                </w:p>
              </w:tc>
              <w:tc>
                <w:tcPr>
                  <w:tcW w:type="dxa" w:w="9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13.60%</w:t>
                  </w:r>
                </w:p>
              </w:tc>
              <w:tc>
                <w:tcPr>
                  <w:tcW w:type="dxa" w:w="8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6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8.36%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7.99999999999997" w:type="dxa"/>
            </w:tblPr>
            <w:tblGrid>
              <w:gridCol w:w="4900"/>
            </w:tblGrid>
            <w:tr>
              <w:trPr>
                <w:trHeight w:hRule="exact" w:val="2328"/>
              </w:trPr>
              <w:tc>
                <w:tcPr>
                  <w:tcW w:type="dxa" w:w="4634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auto" w:before="150" w:after="144"/>
                    <w:ind w:left="1440" w:right="1968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0"/>
                    </w:rPr>
                    <w:t xml:space="preserve">Amortización de capital </w:t>
                  </w:r>
                  <w:r>
                    <w:br/>
                  </w:r>
                  <w:r>
                    <w:rPr>
                      <w:rFonts w:ascii="Arial" w:hAnsi="Arial" w:eastAsia="Arial"/>
                      <w:b/>
                      <w:i w:val="0"/>
                      <w:color w:val="003366"/>
                      <w:sz w:val="10"/>
                    </w:rPr>
                    <w:t>acumulado de la cartera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0.0" w:type="dxa"/>
                  </w:tblPr>
                  <w:tblGrid>
                    <w:gridCol w:w="1158"/>
                    <w:gridCol w:w="1158"/>
                    <w:gridCol w:w="1158"/>
                    <w:gridCol w:w="1158"/>
                  </w:tblGrid>
                  <w:tr>
                    <w:trPr>
                      <w:trHeight w:hRule="exact" w:val="1110"/>
                    </w:trPr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4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60%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0%</w:t>
                        </w:r>
                      </w:p>
                    </w:tc>
                    <w:tc>
                      <w:tcPr>
                        <w:tcW w:type="dxa" w:w="416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20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48.000000000000114" w:type="dxa"/>
                        </w:tblPr>
                        <w:tblGrid>
                          <w:gridCol w:w="594"/>
                          <w:gridCol w:w="594"/>
                          <w:gridCol w:w="594"/>
                          <w:gridCol w:w="594"/>
                          <w:gridCol w:w="594"/>
                          <w:gridCol w:w="594"/>
                          <w:gridCol w:w="594"/>
                        </w:tblGrid>
                        <w:tr>
                          <w:trPr>
                            <w:trHeight w:hRule="exact" w:val="164"/>
                          </w:trPr>
                          <w:tc>
                            <w:tcPr>
                              <w:tcW w:type="dxa" w:w="282"/>
                              <w:tcBorders>
                                <w:start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70"/>
                          </w:trPr>
                          <w:tc>
                            <w:tcPr>
                              <w:tcW w:type="dxa" w:w="282"/>
                              <w:tcBorders>
                                <w:start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6"/>
                              <w:tcBorders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start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338"/>
                          </w:trPr>
                          <w:tc>
                            <w:tcPr>
                              <w:tcW w:type="dxa" w:w="282"/>
                              <w:tcBorders>
                                <w:start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bottom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4"/>
                              <w:tcBorders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8" w:lineRule="auto" w:before="162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2"/>
                                </w:rPr>
                                <w:t>39.61%</w:t>
                              </w:r>
                            </w:p>
                          </w:tc>
                          <w:tc>
                            <w:tcPr>
                              <w:tcW w:type="dxa" w:w="566"/>
                              <w:tcBorders>
                                <w:start w:sz="8.0" w:val="single" w:color="#000000"/>
                                <w:end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start w:sz="8.0" w:val="single" w:color="#000000"/>
                                <w:end w:sz="8.0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8" w:lineRule="auto" w:before="154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2"/>
                                </w:rPr>
                                <w:t>49.97%</w:t>
                              </w:r>
                            </w:p>
                          </w:tc>
                          <w:tc>
                            <w:tcPr>
                              <w:tcW w:type="dxa" w:w="284"/>
                              <w:tcBorders>
                                <w:start w:sz="8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287"/>
                          </w:trPr>
                          <w:tc>
                            <w:tcPr>
                              <w:tcW w:type="dxa" w:w="282"/>
                              <w:tcBorders>
                                <w:start w:sz="1.1200000047683716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start w:sz="8.0" w:val="single" w:color="#000000"/>
                                <w:top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88" w:lineRule="auto" w:before="6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2"/>
                                </w:rPr>
                                <w:t>18.82%</w:t>
                              </w:r>
                            </w:p>
                          </w:tc>
                          <w:tc>
                            <w:tcPr>
                              <w:tcW w:type="dxa" w:w="564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566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806"/>
                              <w:tcBorders>
                                <w:start w:sz="8.0" w:val="single" w:color="#000000"/>
                                <w:end w:sz="8.0" w:val="single" w:color="#000000"/>
                                <w:bottom w:sz="1.1200000047683716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84"/>
                              <w:tcBorders>
                                <w:start w:sz="8.0" w:val="single" w:color="#000000"/>
                                <w:bottom w:sz="1.1200000047683716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30"/>
                    </w:trPr>
                    <w:tc>
                      <w:tcPr>
                        <w:tcW w:type="dxa" w:w="1158"/>
                        <w:vMerge/>
                        <w:tcBorders/>
                      </w:tcPr>
                      <w:p/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34" w:after="0"/>
                          <w:ind w:left="0" w:right="380" w:firstLine="0"/>
                          <w:jc w:val="right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Teórico</w:t>
                        </w:r>
                      </w:p>
                    </w:tc>
                    <w:tc>
                      <w:tcPr>
                        <w:tcW w:type="dxa" w:w="1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Prepago CPR 10%</w:t>
                        </w:r>
                      </w:p>
                    </w:tc>
                    <w:tc>
                      <w:tcPr>
                        <w:tcW w:type="dxa" w:w="1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Observado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97" w:lineRule="auto" w:before="296" w:after="0"/>
                    <w:ind w:left="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41E42"/>
                      <w:sz w:val="16"/>
                    </w:rPr>
                    <w:t>Mora observada_______________________________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54" w:after="0"/>
              <w:ind w:left="0" w:right="236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3366"/>
                <w:sz w:val="12"/>
              </w:rPr>
              <w:t>Evolución del prepago</w:t>
            </w:r>
          </w:p>
        </w:tc>
      </w:tr>
      <w:tr>
        <w:trPr>
          <w:trHeight w:hRule="exact" w:val="1980"/>
        </w:trPr>
        <w:tc>
          <w:tcPr>
            <w:tcW w:type="dxa" w:w="709"/>
            <w:vMerge/>
            <w:tcBorders/>
          </w:tcPr>
          <w:p/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30.0%</w:t>
            </w:r>
          </w:p>
          <w:p>
            <w:pPr>
              <w:autoSpaceDN w:val="0"/>
              <w:autoSpaceDE w:val="0"/>
              <w:widowControl/>
              <w:spacing w:line="110" w:lineRule="exact" w:before="204" w:after="0"/>
              <w:ind w:left="0" w:right="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25.0%</w:t>
            </w:r>
          </w:p>
          <w:p>
            <w:pPr>
              <w:autoSpaceDN w:val="0"/>
              <w:autoSpaceDE w:val="0"/>
              <w:widowControl/>
              <w:spacing w:line="110" w:lineRule="exact" w:before="206" w:after="0"/>
              <w:ind w:left="0" w:right="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20.0%</w:t>
            </w:r>
          </w:p>
          <w:p>
            <w:pPr>
              <w:autoSpaceDN w:val="0"/>
              <w:autoSpaceDE w:val="0"/>
              <w:widowControl/>
              <w:spacing w:line="112" w:lineRule="exact" w:before="202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15.0%</w:t>
            </w:r>
          </w:p>
          <w:p>
            <w:pPr>
              <w:autoSpaceDN w:val="0"/>
              <w:autoSpaceDE w:val="0"/>
              <w:widowControl/>
              <w:spacing w:line="110" w:lineRule="exact" w:before="204" w:after="0"/>
              <w:ind w:left="0" w:right="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10.0%</w:t>
            </w:r>
          </w:p>
          <w:p>
            <w:pPr>
              <w:autoSpaceDN w:val="0"/>
              <w:autoSpaceDE w:val="0"/>
              <w:widowControl/>
              <w:spacing w:line="112" w:lineRule="exact" w:before="202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5.0%</w:t>
            </w:r>
          </w:p>
          <w:p>
            <w:pPr>
              <w:autoSpaceDN w:val="0"/>
              <w:autoSpaceDE w:val="0"/>
              <w:widowControl/>
              <w:spacing w:line="110" w:lineRule="exact" w:before="204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0.0%</w:t>
            </w:r>
          </w:p>
        </w:tc>
        <w:tc>
          <w:tcPr>
            <w:tcW w:type="dxa" w:w="5200"/>
            <w:gridSpan w:val="1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09900" cy="1231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23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00"/>
        </w:trPr>
        <w:tc>
          <w:tcPr>
            <w:tcW w:type="dxa" w:w="709"/>
            <w:vMerge/>
            <w:tcBorders/>
          </w:tcPr>
          <w:p/>
        </w:tc>
        <w:tc>
          <w:tcPr>
            <w:tcW w:type="dxa" w:w="709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oct19</w:t>
            </w:r>
          </w:p>
        </w:tc>
        <w:tc>
          <w:tcPr>
            <w:tcW w:type="dxa" w:w="276"/>
            <w:tcBorders>
              <w:end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mar20</w:t>
            </w:r>
          </w:p>
        </w:tc>
        <w:tc>
          <w:tcPr>
            <w:tcW w:type="dxa" w:w="484"/>
            <w:tcBorders>
              <w:start w:sz="6.0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ago20</w:t>
            </w:r>
          </w:p>
        </w:tc>
        <w:tc>
          <w:tcPr>
            <w:tcW w:type="dxa" w:w="4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ene21</w:t>
            </w:r>
          </w:p>
        </w:tc>
        <w:tc>
          <w:tcPr>
            <w:tcW w:type="dxa" w:w="3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jun21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nov21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abr22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sep22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feb23</w:t>
            </w:r>
          </w:p>
        </w:tc>
        <w:tc>
          <w:tcPr>
            <w:tcW w:type="dxa" w:w="2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jul23</w:t>
            </w:r>
          </w:p>
        </w:tc>
        <w:tc>
          <w:tcPr>
            <w:tcW w:type="dxa" w:w="3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dic23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4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8"/>
              </w:rPr>
              <w:t>may24</w:t>
            </w:r>
          </w:p>
        </w:tc>
      </w:tr>
      <w:tr>
        <w:trPr>
          <w:trHeight w:hRule="exact" w:val="420"/>
        </w:trPr>
        <w:tc>
          <w:tcPr>
            <w:tcW w:type="dxa" w:w="709"/>
            <w:vMerge/>
            <w:tcBorders/>
          </w:tcPr>
          <w:p/>
        </w:tc>
        <w:tc>
          <w:tcPr>
            <w:tcW w:type="dxa" w:w="1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1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38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80" w:after="0"/>
              <w:ind w:left="0" w:right="12" w:firstLine="0"/>
              <w:jc w:val="righ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9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80" w:after="0"/>
              <w:ind w:left="0" w:right="186" w:firstLine="0"/>
              <w:jc w:val="righ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80" w:after="0"/>
              <w:ind w:left="0" w:right="0" w:firstLine="0"/>
              <w:jc w:val="center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7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80" w:after="0"/>
              <w:ind w:left="0" w:right="0" w:firstLine="0"/>
              <w:jc w:val="center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19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180" w:after="0"/>
              <w:ind w:left="198" w:right="0" w:firstLine="0"/>
              <w:jc w:val="left"/>
            </w:pPr>
            <w:r>
              <w:rPr>
                <w:w w:val="95.9999970027378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388"/>
        </w:trPr>
        <w:tc>
          <w:tcPr>
            <w:tcW w:type="dxa" w:w="709"/>
            <w:vMerge/>
            <w:tcBorders/>
          </w:tcPr>
          <w:p/>
        </w:tc>
        <w:tc>
          <w:tcPr>
            <w:tcW w:type="dxa" w:w="58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9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6"/>
              </w:rPr>
              <w:t>Escenarios de Estrés___________________________</w:t>
            </w:r>
          </w:p>
        </w:tc>
      </w:tr>
    </w:tbl>
    <w:p>
      <w:pPr>
        <w:autoSpaceDN w:val="0"/>
        <w:autoSpaceDE w:val="0"/>
        <w:widowControl/>
        <w:spacing w:line="199" w:lineRule="auto" w:before="48" w:after="14"/>
        <w:ind w:left="0" w:right="668" w:firstLine="0"/>
        <w:jc w:val="right"/>
      </w:pPr>
      <w:r>
        <w:rPr>
          <w:w w:val="101.33333206176758"/>
          <w:rFonts w:ascii="Calibri" w:hAnsi="Calibri" w:eastAsia="Calibri"/>
          <w:b w:val="0"/>
          <w:i w:val="0"/>
          <w:color w:val="041E42"/>
          <w:sz w:val="9"/>
        </w:rPr>
        <w:t xml:space="preserve">% de amortización de capital proyectado  para diferentes escenarios de estrés  de prepago -CPR 10 %, 20 % o la Media Movil (MM) de los últimos 12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198"/>
        </w:trPr>
        <w:tc>
          <w:tcPr>
            <w:tcW w:type="dxa" w:w="476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48" w:after="0"/>
              <w:ind w:left="0" w:right="1724" w:firstLine="0"/>
              <w:jc w:val="right"/>
            </w:pPr>
            <w:r>
              <w:rPr>
                <w:w w:val="96.00000381469727"/>
                <w:rFonts w:ascii="Arial" w:hAnsi="Arial" w:eastAsia="Arial"/>
                <w:b/>
                <w:i w:val="0"/>
                <w:color w:val="003366"/>
                <w:sz w:val="12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4.0%</w:t>
            </w:r>
          </w:p>
          <w:p>
            <w:pPr>
              <w:autoSpaceDN w:val="0"/>
              <w:autoSpaceDE w:val="0"/>
              <w:widowControl/>
              <w:spacing w:line="148" w:lineRule="exact" w:before="692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2.0%</w:t>
            </w:r>
          </w:p>
          <w:p>
            <w:pPr>
              <w:autoSpaceDN w:val="0"/>
              <w:autoSpaceDE w:val="0"/>
              <w:widowControl/>
              <w:spacing w:line="148" w:lineRule="exact" w:before="62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1.5%</w:t>
            </w:r>
          </w:p>
          <w:p>
            <w:pPr>
              <w:autoSpaceDN w:val="0"/>
              <w:autoSpaceDE w:val="0"/>
              <w:widowControl/>
              <w:spacing w:line="148" w:lineRule="exact" w:before="62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1.0%</w:t>
            </w:r>
          </w:p>
          <w:p>
            <w:pPr>
              <w:autoSpaceDN w:val="0"/>
              <w:autoSpaceDE w:val="0"/>
              <w:widowControl/>
              <w:spacing w:line="150" w:lineRule="exact" w:before="62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0.5%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514600" cy="11049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50" w:lineRule="exact" w:before="0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3.5%</w:t>
            </w:r>
          </w:p>
          <w:p>
            <w:pPr>
              <w:autoSpaceDN w:val="0"/>
              <w:autoSpaceDE w:val="0"/>
              <w:widowControl/>
              <w:spacing w:line="148" w:lineRule="exact" w:before="62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3.0%</w:t>
            </w:r>
          </w:p>
          <w:p>
            <w:pPr>
              <w:autoSpaceDN w:val="0"/>
              <w:autoSpaceDE w:val="0"/>
              <w:widowControl/>
              <w:spacing w:line="148" w:lineRule="exact" w:before="62" w:after="0"/>
              <w:ind w:left="304" w:right="0" w:firstLine="0"/>
              <w:jc w:val="left"/>
            </w:pPr>
            <w:r>
              <w:rPr>
                <w:w w:val="98.18181991577148"/>
                <w:rFonts w:ascii="ArialMT" w:hAnsi="ArialMT" w:eastAsia="ArialMT"/>
                <w:b w:val="0"/>
                <w:i w:val="0"/>
                <w:color w:val="000000"/>
                <w:sz w:val="11"/>
              </w:rPr>
              <w:t>2.5%</w:t>
            </w:r>
          </w:p>
          <w:p>
            <w:pPr>
              <w:autoSpaceDN w:val="0"/>
              <w:tabs>
                <w:tab w:pos="872" w:val="left"/>
                <w:tab w:pos="1230" w:val="left"/>
                <w:tab w:pos="1584" w:val="left"/>
                <w:tab w:pos="1954" w:val="left"/>
                <w:tab w:pos="2298" w:val="left"/>
                <w:tab w:pos="2660" w:val="left"/>
                <w:tab w:pos="3008" w:val="left"/>
                <w:tab w:pos="3372" w:val="left"/>
                <w:tab w:pos="3744" w:val="left"/>
                <w:tab w:pos="4086" w:val="left"/>
                <w:tab w:pos="4414" w:val="left"/>
              </w:tabs>
              <w:autoSpaceDE w:val="0"/>
              <w:widowControl/>
              <w:spacing w:line="122" w:lineRule="exact" w:before="1004" w:after="0"/>
              <w:ind w:left="536" w:right="0" w:firstLine="0"/>
              <w:jc w:val="left"/>
            </w:pP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oct19 </w:t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mar20 </w:t>
            </w:r>
            <w:r>
              <w:tab/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ago20 </w:t>
            </w:r>
            <w:r>
              <w:tab/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ene21 </w:t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jun21 </w:t>
            </w:r>
            <w:r>
              <w:tab/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nov21 </w:t>
            </w:r>
            <w:r>
              <w:tab/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abr22 </w:t>
            </w:r>
            <w:r>
              <w:tab/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sep22 </w:t>
            </w:r>
            <w:r>
              <w:tab/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feb23 </w:t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jul23 </w:t>
            </w:r>
            <w:r>
              <w:tab/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dic23 </w:t>
            </w:r>
            <w:r>
              <w:rPr>
                <w:w w:val="97.60000440809462"/>
                <w:rFonts w:ascii="ArialMT" w:hAnsi="ArialMT" w:eastAsia="ArialMT"/>
                <w:b w:val="0"/>
                <w:i w:val="0"/>
                <w:color w:val="000000"/>
                <w:sz w:val="9"/>
              </w:rPr>
              <w:t>may24</w:t>
            </w:r>
          </w:p>
        </w:tc>
        <w:tc>
          <w:tcPr>
            <w:tcW w:type="dxa" w:w="2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104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41E42"/>
                <w:sz w:val="9"/>
              </w:rPr>
              <w:t>meses- y mora 1, 1,5 o 5 veces la curva proyectada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A2</w:t>
            </w:r>
          </w:p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0" w:after="0"/>
              <w:ind w:left="0" w:right="1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0" w:after="0"/>
              <w:ind w:left="1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0" w:after="0"/>
              <w:ind w:left="2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A1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5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  <w:u w:val="single"/>
              </w:rPr>
              <w:t>$mm</w:t>
            </w:r>
          </w:p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16,857</w:t>
            </w:r>
          </w:p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15,582</w:t>
            </w:r>
          </w:p>
        </w:tc>
      </w:tr>
      <w:tr>
        <w:trPr>
          <w:trHeight w:hRule="exact" w:val="20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17,165</w:t>
            </w:r>
          </w:p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15,539</w:t>
            </w:r>
          </w:p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14,564</w:t>
            </w:r>
          </w:p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1.5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15,778</w:t>
            </w:r>
          </w:p>
        </w:tc>
      </w:tr>
      <w:tr>
        <w:trPr>
          <w:trHeight w:hRule="exact" w:val="18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3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7,726</w:t>
            </w:r>
          </w:p>
        </w:tc>
      </w:tr>
      <w:tr>
        <w:trPr>
          <w:trHeight w:hRule="exact" w:val="220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20%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3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8,218</w:t>
            </w:r>
          </w:p>
        </w:tc>
      </w:tr>
      <w:tr>
        <w:trPr>
          <w:trHeight w:hRule="exact" w:val="162"/>
        </w:trPr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0" w:after="0"/>
              <w:ind w:left="0" w:right="294" w:firstLine="0"/>
              <w:jc w:val="righ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5"/>
              </w:rPr>
              <w:t>Observado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0" w:after="0"/>
              <w:ind w:left="0" w:right="0" w:firstLine="0"/>
              <w:jc w:val="center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5"/>
              </w:rPr>
              <w:t>P 97,5%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0" w:after="0"/>
              <w:ind w:left="0" w:right="0" w:firstLine="0"/>
              <w:jc w:val="center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5"/>
              </w:rPr>
              <w:t>P 50%</w:t>
            </w:r>
          </w:p>
        </w:tc>
        <w:tc>
          <w:tcPr>
            <w:tcW w:type="dxa" w:w="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" w:lineRule="exact" w:before="90" w:after="0"/>
              <w:ind w:left="302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5"/>
              </w:rPr>
              <w:t>P 2,5%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MM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2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5.0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9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3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7,599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8.0" w:type="dxa"/>
      </w:tblPr>
      <w:tblGrid>
        <w:gridCol w:w="5675"/>
        <w:gridCol w:w="5675"/>
      </w:tblGrid>
      <w:tr>
        <w:trPr>
          <w:trHeight w:hRule="exact" w:val="190"/>
        </w:trPr>
        <w:tc>
          <w:tcPr>
            <w:tcW w:type="dxa" w:w="9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3366"/>
                <w:sz w:val="9"/>
              </w:rPr>
              <w:t>Notas:</w:t>
            </w:r>
          </w:p>
        </w:tc>
      </w:tr>
      <w:tr>
        <w:trPr>
          <w:trHeight w:hRule="exact" w:val="342"/>
        </w:trPr>
        <w:tc>
          <w:tcPr>
            <w:tcW w:type="dxa" w:w="4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6.0" w:type="dxa"/>
            </w:tblPr>
            <w:tblGrid>
              <w:gridCol w:w="4100"/>
            </w:tblGrid>
            <w:tr>
              <w:trPr>
                <w:trHeight w:hRule="exact" w:val="170"/>
              </w:trPr>
              <w:tc>
                <w:tcPr>
                  <w:tcW w:type="dxa" w:w="2762"/>
                  <w:tcBorders>
                    <w:start w:sz="8.0" w:val="single" w:color="#000000"/>
                    <w:top w:sz="7.199999999999818" w:val="single" w:color="#000000"/>
                    <w:end w:sz="8.0" w:val="single" w:color="#000000"/>
                    <w:bottom w:sz="8.0" w:val="single" w:color="#000000"/>
                  </w:tcBorders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234061"/>
                      <w:sz w:val="12"/>
                    </w:rPr>
                    <w:t>Mora observada Jan: 1.30%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4" w:lineRule="auto" w:before="0" w:after="0"/>
              <w:ind w:left="6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4"/>
              </w:rPr>
              <w:t>Mora observada Jan: 1.30%</w:t>
            </w:r>
          </w:p>
        </w:tc>
        <w:tc>
          <w:tcPr>
            <w:tcW w:type="dxa" w:w="5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424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 Vigente : Saldo de capital de la cartera con mora inferior a 120 días dividido por el saldo de los TIPS en la fec</w:t>
            </w:r>
          </w:p>
          <w:p>
            <w:pPr>
              <w:autoSpaceDN w:val="0"/>
              <w:autoSpaceDE w:val="0"/>
              <w:widowControl/>
              <w:spacing w:line="104" w:lineRule="exact" w:before="136" w:after="0"/>
              <w:ind w:left="424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* % Coberturas Externas : Saldo del Mecanismo de Cobertura Parcial de los títulos A.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32"/>
        <w:ind w:left="0" w:right="0"/>
      </w:pPr>
    </w:p>
    <w:p>
      <w:pPr>
        <w:sectPr>
          <w:pgSz w:w="12240" w:h="15840"/>
          <w:pgMar w:top="400" w:right="418" w:bottom="304" w:left="4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6" w:lineRule="auto" w:before="0" w:after="0"/>
        <w:ind w:left="0" w:right="442" w:firstLine="0"/>
        <w:jc w:val="right"/>
      </w:pPr>
      <w:r>
        <w:rPr>
          <w:rFonts w:ascii="Arial" w:hAnsi="Arial" w:eastAsia="Arial"/>
          <w:b/>
          <w:i w:val="0"/>
          <w:color w:val="003366"/>
          <w:sz w:val="9"/>
        </w:rPr>
        <w:t>Evolución de las Tasas Anualizadas Implícitas de los Créditos Hipotecarios</w:t>
      </w:r>
    </w:p>
    <w:p>
      <w:pPr>
        <w:autoSpaceDN w:val="0"/>
        <w:autoSpaceDE w:val="0"/>
        <w:widowControl/>
        <w:spacing w:line="110" w:lineRule="exact" w:before="140" w:after="0"/>
        <w:ind w:left="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8"/>
        </w:rPr>
        <w:t>14.0%</w:t>
      </w:r>
    </w:p>
    <w:p>
      <w:pPr>
        <w:autoSpaceDN w:val="0"/>
        <w:autoSpaceDE w:val="0"/>
        <w:widowControl/>
        <w:spacing w:line="112" w:lineRule="exact" w:before="410" w:after="0"/>
        <w:ind w:left="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8"/>
        </w:rPr>
        <w:t>8.0%</w:t>
      </w:r>
    </w:p>
    <w:p>
      <w:pPr>
        <w:autoSpaceDN w:val="0"/>
        <w:autoSpaceDE w:val="0"/>
        <w:widowControl/>
        <w:spacing w:line="110" w:lineRule="exact" w:before="64" w:after="0"/>
        <w:ind w:left="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8"/>
        </w:rPr>
        <w:t>6.0%</w:t>
      </w:r>
    </w:p>
    <w:p>
      <w:pPr>
        <w:autoSpaceDN w:val="0"/>
        <w:autoSpaceDE w:val="0"/>
        <w:widowControl/>
        <w:spacing w:line="240" w:lineRule="auto" w:before="0" w:after="0"/>
        <w:ind w:left="46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8"/>
        </w:rPr>
        <w:t>4.0%</w:t>
      </w:r>
      <w:r>
        <w:drawing>
          <wp:inline xmlns:a="http://schemas.openxmlformats.org/drawingml/2006/main" xmlns:pic="http://schemas.openxmlformats.org/drawingml/2006/picture">
            <wp:extent cx="2590800" cy="584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8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12" w:lineRule="exact" w:before="0" w:after="0"/>
        <w:ind w:left="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8"/>
        </w:rPr>
        <w:t>12.0%</w:t>
      </w:r>
    </w:p>
    <w:p>
      <w:pPr>
        <w:autoSpaceDN w:val="0"/>
        <w:autoSpaceDE w:val="0"/>
        <w:widowControl/>
        <w:spacing w:line="110" w:lineRule="exact" w:before="64" w:after="0"/>
        <w:ind w:left="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8"/>
        </w:rPr>
        <w:t>10.0%</w:t>
      </w:r>
    </w:p>
    <w:p>
      <w:pPr>
        <w:autoSpaceDN w:val="0"/>
        <w:tabs>
          <w:tab w:pos="940" w:val="left"/>
          <w:tab w:pos="1308" w:val="left"/>
          <w:tab w:pos="1672" w:val="left"/>
          <w:tab w:pos="2054" w:val="left"/>
          <w:tab w:pos="2406" w:val="left"/>
          <w:tab w:pos="2780" w:val="left"/>
          <w:tab w:pos="3138" w:val="left"/>
          <w:tab w:pos="3514" w:val="left"/>
          <w:tab w:pos="3898" w:val="left"/>
          <w:tab w:pos="4250" w:val="left"/>
          <w:tab w:pos="4584" w:val="left"/>
        </w:tabs>
        <w:autoSpaceDE w:val="0"/>
        <w:widowControl/>
        <w:spacing w:line="136" w:lineRule="exact" w:before="516" w:after="0"/>
        <w:ind w:left="59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oct19 </w:t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mar20 </w:t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ago20 </w:t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ene21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jun21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nov21 </w:t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abr22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sep22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feb23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jul23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0"/>
        </w:rPr>
        <w:t xml:space="preserve">dic23 </w:t>
      </w:r>
      <w:r>
        <w:rPr>
          <w:rFonts w:ascii="ArialMT" w:hAnsi="ArialMT" w:eastAsia="ArialMT"/>
          <w:b w:val="0"/>
          <w:i w:val="0"/>
          <w:color w:val="000000"/>
          <w:sz w:val="10"/>
        </w:rPr>
        <w:t>may24</w:t>
      </w:r>
    </w:p>
    <w:p>
      <w:pPr>
        <w:sectPr>
          <w:type w:val="continuous"/>
          <w:pgSz w:w="12240" w:h="15840"/>
          <w:pgMar w:top="400" w:right="418" w:bottom="304" w:left="472" w:header="720" w:footer="720" w:gutter="0"/>
          <w:cols w:num="2" w:equalWidth="0">
            <w:col w:w="5018" w:space="0"/>
            <w:col w:w="6332" w:space="0"/>
          </w:cols>
          <w:docGrid w:linePitch="360"/>
        </w:sectPr>
      </w:pPr>
    </w:p>
    <w:p>
      <w:pPr>
        <w:autoSpaceDN w:val="0"/>
        <w:autoSpaceDE w:val="0"/>
        <w:widowControl/>
        <w:spacing w:line="104" w:lineRule="exact" w:before="0" w:after="0"/>
        <w:ind w:left="134" w:right="0" w:firstLine="0"/>
        <w:jc w:val="left"/>
      </w:pPr>
      <w:r>
        <w:rPr>
          <w:w w:val="101.33333206176758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 Escenario Teórico: Pago contractual de los créditos en un escanario de cero mora y cero prepago.</w:t>
      </w:r>
    </w:p>
    <w:p>
      <w:pPr>
        <w:autoSpaceDN w:val="0"/>
        <w:autoSpaceDE w:val="0"/>
        <w:widowControl/>
        <w:spacing w:line="104" w:lineRule="exact" w:before="136" w:after="0"/>
        <w:ind w:left="134" w:right="0" w:firstLine="0"/>
        <w:jc w:val="left"/>
      </w:pPr>
      <w:r>
        <w:rPr>
          <w:w w:val="101.33333206176758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 Prepago es el agregado de la suma de prepago parcial y total anualizado. Prepago promedio ponderado (pp) de la emisión: Corresponde al </w:t>
      </w:r>
    </w:p>
    <w:p>
      <w:pPr>
        <w:autoSpaceDN w:val="0"/>
        <w:autoSpaceDE w:val="0"/>
        <w:widowControl/>
        <w:spacing w:line="194" w:lineRule="auto" w:before="30" w:after="0"/>
        <w:ind w:left="134" w:right="0" w:firstLine="0"/>
        <w:jc w:val="left"/>
      </w:pP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prepago ponderado por el saldo de cartera de cada mes de la emisión. </w:t>
      </w:r>
    </w:p>
    <w:p>
      <w:pPr>
        <w:autoSpaceDN w:val="0"/>
        <w:autoSpaceDE w:val="0"/>
        <w:widowControl/>
        <w:spacing w:line="104" w:lineRule="exact" w:before="136" w:after="0"/>
        <w:ind w:left="134" w:right="0" w:firstLine="0"/>
        <w:jc w:val="left"/>
      </w:pPr>
      <w:r>
        <w:rPr>
          <w:w w:val="101.33333206176758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 Escenario de valoración: Escenario de prepago para valoración de los proveedores de precio.</w:t>
      </w:r>
    </w:p>
    <w:p>
      <w:pPr>
        <w:autoSpaceDN w:val="0"/>
        <w:autoSpaceDE w:val="0"/>
        <w:widowControl/>
        <w:spacing w:line="104" w:lineRule="exact" w:before="136" w:after="0"/>
        <w:ind w:left="134" w:right="0" w:firstLine="0"/>
        <w:jc w:val="left"/>
      </w:pPr>
      <w:r>
        <w:rPr>
          <w:w w:val="101.33333206176758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 Tasa Implícita: Flujo mensual de intereses dividido por el saldo de capital al inicio del mes.</w:t>
      </w:r>
    </w:p>
    <w:p>
      <w:pPr>
        <w:autoSpaceDN w:val="0"/>
        <w:autoSpaceDE w:val="0"/>
        <w:widowControl/>
        <w:spacing w:line="120" w:lineRule="exact" w:before="176" w:after="24"/>
        <w:ind w:left="134" w:right="576" w:firstLine="0"/>
        <w:jc w:val="left"/>
      </w:pPr>
      <w:r>
        <w:rPr>
          <w:w w:val="101.33333206176758"/>
          <w:rFonts w:ascii="ArialMT" w:hAnsi="ArialMT" w:eastAsia="ArialMT"/>
          <w:b w:val="0"/>
          <w:i w:val="0"/>
          <w:color w:val="000000"/>
          <w:sz w:val="9"/>
        </w:rPr>
        <w:t>►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  Para efectos de monitorear el riesgo de crédito, el indicador de mora mayor a 120 días se ha proyectado teniendo en cuenta el comportamiento 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crediticio de una muestra de desarrollo de 204,300 créditos hipotecarios. Se presenta la mora en percentiles  (P2,5%, P50% y P97,5%).  Para mayor </w:t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>información de la metodología de proyección ver Anexo 2 del Prospecto de la emisión.</w:t>
      </w:r>
    </w:p>
    <w:p>
      <w:pPr>
        <w:sectPr>
          <w:type w:val="nextColumn"/>
          <w:pgSz w:w="12240" w:h="15840"/>
          <w:pgMar w:top="400" w:right="418" w:bottom="304" w:left="472" w:header="720" w:footer="720" w:gutter="0"/>
          <w:cols w:num="2" w:equalWidth="0">
            <w:col w:w="5018" w:space="0"/>
            <w:col w:w="63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1892"/>
        <w:gridCol w:w="1892"/>
        <w:gridCol w:w="1892"/>
        <w:gridCol w:w="1892"/>
        <w:gridCol w:w="1892"/>
        <w:gridCol w:w="1892"/>
      </w:tblGrid>
      <w:tr>
        <w:trPr>
          <w:trHeight w:hRule="exact" w:val="23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25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0" w:after="0"/>
              <w:ind w:left="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Tasa Observada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0" w:after="0"/>
              <w:ind w:left="0" w:right="98" w:firstLine="0"/>
              <w:jc w:val="righ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Tasa Teórica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25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0" w:after="0"/>
              <w:ind w:left="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Tasa Esperada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2" w:after="0"/>
              <w:ind w:left="604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Escenarios: Muestra el porcentaje de amortización proyectado de cada título para diferentes escenarios de estrés de prepago y múltiplos de la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26"/>
        <w:ind w:left="5152" w:right="576" w:firstLine="0"/>
        <w:jc w:val="left"/>
      </w:pP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 xml:space="preserve">mora esperada. El monto residual una vez pagados los títulos es el valor presente descontado a la tir del pasivo correlativo. Para mayor información </w:t>
      </w:r>
      <w:r>
        <w:br/>
      </w:r>
      <w:r>
        <w:rPr>
          <w:w w:val="101.33333206176758"/>
          <w:rFonts w:ascii="Calibri" w:hAnsi="Calibri" w:eastAsia="Calibri"/>
          <w:b w:val="0"/>
          <w:i w:val="0"/>
          <w:color w:val="000000"/>
          <w:sz w:val="9"/>
        </w:rPr>
        <w:t>ver informe "Tablas de Amortización y Flujos Escenarios de Prepago y Mora" en www.titularizadora.com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2270"/>
        <w:gridCol w:w="2270"/>
        <w:gridCol w:w="2270"/>
        <w:gridCol w:w="2270"/>
        <w:gridCol w:w="2270"/>
      </w:tblGrid>
      <w:tr>
        <w:trPr>
          <w:trHeight w:hRule="exact" w:val="16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Tasa Implícita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Teórica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1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Esperada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1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Observada</w:t>
            </w:r>
          </w:p>
        </w:tc>
        <w:tc>
          <w:tcPr>
            <w:tcW w:type="dxa" w:w="6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" w:after="0"/>
              <w:ind w:left="424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</w:t>
            </w: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 xml:space="preserve">  Participación por Rango de Tasas: Muestra la composición de la cartera por los rangos de tasa, esto lo hace por monto y por cantidad. Por monto </w:t>
            </w:r>
          </w:p>
        </w:tc>
      </w:tr>
      <w:tr>
        <w:trPr>
          <w:trHeight w:hRule="exact" w:val="6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4"/>
              </w:rPr>
              <w:t>Última:</w:t>
            </w:r>
          </w:p>
        </w:tc>
        <w:tc>
          <w:tcPr>
            <w:tcW w:type="dxa" w:w="31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.999999999999943" w:type="dxa"/>
            </w:tblPr>
            <w:tblGrid>
              <w:gridCol w:w="1060"/>
              <w:gridCol w:w="1060"/>
              <w:gridCol w:w="1060"/>
            </w:tblGrid>
            <w:tr>
              <w:trPr>
                <w:trHeight w:hRule="exact" w:val="142"/>
              </w:trPr>
              <w:tc>
                <w:tcPr>
                  <w:tcW w:type="dxa" w:w="94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11.45%</w:t>
                  </w:r>
                </w:p>
              </w:tc>
              <w:tc>
                <w:tcPr>
                  <w:tcW w:type="dxa" w:w="9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E233D"/>
                      <w:sz w:val="14"/>
                    </w:rPr>
                    <w:t>9.17%</w:t>
                  </w:r>
                </w:p>
              </w:tc>
              <w:tc>
                <w:tcPr>
                  <w:tcW w:type="dxa" w:w="8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14"/>
                    </w:rPr>
                    <w:t>11.92%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70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70"/>
            <w:vMerge/>
            <w:tcBorders/>
          </w:tcPr>
          <w:p/>
        </w:tc>
        <w:tc>
          <w:tcPr>
            <w:tcW w:type="dxa" w:w="6810"/>
            <w:gridSpan w:val="3"/>
            <w:vMerge/>
            <w:tcBorders/>
          </w:tcPr>
          <w:p/>
        </w:tc>
        <w:tc>
          <w:tcPr>
            <w:tcW w:type="dxa" w:w="6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424" w:right="0" w:firstLine="0"/>
              <w:jc w:val="left"/>
            </w:pPr>
            <w:r>
              <w:rPr>
                <w:w w:val="101.33333206176758"/>
                <w:rFonts w:ascii="Calibri" w:hAnsi="Calibri" w:eastAsia="Calibri"/>
                <w:b w:val="0"/>
                <w:i w:val="0"/>
                <w:color w:val="000000"/>
                <w:sz w:val="9"/>
              </w:rPr>
              <w:t>es respecto al saldo total de los créditos hipotecarios y por cantidad es respecto al total de créditos.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6"/>
        <w:ind w:left="0" w:right="0"/>
      </w:pPr>
    </w:p>
    <w:p>
      <w:pPr>
        <w:sectPr>
          <w:type w:val="continuous"/>
          <w:pgSz w:w="12240" w:h="15840"/>
          <w:pgMar w:top="400" w:right="418" w:bottom="304" w:left="4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74"/>
        <w:ind w:left="276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16"/>
        </w:rPr>
        <w:t>Participación por Rango de Tasas_____________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5.99999999999994" w:type="dxa"/>
      </w:tblPr>
      <w:tblGrid>
        <w:gridCol w:w="11350"/>
      </w:tblGrid>
      <w:tr>
        <w:trPr>
          <w:trHeight w:hRule="exact" w:val="1780"/>
        </w:trPr>
        <w:tc>
          <w:tcPr>
            <w:tcW w:type="dxa" w:w="4728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.0" w:type="dxa"/>
            </w:tblPr>
            <w:tblGrid>
              <w:gridCol w:w="675"/>
              <w:gridCol w:w="675"/>
              <w:gridCol w:w="675"/>
              <w:gridCol w:w="675"/>
              <w:gridCol w:w="675"/>
              <w:gridCol w:w="675"/>
              <w:gridCol w:w="675"/>
            </w:tblGrid>
            <w:tr>
              <w:trPr>
                <w:trHeight w:hRule="exact" w:val="1012"/>
              </w:trPr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8" w:lineRule="exact" w:before="0" w:after="0"/>
                    <w:ind w:left="180" w:right="28" w:firstLine="0"/>
                    <w:jc w:val="both"/>
                  </w:pPr>
                  <w:r>
                    <w:rPr>
                      <w:w w:val="106.2000036239624"/>
                      <w:rFonts w:ascii="ArialMT" w:hAnsi="ArialMT" w:eastAsia="ArialMT"/>
                      <w:b w:val="0"/>
                      <w:i w:val="0"/>
                      <w:color w:val="000000"/>
                      <w:sz w:val="8"/>
                    </w:rPr>
                    <w:t xml:space="preserve">60% </w:t>
                  </w:r>
                  <w:r>
                    <w:br/>
                  </w:r>
                  <w:r>
                    <w:rPr>
                      <w:w w:val="106.2000036239624"/>
                      <w:rFonts w:ascii="ArialMT" w:hAnsi="ArialMT" w:eastAsia="ArialMT"/>
                      <w:b w:val="0"/>
                      <w:i w:val="0"/>
                      <w:color w:val="000000"/>
                      <w:sz w:val="8"/>
                    </w:rPr>
                    <w:t xml:space="preserve">50% </w:t>
                  </w:r>
                  <w:r>
                    <w:br/>
                  </w:r>
                  <w:r>
                    <w:rPr>
                      <w:w w:val="94.93332968817818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40% </w:t>
                  </w:r>
                  <w:r>
                    <w:br/>
                  </w:r>
                  <w:r>
                    <w:rPr>
                      <w:w w:val="106.2000036239624"/>
                      <w:rFonts w:ascii="ArialMT" w:hAnsi="ArialMT" w:eastAsia="ArialMT"/>
                      <w:b w:val="0"/>
                      <w:i w:val="0"/>
                      <w:color w:val="000000"/>
                      <w:sz w:val="8"/>
                    </w:rPr>
                    <w:t xml:space="preserve">30% </w:t>
                  </w:r>
                  <w:r>
                    <w:br/>
                  </w:r>
                  <w:r>
                    <w:rPr>
                      <w:w w:val="106.2000036239624"/>
                      <w:rFonts w:ascii="ArialMT" w:hAnsi="ArialMT" w:eastAsia="ArialMT"/>
                      <w:b w:val="0"/>
                      <w:i w:val="0"/>
                      <w:color w:val="000000"/>
                      <w:sz w:val="8"/>
                    </w:rPr>
                    <w:t xml:space="preserve">20% </w:t>
                  </w:r>
                  <w:r>
                    <w:br/>
                  </w:r>
                  <w:r>
                    <w:rPr>
                      <w:w w:val="94.93332968817818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10%</w:t>
                  </w:r>
                </w:p>
              </w:tc>
              <w:tc>
                <w:tcPr>
                  <w:tcW w:type="dxa" w:w="4120"/>
                  <w:gridSpan w:val="6"/>
                  <w:vMerge w:val="restart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4.00000000000006" w:type="dxa"/>
                  </w:tblPr>
                  <w:tblGrid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  <w:gridCol w:w="217"/>
                  </w:tblGrid>
                  <w:tr>
                    <w:trPr>
                      <w:trHeight w:hRule="exact" w:val="179"/>
                    </w:trPr>
                    <w:tc>
                      <w:tcPr>
                        <w:tcW w:type="dxa" w:w="4046"/>
                        <w:gridSpan w:val="19"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92"/>
                    </w:trPr>
                    <w:tc>
                      <w:tcPr>
                        <w:tcW w:type="dxa" w:w="546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  <w:bottom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996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88"/>
                    </w:trPr>
                    <w:tc>
                      <w:tcPr>
                        <w:tcW w:type="dxa" w:w="546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8.0" w:val="single" w:color="#000000"/>
                          <w:bottom w:sz="1.1200000047683716" w:val="single" w:color="#CBCBCB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996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04"/>
                    </w:trPr>
                    <w:tc>
                      <w:tcPr>
                        <w:tcW w:type="dxa" w:w="1574"/>
                        <w:gridSpan w:val="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start w:sz="8.0" w:val="single" w:color="#000000"/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  <w:bottom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996"/>
                        <w:tcBorders>
                          <w:top w:sz="1.1200000047683716" w:val="single" w:color="#CBCBCB"/>
                          <w:end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76"/>
                    </w:trPr>
                    <w:tc>
                      <w:tcPr>
                        <w:tcW w:type="dxa" w:w="1736"/>
                        <w:gridSpan w:val="8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8.0" w:val="single" w:color="#000000"/>
                          <w:bottom w:sz="1.1200000047683716" w:val="single" w:color="#CBCBCB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996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94"/>
                    </w:trPr>
                    <w:tc>
                      <w:tcPr>
                        <w:tcW w:type="dxa" w:w="546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  <w:bottom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024"/>
                        <w:gridSpan w:val="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95"/>
                    </w:trPr>
                    <w:tc>
                      <w:tcPr>
                        <w:tcW w:type="dxa" w:w="546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8.0" w:val="single" w:color="#000000"/>
                          <w:bottom w:sz="1.1200000047683716" w:val="single" w:color="#CBCBCB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1736"/>
                        <w:gridSpan w:val="8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</w:tcBorders>
                      </w:tcPr>
                      <w:p/>
                    </w:tc>
                  </w:tr>
                  <w:tr>
                    <w:trPr>
                      <w:trHeight w:hRule="exact" w:val="66"/>
                    </w:trPr>
                    <w:tc>
                      <w:tcPr>
                        <w:tcW w:type="dxa" w:w="546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  <w:bottom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  <w:bottom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996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21"/>
                    </w:trPr>
                    <w:tc>
                      <w:tcPr>
                        <w:tcW w:type="dxa" w:w="546"/>
                        <w:tcBorders>
                          <w:start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start w:sz="8.0" w:val="single" w:color="#000000"/>
                          <w:top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</w:tcPr>
                      <w:p/>
                    </w:tc>
                    <w:tc>
                      <w:tcPr>
                        <w:tcW w:type="dxa" w:w="194"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start w:sz="8.0" w:val="single" w:color="#000000"/>
                          <w:top w:sz="8.0" w:val="single" w:color="#000000"/>
                          <w:end w:sz="8.0" w:val="single" w:color="#000000"/>
                          <w:bottom w:sz="1.1200000047683716" w:val="single" w:color="#CBCBCB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start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996"/>
                        <w:tcBorders>
                          <w:end w:sz="8.0" w:val="single" w:color="#000000"/>
                          <w:bottom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48"/>
                    </w:trPr>
                    <w:tc>
                      <w:tcPr>
                        <w:tcW w:type="dxa" w:w="546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1.1200000047683716" w:val="single" w:color="#CBCBCB"/>
                          <w:bottom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1.1200000047683716" w:val="single" w:color="#CBCBCB"/>
                          <w:bottom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top w:sz="1.1200000047683716" w:val="single" w:color="#CBCBCB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shd w:fill="919191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4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  <w:shd w:fill="041e42"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vMerge w:val="restart"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46"/>
                        <w:gridSpan w:val="4"/>
                        <w:vMerge w:val="restart"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56"/>
                    </w:trPr>
                    <w:tc>
                      <w:tcPr>
                        <w:tcW w:type="dxa" w:w="546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8.0" w:val="single" w:color="#000000"/>
                          <w:bottom w:sz="46.399999999999636" w:val="single" w:color="#041E42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8.0" w:val="single" w:color="#000000"/>
                          <w:bottom w:sz="43.19999999999982" w:val="single" w:color="#919191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868"/>
                        <w:gridSpan w:val="4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</w:tcBorders>
                      </w:tcPr>
                      <w:p/>
                    </w:tc>
                  </w:tr>
                  <w:tr>
                    <w:trPr>
                      <w:trHeight w:hRule="exact" w:val="50"/>
                    </w:trPr>
                    <w:tc>
                      <w:tcPr>
                        <w:tcW w:type="dxa" w:w="546"/>
                        <w:tcBorders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8"/>
                        <w:tcBorders>
                          <w:top w:sz="46.399999999999636" w:val="single" w:color="#041E42"/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30"/>
                        <w:tcBorders>
                          <w:top w:sz="43.19999999999982" w:val="single" w:color="#919191"/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92"/>
                        <w:tcBorders>
                          <w:bottom w:sz="1.1200000047683716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217"/>
                        <w:vMerge/>
                        <w:tcBorders>
                          <w:start w:sz="8.0" w:val="single" w:color="#000000"/>
                          <w:end w:sz="8.0" w:val="single" w:color="#000000"/>
                          <w:bottom w:sz="1.1200000047683716" w:val="single" w:color="#000000"/>
                        </w:tcBorders>
                      </w:tcPr>
                      <w:p/>
                    </w:tc>
                    <w:tc>
                      <w:tcPr>
                        <w:tcW w:type="dxa" w:w="868"/>
                        <w:gridSpan w:val="4"/>
                        <w:vMerge/>
                        <w:tcBorders>
                          <w:start w:sz="8.0" w:val="single" w:color="#000000"/>
                          <w:top w:sz="1.1200000047683716" w:val="single" w:color="#CBCBCB"/>
                          <w:end w:sz="8.0" w:val="single" w:color="#000000"/>
                        </w:tcBorders>
                      </w:tcPr>
                      <w:p/>
                    </w:tc>
                  </w:tr>
                  <w:tr>
                    <w:trPr>
                      <w:trHeight w:hRule="exact"/>
                    </w:trPr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  <w:tc>
                      <w:tcPr>
                        <w:tcW w:type="dxa" w:w="217"/>
                      </w:tcPr>
                      <w:p/>
                    </w:tc>
                  </w:tr>
                </w:tbl>
                <w:p/>
              </w:tc>
            </w:tr>
            <w:tr>
              <w:tc>
                <w:tcPr>
                  <w:tcW w:type="dxa" w:w="675"/>
                </w:tcPr>
                <w:p/>
              </w:tc>
              <w:tc>
                <w:tcPr>
                  <w:tcW w:type="dxa" w:w="4050"/>
                  <w:gridSpan w:val="6"/>
                  <w:vMerge/>
                  <w:tcBorders/>
                </w:tcPr>
                <w:p/>
              </w:tc>
            </w:tr>
            <w:tr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</w:tr>
            <w:tr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  <w:tc>
                <w:tcPr>
                  <w:tcW w:type="dxa" w:w="675"/>
                </w:tcPr>
                <w:p/>
              </w:tc>
            </w:tr>
          </w:tbl>
          <w:p/>
        </w:tc>
      </w:tr>
    </w:tbl>
    <w:sectPr w:rsidR="00FC693F" w:rsidRPr="0006063C" w:rsidSect="00034616">
      <w:type w:val="continuous"/>
      <w:pgSz w:w="12240" w:h="15840"/>
      <w:pgMar w:top="400" w:right="418" w:bottom="304" w:left="472" w:header="720" w:footer="720" w:gutter="0"/>
      <w:cols w:num="2" w:equalWidth="0">
        <w:col w:w="5058" w:space="0"/>
        <w:col w:w="62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