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rPr>
          <w:trHeight w:hRule="exact" w:val="634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23619" cy="9182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19" cy="918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6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4" w:after="0"/>
              <w:ind w:left="38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FFFFFF"/>
                <w:sz w:val="13"/>
              </w:rPr>
              <w:t>n5</w:t>
            </w:r>
          </w:p>
        </w:tc>
        <w:tc>
          <w:tcPr>
            <w:tcW w:type="dxa" w:w="20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6" w:after="0"/>
              <w:ind w:left="48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11860" cy="58039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60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7" w:lineRule="auto" w:before="470" w:after="0"/>
              <w:ind w:left="0" w:right="143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-</w:t>
            </w:r>
          </w:p>
          <w:p>
            <w:pPr>
              <w:autoSpaceDN w:val="0"/>
              <w:autoSpaceDE w:val="0"/>
              <w:widowControl/>
              <w:spacing w:line="194" w:lineRule="auto" w:before="130" w:after="0"/>
              <w:ind w:left="2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3366"/>
                <w:sz w:val="14"/>
                <w:u w:val="single"/>
              </w:rPr>
              <w:t>Cobeturas Externas</w:t>
            </w:r>
          </w:p>
        </w:tc>
      </w:tr>
      <w:tr>
        <w:trPr>
          <w:trHeight w:hRule="exact" w:val="280"/>
        </w:trPr>
        <w:tc>
          <w:tcPr>
            <w:tcW w:type="dxa" w:w="681"/>
            <w:vMerge/>
            <w:tcBorders/>
          </w:tcPr>
          <w:p/>
        </w:tc>
        <w:tc>
          <w:tcPr>
            <w:tcW w:type="dxa" w:w="18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3"/>
              </w:rPr>
              <w:t>Informe de Riesgo</w:t>
            </w:r>
          </w:p>
        </w:tc>
        <w:tc>
          <w:tcPr>
            <w:tcW w:type="dxa" w:w="560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0" w:right="64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41E42"/>
                <w:sz w:val="14"/>
              </w:rPr>
              <w:t>marzo de 2024</w:t>
            </w:r>
          </w:p>
        </w:tc>
        <w:tc>
          <w:tcPr>
            <w:tcW w:type="dxa" w:w="1362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81"/>
            <w:vMerge/>
            <w:tcBorders/>
          </w:tcPr>
          <w:p/>
        </w:tc>
        <w:tc>
          <w:tcPr>
            <w:tcW w:type="dxa" w:w="7460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E2C3E"/>
                <w:sz w:val="15"/>
                <w:u w:val="single"/>
              </w:rPr>
              <w:t>TIPS PESOS N5</w:t>
            </w:r>
            <w:r>
              <w:rPr>
                <w:rFonts w:ascii="Calibri" w:hAnsi="Calibri" w:eastAsia="Calibri"/>
                <w:b w:val="0"/>
                <w:i w:val="0"/>
                <w:color w:val="993366"/>
                <w:sz w:val="14"/>
                <w:u w:val="single"/>
              </w:rPr>
              <w:t>____________________________________________________________</w:t>
            </w:r>
          </w:p>
        </w:tc>
        <w:tc>
          <w:tcPr>
            <w:tcW w:type="dxa" w:w="1362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681"/>
            <w:vMerge/>
            <w:tcBorders/>
          </w:tcPr>
          <w:p/>
        </w:tc>
        <w:tc>
          <w:tcPr>
            <w:tcW w:type="dxa" w:w="18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5"/>
              </w:rPr>
              <w:t>$millones de pesos</w:t>
            </w:r>
          </w:p>
        </w:tc>
        <w:tc>
          <w:tcPr>
            <w:tcW w:type="dxa" w:w="560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5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Edad de la emisión: 142 meses</w:t>
            </w:r>
          </w:p>
        </w:tc>
        <w:tc>
          <w:tcPr>
            <w:tcW w:type="dxa" w:w="1362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681"/>
            <w:vMerge/>
            <w:tcBorders/>
          </w:tcPr>
          <w:p/>
        </w:tc>
        <w:tc>
          <w:tcPr>
            <w:tcW w:type="dxa" w:w="628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Saldo de capital cartera: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72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$19,878 millones </w:t>
            </w:r>
          </w:p>
        </w:tc>
        <w:tc>
          <w:tcPr>
            <w:tcW w:type="dxa" w:w="1362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080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Mora &gt;120 días: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72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$3,604 millones </w:t>
            </w:r>
          </w:p>
        </w:tc>
        <w:tc>
          <w:tcPr>
            <w:tcW w:type="dxa" w:w="1362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926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6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 xml:space="preserve">Saldos y cobertura _______________________________________________________________ </w:t>
            </w: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$ </w:t>
            </w:r>
          </w:p>
        </w:tc>
        <w:tc>
          <w:tcPr>
            <w:tcW w:type="dxa" w:w="1362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TIPS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Tasa</w:t>
            </w:r>
          </w:p>
        </w:tc>
        <w:tc>
          <w:tcPr>
            <w:tcW w:type="dxa" w:w="1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8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Saldo Inicial</w:t>
            </w:r>
          </w:p>
        </w:tc>
        <w:tc>
          <w:tcPr>
            <w:tcW w:type="dxa" w:w="87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2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Actual</w:t>
            </w:r>
          </w:p>
        </w:tc>
        <w:tc>
          <w:tcPr>
            <w:tcW w:type="dxa" w:w="11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Participación</w:t>
            </w:r>
          </w:p>
        </w:tc>
        <w:tc>
          <w:tcPr>
            <w:tcW w:type="dxa" w:w="12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Amortización</w:t>
            </w:r>
          </w:p>
        </w:tc>
        <w:tc>
          <w:tcPr>
            <w:tcW w:type="dxa" w:w="228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Cobertura Vigente*</w:t>
            </w:r>
          </w:p>
        </w:tc>
        <w:tc>
          <w:tcPr>
            <w:tcW w:type="dxa" w:w="1362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A-2022: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6.91%</w:t>
            </w:r>
          </w:p>
        </w:tc>
        <w:tc>
          <w:tcPr>
            <w:tcW w:type="dxa" w:w="1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$339,053</w:t>
            </w:r>
          </w:p>
        </w:tc>
        <w:tc>
          <w:tcPr>
            <w:tcW w:type="dxa" w:w="4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$ </w:t>
            </w:r>
          </w:p>
        </w:tc>
        <w:tc>
          <w:tcPr>
            <w:tcW w:type="dxa" w:w="5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9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227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100.00%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1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TC</w:t>
            </w:r>
          </w:p>
        </w:tc>
        <w:tc>
          <w:tcPr>
            <w:tcW w:type="dxa" w:w="9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</w:tr>
      <w:tr>
        <w:trPr>
          <w:trHeight w:hRule="exact" w:val="180"/>
        </w:trPr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B-2027:</w:t>
            </w:r>
          </w:p>
        </w:tc>
        <w:tc>
          <w:tcPr>
            <w:tcW w:type="dxa" w:w="9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11.80%</w:t>
            </w:r>
          </w:p>
        </w:tc>
        <w:tc>
          <w:tcPr>
            <w:tcW w:type="dxa" w:w="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$48,436</w:t>
            </w:r>
          </w:p>
        </w:tc>
        <w:tc>
          <w:tcPr>
            <w:tcW w:type="dxa" w:w="4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$ </w:t>
            </w:r>
          </w:p>
        </w:tc>
        <w:tc>
          <w:tcPr>
            <w:tcW w:type="dxa" w:w="5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9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5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100.00%</w:t>
            </w:r>
          </w:p>
        </w:tc>
        <w:tc>
          <w:tcPr>
            <w:tcW w:type="dxa" w:w="9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 + B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681"/>
            <w:vMerge/>
            <w:tcBorders/>
          </w:tcPr>
          <w:p/>
        </w:tc>
        <w:tc>
          <w:tcPr>
            <w:tcW w:type="dxa" w:w="68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MZ-2027:</w:t>
            </w:r>
          </w:p>
        </w:tc>
        <w:tc>
          <w:tcPr>
            <w:tcW w:type="dxa" w:w="9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11.00%</w:t>
            </w:r>
          </w:p>
        </w:tc>
        <w:tc>
          <w:tcPr>
            <w:tcW w:type="dxa" w:w="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$9,712</w:t>
            </w:r>
          </w:p>
        </w:tc>
        <w:tc>
          <w:tcPr>
            <w:tcW w:type="dxa" w:w="99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$2,335</w:t>
            </w:r>
          </w:p>
        </w:tc>
        <w:tc>
          <w:tcPr>
            <w:tcW w:type="dxa" w:w="10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3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54.7%</w:t>
            </w:r>
          </w:p>
        </w:tc>
        <w:tc>
          <w:tcPr>
            <w:tcW w:type="dxa" w:w="12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5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75.95%</w:t>
            </w:r>
          </w:p>
        </w:tc>
        <w:tc>
          <w:tcPr>
            <w:tcW w:type="dxa" w:w="110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 + B + MZ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696.84%</w:t>
            </w:r>
          </w:p>
        </w:tc>
        <w:tc>
          <w:tcPr>
            <w:tcW w:type="dxa" w:w="681"/>
            <w:vMerge/>
            <w:tcBorders/>
          </w:tcPr>
          <w:p/>
        </w:tc>
        <w:tc>
          <w:tcPr>
            <w:tcW w:type="dxa" w:w="681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C-2027:</w:t>
            </w:r>
          </w:p>
        </w:tc>
        <w:tc>
          <w:tcPr>
            <w:tcW w:type="dxa" w:w="9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11.00%</w:t>
            </w:r>
          </w:p>
        </w:tc>
        <w:tc>
          <w:tcPr>
            <w:tcW w:type="dxa" w:w="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$1,937</w:t>
            </w:r>
          </w:p>
        </w:tc>
        <w:tc>
          <w:tcPr>
            <w:tcW w:type="dxa" w:w="99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$1,937</w:t>
            </w:r>
          </w:p>
        </w:tc>
        <w:tc>
          <w:tcPr>
            <w:tcW w:type="dxa" w:w="10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3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45.3%</w:t>
            </w:r>
          </w:p>
        </w:tc>
        <w:tc>
          <w:tcPr>
            <w:tcW w:type="dxa" w:w="1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0.00%</w:t>
            </w:r>
          </w:p>
        </w:tc>
        <w:tc>
          <w:tcPr>
            <w:tcW w:type="dxa" w:w="122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 + B + MZ + C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2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380.87%</w:t>
            </w:r>
          </w:p>
        </w:tc>
        <w:tc>
          <w:tcPr>
            <w:tcW w:type="dxa" w:w="681"/>
            <w:vMerge/>
            <w:tcBorders/>
          </w:tcPr>
          <w:p/>
        </w:tc>
        <w:tc>
          <w:tcPr>
            <w:tcW w:type="dxa" w:w="68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4" w:lineRule="auto" w:before="24" w:after="38"/>
        <w:ind w:left="346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20"/>
        </w:rPr>
        <w:t>Prepago____________________________________________________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7.99999999999997" w:type="dxa"/>
      </w:tblPr>
      <w:tblGrid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</w:tblGrid>
      <w:tr>
        <w:trPr>
          <w:trHeight w:hRule="exact" w:val="292"/>
        </w:trPr>
        <w:tc>
          <w:tcPr>
            <w:tcW w:type="dxa" w:w="167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106" w:firstLine="0"/>
              <w:jc w:val="right"/>
            </w:pPr>
            <w:r>
              <w:rPr>
                <w:w w:val="97.8461559002216"/>
                <w:rFonts w:ascii="Calibri" w:hAnsi="Calibri" w:eastAsia="Calibri"/>
                <w:b/>
                <w:i w:val="0"/>
                <w:color w:val="041E42"/>
                <w:sz w:val="13"/>
              </w:rPr>
              <w:t xml:space="preserve">Observado </w:t>
            </w:r>
          </w:p>
        </w:tc>
        <w:tc>
          <w:tcPr>
            <w:tcW w:type="dxa" w:w="978"/>
            <w:gridSpan w:val="2"/>
            <w:vMerge w:val="restart"/>
            <w:tcBorders>
              <w:end w:sz="7.559999942779541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258" w:firstLine="0"/>
              <w:jc w:val="right"/>
            </w:pPr>
            <w:r>
              <w:rPr>
                <w:w w:val="97.8461559002216"/>
                <w:rFonts w:ascii="Calibri" w:hAnsi="Calibri" w:eastAsia="Calibri"/>
                <w:b/>
                <w:i w:val="0"/>
                <w:color w:val="041E42"/>
                <w:sz w:val="13"/>
              </w:rPr>
              <w:t xml:space="preserve">Media </w:t>
            </w:r>
          </w:p>
        </w:tc>
        <w:tc>
          <w:tcPr>
            <w:tcW w:type="dxa" w:w="966"/>
            <w:gridSpan w:val="2"/>
            <w:vMerge w:val="restart"/>
            <w:tcBorders>
              <w:start w:sz="7.559999942779541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/>
                <w:i w:val="0"/>
                <w:color w:val="041E42"/>
                <w:sz w:val="13"/>
              </w:rPr>
              <w:t>Prepago pp</w:t>
            </w:r>
          </w:p>
        </w:tc>
        <w:tc>
          <w:tcPr>
            <w:tcW w:type="dxa" w:w="15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0" w:after="0"/>
              <w:ind w:left="162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/>
                <w:i w:val="0"/>
                <w:color w:val="041E42"/>
                <w:sz w:val="13"/>
              </w:rPr>
              <w:t xml:space="preserve">Escenario </w:t>
            </w:r>
          </w:p>
        </w:tc>
        <w:tc>
          <w:tcPr>
            <w:tcW w:type="dxa" w:w="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2" w:after="0"/>
              <w:ind w:left="0" w:right="0" w:firstLine="0"/>
              <w:jc w:val="center"/>
            </w:pPr>
            <w:r>
              <w:rPr>
                <w:w w:val="101.7599964141845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50.0% </w:t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45.0% </w:t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40.0% </w:t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35.0% </w:t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30.0% </w:t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25.0% </w:t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20.0% </w:t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15.0% </w:t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10.0% </w:t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5.0% </w:t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0.0%</w:t>
            </w:r>
          </w:p>
        </w:tc>
        <w:tc>
          <w:tcPr>
            <w:tcW w:type="dxa" w:w="5820"/>
            <w:gridSpan w:val="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0" w:after="0"/>
              <w:ind w:left="0" w:right="203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3366"/>
                <w:sz w:val="15"/>
              </w:rPr>
              <w:t>Evolución del prepago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365500" cy="1155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0" cy="1155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0"/>
        </w:trPr>
        <w:tc>
          <w:tcPr>
            <w:tcW w:type="dxa" w:w="1737"/>
            <w:gridSpan w:val="3"/>
            <w:vMerge/>
            <w:tcBorders/>
          </w:tcPr>
          <w:p/>
        </w:tc>
        <w:tc>
          <w:tcPr>
            <w:tcW w:type="dxa" w:w="1158"/>
            <w:gridSpan w:val="2"/>
            <w:vMerge/>
            <w:tcBorders>
              <w:end w:sz="7.559999942779541" w:val="single" w:color="#00FF00"/>
            </w:tcBorders>
          </w:tcPr>
          <w:p/>
        </w:tc>
        <w:tc>
          <w:tcPr>
            <w:tcW w:type="dxa" w:w="1158"/>
            <w:gridSpan w:val="2"/>
            <w:vMerge/>
            <w:tcBorders>
              <w:start w:sz="7.559999942779541" w:val="single" w:color="#00FF00"/>
            </w:tcBorders>
          </w:tcPr>
          <w:p/>
        </w:tc>
        <w:tc>
          <w:tcPr>
            <w:tcW w:type="dxa" w:w="157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38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/>
                <w:i w:val="0"/>
                <w:color w:val="041E42"/>
                <w:sz w:val="13"/>
              </w:rPr>
              <w:t xml:space="preserve">valoración 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0"/>
            <w:gridSpan w:val="10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67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264" w:firstLine="0"/>
              <w:jc w:val="right"/>
            </w:pPr>
            <w:r>
              <w:rPr>
                <w:w w:val="97.8461559002216"/>
                <w:rFonts w:ascii="Calibri" w:hAnsi="Calibri" w:eastAsia="Calibri"/>
                <w:b/>
                <w:i w:val="0"/>
                <w:color w:val="041E42"/>
                <w:sz w:val="13"/>
              </w:rPr>
              <w:t>enero</w:t>
            </w:r>
          </w:p>
        </w:tc>
        <w:tc>
          <w:tcPr>
            <w:tcW w:type="dxa" w:w="978"/>
            <w:gridSpan w:val="2"/>
            <w:vMerge w:val="restart"/>
            <w:tcBorders>
              <w:end w:sz="7.559999942779541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/>
                <w:i w:val="0"/>
                <w:color w:val="041E42"/>
                <w:sz w:val="13"/>
              </w:rPr>
              <w:t>móvil 12 meses</w:t>
            </w:r>
          </w:p>
        </w:tc>
        <w:tc>
          <w:tcPr>
            <w:tcW w:type="dxa" w:w="966"/>
            <w:gridSpan w:val="2"/>
            <w:vMerge w:val="restart"/>
            <w:tcBorders>
              <w:start w:sz="7.559999942779541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/>
                <w:i w:val="0"/>
                <w:color w:val="041E42"/>
                <w:sz w:val="13"/>
              </w:rPr>
              <w:t>de la emisión</w:t>
            </w:r>
          </w:p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0"/>
            <w:gridSpan w:val="1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737"/>
            <w:gridSpan w:val="3"/>
            <w:vMerge/>
            <w:tcBorders/>
          </w:tcPr>
          <w:p/>
        </w:tc>
        <w:tc>
          <w:tcPr>
            <w:tcW w:type="dxa" w:w="1158"/>
            <w:gridSpan w:val="2"/>
            <w:vMerge/>
            <w:tcBorders>
              <w:end w:sz="7.559999942779541" w:val="single" w:color="#00FF00"/>
            </w:tcBorders>
          </w:tcPr>
          <w:p/>
        </w:tc>
        <w:tc>
          <w:tcPr>
            <w:tcW w:type="dxa" w:w="1158"/>
            <w:gridSpan w:val="2"/>
            <w:vMerge/>
            <w:tcBorders>
              <w:start w:sz="7.559999942779541" w:val="single" w:color="#00FF00"/>
            </w:tcBorders>
          </w:tcPr>
          <w:p/>
        </w:tc>
        <w:tc>
          <w:tcPr>
            <w:tcW w:type="dxa" w:w="15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248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/>
                <w:i w:val="0"/>
                <w:color w:val="041E42"/>
                <w:sz w:val="13"/>
              </w:rPr>
              <w:t>marzo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0"/>
            <w:gridSpan w:val="1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0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576" w:firstLine="0"/>
              <w:jc w:val="right"/>
            </w:pPr>
            <w:r>
              <w:rPr>
                <w:w w:val="97.8461559002216"/>
                <w:rFonts w:ascii="Calibri" w:hAnsi="Calibri" w:eastAsia="Calibri"/>
                <w:b/>
                <w:i w:val="0"/>
                <w:color w:val="041E42"/>
                <w:sz w:val="13"/>
              </w:rPr>
              <w:t>5.98%</w:t>
            </w:r>
          </w:p>
        </w:tc>
        <w:tc>
          <w:tcPr>
            <w:tcW w:type="dxa" w:w="656"/>
            <w:tcBorders>
              <w:end w:sz="7.559999942779541" w:val="single" w:color="#00FF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8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/>
                <w:i w:val="0"/>
                <w:color w:val="041E42"/>
                <w:sz w:val="13"/>
              </w:rPr>
              <w:t>6.57%</w:t>
            </w:r>
          </w:p>
        </w:tc>
        <w:tc>
          <w:tcPr>
            <w:tcW w:type="dxa" w:w="704"/>
            <w:tcBorders>
              <w:start w:sz="7.559999942779541" w:val="single" w:color="#00FF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8" w:firstLine="0"/>
              <w:jc w:val="right"/>
            </w:pPr>
            <w:r>
              <w:rPr>
                <w:w w:val="97.8461559002216"/>
                <w:rFonts w:ascii="Calibri" w:hAnsi="Calibri" w:eastAsia="Calibri"/>
                <w:b/>
                <w:i w:val="0"/>
                <w:color w:val="041E42"/>
                <w:sz w:val="13"/>
              </w:rPr>
              <w:t>18.04%</w:t>
            </w:r>
          </w:p>
        </w:tc>
        <w:tc>
          <w:tcPr>
            <w:tcW w:type="dxa" w:w="1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996" w:firstLine="0"/>
              <w:jc w:val="right"/>
            </w:pPr>
            <w:r>
              <w:rPr>
                <w:w w:val="97.8461559002216"/>
                <w:rFonts w:ascii="Calibri" w:hAnsi="Calibri" w:eastAsia="Calibri"/>
                <w:b/>
                <w:i w:val="0"/>
                <w:color w:val="041E42"/>
                <w:sz w:val="13"/>
              </w:rPr>
              <w:t>6.57%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0"/>
            <w:gridSpan w:val="10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520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86" w:after="0"/>
              <w:ind w:left="1872" w:right="1728" w:firstLine="0"/>
              <w:jc w:val="center"/>
            </w:pPr>
            <w:r>
              <w:rPr>
                <w:w w:val="96.36922983022836"/>
                <w:rFonts w:ascii="Arial" w:hAnsi="Arial" w:eastAsia="Arial"/>
                <w:b/>
                <w:i w:val="0"/>
                <w:color w:val="003366"/>
                <w:sz w:val="13"/>
              </w:rPr>
              <w:t xml:space="preserve">Amortización de capital </w:t>
            </w:r>
            <w:r>
              <w:br/>
            </w:r>
            <w:r>
              <w:rPr>
                <w:w w:val="96.73846318171574"/>
                <w:rFonts w:ascii="Arial" w:hAnsi="Arial" w:eastAsia="Arial"/>
                <w:b/>
                <w:i w:val="0"/>
                <w:color w:val="003366"/>
                <w:sz w:val="13"/>
              </w:rPr>
              <w:t>acumulado de la cartera</w:t>
            </w:r>
          </w:p>
          <w:p>
            <w:pPr>
              <w:autoSpaceDN w:val="0"/>
              <w:autoSpaceDE w:val="0"/>
              <w:widowControl/>
              <w:spacing w:line="144" w:lineRule="exact" w:before="82" w:after="0"/>
              <w:ind w:left="812" w:right="4186" w:firstLine="0"/>
              <w:jc w:val="both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90% </w:t>
            </w:r>
            <w:r>
              <w:br/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75% </w:t>
            </w:r>
            <w:r>
              <w:br/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60%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0"/>
            <w:gridSpan w:val="10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128"/>
            <w:tcBorders>
              <w:end w:sz="7.559999942779541" w:val="single" w:color="#041E4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104" w:firstLine="0"/>
              <w:jc w:val="righ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45%</w:t>
            </w:r>
          </w:p>
        </w:tc>
        <w:tc>
          <w:tcPr>
            <w:tcW w:type="dxa" w:w="872"/>
            <w:gridSpan w:val="3"/>
            <w:vMerge w:val="restart"/>
            <w:tcBorders>
              <w:start w:sz="7.559999942779541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2" w:after="0"/>
              <w:ind w:left="0" w:right="206" w:firstLine="0"/>
              <w:jc w:val="right"/>
            </w:pPr>
            <w:r>
              <w:rPr>
                <w:w w:val="101.28000259399414"/>
                <w:rFonts w:ascii="Arial" w:hAnsi="Arial" w:eastAsia="Arial"/>
                <w:b/>
                <w:i w:val="0"/>
                <w:color w:val="FFFFFF"/>
                <w:sz w:val="10"/>
              </w:rPr>
              <w:t>71.67%</w:t>
            </w:r>
          </w:p>
        </w:tc>
        <w:tc>
          <w:tcPr>
            <w:tcW w:type="dxa" w:w="13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76" w:after="0"/>
              <w:ind w:left="0" w:right="0" w:firstLine="0"/>
              <w:jc w:val="center"/>
            </w:pPr>
            <w:r>
              <w:rPr>
                <w:w w:val="101.28000259399414"/>
                <w:rFonts w:ascii="Arial" w:hAnsi="Arial" w:eastAsia="Arial"/>
                <w:b/>
                <w:i w:val="0"/>
                <w:color w:val="FFFFFF"/>
                <w:sz w:val="10"/>
              </w:rPr>
              <w:t>76.97%</w:t>
            </w:r>
          </w:p>
        </w:tc>
        <w:tc>
          <w:tcPr>
            <w:tcW w:type="dxa" w:w="18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30" w:after="0"/>
              <w:ind w:left="172" w:right="0" w:firstLine="0"/>
              <w:jc w:val="left"/>
            </w:pPr>
            <w:r>
              <w:rPr>
                <w:w w:val="101.28000259399414"/>
                <w:rFonts w:ascii="Arial" w:hAnsi="Arial" w:eastAsia="Arial"/>
                <w:b/>
                <w:i w:val="0"/>
                <w:color w:val="FFFFFF"/>
                <w:sz w:val="10"/>
              </w:rPr>
              <w:t>86.62%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0"/>
            <w:gridSpan w:val="10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128"/>
            <w:vMerge w:val="restart"/>
            <w:tcBorders>
              <w:end w:sz="7.559999942779541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" w:after="0"/>
              <w:ind w:left="0" w:right="104" w:firstLine="0"/>
              <w:jc w:val="righ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30%</w:t>
            </w:r>
          </w:p>
        </w:tc>
        <w:tc>
          <w:tcPr>
            <w:tcW w:type="dxa" w:w="1737"/>
            <w:gridSpan w:val="3"/>
            <w:vMerge/>
            <w:tcBorders>
              <w:start w:sz="7.559999942779541" w:val="single" w:color="#041E42"/>
            </w:tcBorders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1737"/>
            <w:gridSpan w:val="3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0"/>
            <w:gridSpan w:val="10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579"/>
            <w:vMerge/>
            <w:tcBorders>
              <w:end w:sz="7.559999942779541" w:val="single" w:color="#041E42"/>
            </w:tcBorders>
          </w:tcPr>
          <w:p/>
        </w:tc>
        <w:tc>
          <w:tcPr>
            <w:tcW w:type="dxa" w:w="1737"/>
            <w:gridSpan w:val="3"/>
            <w:vMerge/>
            <w:tcBorders>
              <w:start w:sz="7.559999942779541" w:val="single" w:color="#041E42"/>
            </w:tcBorders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1737"/>
            <w:gridSpan w:val="3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896"/>
            <w:gridSpan w:val="3"/>
            <w:vMerge w:val="restart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24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dic19</w:t>
            </w:r>
          </w:p>
        </w:tc>
        <w:tc>
          <w:tcPr>
            <w:tcW w:type="dxa" w:w="844"/>
            <w:vMerge w:val="restart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68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oct20</w:t>
            </w:r>
          </w:p>
        </w:tc>
        <w:tc>
          <w:tcPr>
            <w:tcW w:type="dxa" w:w="9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168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ago21</w:t>
            </w:r>
          </w:p>
        </w:tc>
        <w:tc>
          <w:tcPr>
            <w:tcW w:type="dxa" w:w="10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198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jun22</w:t>
            </w:r>
          </w:p>
        </w:tc>
        <w:tc>
          <w:tcPr>
            <w:tcW w:type="dxa" w:w="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64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abr23</w:t>
            </w:r>
          </w:p>
        </w:tc>
        <w:tc>
          <w:tcPr>
            <w:tcW w:type="dxa" w:w="1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218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feb24</w:t>
            </w:r>
          </w:p>
        </w:tc>
      </w:tr>
      <w:tr>
        <w:trPr>
          <w:trHeight w:hRule="exact" w:val="280"/>
        </w:trPr>
        <w:tc>
          <w:tcPr>
            <w:tcW w:type="dxa" w:w="520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20" w:right="4176" w:firstLine="0"/>
              <w:jc w:val="center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15% </w:t>
            </w:r>
            <w:r>
              <w:br/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0%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1737"/>
            <w:gridSpan w:val="3"/>
            <w:vMerge/>
            <w:tcBorders>
              <w:end w:sz="7.559999942779541" w:val="single" w:color="#FF00FF"/>
            </w:tcBorders>
          </w:tcPr>
          <w:p/>
        </w:tc>
        <w:tc>
          <w:tcPr>
            <w:tcW w:type="dxa" w:w="579"/>
            <w:vMerge/>
            <w:tcBorders>
              <w:start w:sz="7.559999942779541" w:val="single" w:color="#FF00FF"/>
            </w:tcBorders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0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168" w:firstLine="0"/>
              <w:jc w:val="right"/>
            </w:pPr>
            <w:r>
              <w:rPr>
                <w:w w:val="96.36922983022836"/>
                <w:rFonts w:ascii="ArialMT" w:hAnsi="ArialMT" w:eastAsia="ArialMT"/>
                <w:b w:val="0"/>
                <w:i w:val="0"/>
                <w:color w:val="000000"/>
                <w:sz w:val="13"/>
              </w:rPr>
              <w:t>Teórico</w:t>
            </w:r>
          </w:p>
        </w:tc>
        <w:tc>
          <w:tcPr>
            <w:tcW w:type="dxa" w:w="13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2" w:after="0"/>
              <w:ind w:left="144" w:right="288" w:firstLine="0"/>
              <w:jc w:val="center"/>
            </w:pPr>
            <w:r>
              <w:rPr>
                <w:w w:val="96.36922983022836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Prepago CPR </w:t>
            </w:r>
            <w:r>
              <w:rPr>
                <w:w w:val="96.36922983022836"/>
                <w:rFonts w:ascii="ArialMT" w:hAnsi="ArialMT" w:eastAsia="ArialMT"/>
                <w:b w:val="0"/>
                <w:i w:val="0"/>
                <w:color w:val="000000"/>
                <w:sz w:val="13"/>
              </w:rPr>
              <w:t>10%</w:t>
            </w:r>
          </w:p>
        </w:tc>
        <w:tc>
          <w:tcPr>
            <w:tcW w:type="dxa" w:w="1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36" w:right="0" w:firstLine="0"/>
              <w:jc w:val="left"/>
            </w:pPr>
            <w:r>
              <w:rPr>
                <w:w w:val="96.36922983022836"/>
                <w:rFonts w:ascii="ArialMT" w:hAnsi="ArialMT" w:eastAsia="ArialMT"/>
                <w:b w:val="0"/>
                <w:i w:val="0"/>
                <w:color w:val="000000"/>
                <w:sz w:val="13"/>
              </w:rPr>
              <w:t>Observado</w:t>
            </w:r>
          </w:p>
        </w:tc>
        <w:tc>
          <w:tcPr>
            <w:tcW w:type="dxa" w:w="5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381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6" w:after="0"/>
              <w:ind w:left="6" w:right="0" w:firstLine="0"/>
              <w:jc w:val="left"/>
            </w:pPr>
            <w:r>
              <w:rPr>
                <w:w w:val="106.28571510314941"/>
                <w:rFonts w:ascii="ArialMT" w:hAnsi="ArialMT" w:eastAsia="ArialMT"/>
                <w:b w:val="0"/>
                <w:i w:val="0"/>
                <w:color w:val="000000"/>
                <w:sz w:val="7"/>
              </w:rPr>
              <w:t>Observado</w:t>
            </w:r>
          </w:p>
        </w:tc>
        <w:tc>
          <w:tcPr>
            <w:tcW w:type="dxa" w:w="12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6" w:after="0"/>
              <w:ind w:left="0" w:right="0" w:firstLine="0"/>
              <w:jc w:val="center"/>
            </w:pPr>
            <w:r>
              <w:rPr>
                <w:w w:val="106.28571510314941"/>
                <w:rFonts w:ascii="ArialMT" w:hAnsi="ArialMT" w:eastAsia="ArialMT"/>
                <w:b w:val="0"/>
                <w:i w:val="0"/>
                <w:color w:val="000000"/>
                <w:sz w:val="7"/>
              </w:rPr>
              <w:t>Media Móvil 12 meses</w:t>
            </w:r>
          </w:p>
        </w:tc>
        <w:tc>
          <w:tcPr>
            <w:tcW w:type="dxa" w:w="6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6" w:after="0"/>
              <w:ind w:left="0" w:right="34" w:firstLine="0"/>
              <w:jc w:val="right"/>
            </w:pPr>
            <w:r>
              <w:rPr>
                <w:w w:val="106.28571510314941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6%</w:t>
            </w:r>
          </w:p>
        </w:tc>
        <w:tc>
          <w:tcPr>
            <w:tcW w:type="dxa" w:w="1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6" w:after="0"/>
              <w:ind w:left="0" w:right="208" w:firstLine="0"/>
              <w:jc w:val="right"/>
            </w:pPr>
            <w:r>
              <w:rPr>
                <w:w w:val="106.28571510314941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10%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6" w:after="0"/>
              <w:ind w:left="0" w:right="102" w:firstLine="0"/>
              <w:jc w:val="right"/>
            </w:pPr>
            <w:r>
              <w:rPr>
                <w:w w:val="106.28571510314941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14%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6" w:after="0"/>
              <w:ind w:left="0" w:right="456" w:firstLine="0"/>
              <w:jc w:val="right"/>
            </w:pPr>
            <w:r>
              <w:rPr>
                <w:w w:val="106.28571510314941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20%</w:t>
            </w:r>
          </w:p>
        </w:tc>
      </w:tr>
      <w:tr>
        <w:trPr>
          <w:trHeight w:hRule="exact" w:val="700"/>
        </w:trPr>
        <w:tc>
          <w:tcPr>
            <w:tcW w:type="dxa" w:w="5200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>Mora observada_____________________________</w:t>
            </w:r>
          </w:p>
          <w:p>
            <w:pPr>
              <w:autoSpaceDN w:val="0"/>
              <w:tabs>
                <w:tab w:pos="1818" w:val="left"/>
              </w:tabs>
              <w:autoSpaceDE w:val="0"/>
              <w:widowControl/>
              <w:spacing w:line="212" w:lineRule="exact" w:before="0" w:after="0"/>
              <w:ind w:left="516" w:right="0" w:firstLine="0"/>
              <w:jc w:val="left"/>
            </w:pPr>
            <w:r>
              <w:rPr>
                <w:w w:val="97.37142835344586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3.5% </w:t>
            </w:r>
            <w:r>
              <w:tab/>
            </w:r>
            <w:r>
              <w:rPr>
                <w:w w:val="96.9599978129069"/>
                <w:rFonts w:ascii="Arial" w:hAnsi="Arial" w:eastAsia="Arial"/>
                <w:b/>
                <w:i w:val="0"/>
                <w:color w:val="003366"/>
                <w:sz w:val="15"/>
              </w:rPr>
              <w:t>Mora 120 días/ saldo inicial</w:t>
            </w:r>
          </w:p>
          <w:p>
            <w:pPr>
              <w:autoSpaceDN w:val="0"/>
              <w:autoSpaceDE w:val="0"/>
              <w:widowControl/>
              <w:spacing w:line="188" w:lineRule="exact" w:before="854" w:after="0"/>
              <w:ind w:left="516" w:right="0" w:firstLine="0"/>
              <w:jc w:val="left"/>
            </w:pPr>
            <w:r>
              <w:rPr>
                <w:w w:val="97.02856881277901"/>
                <w:rFonts w:ascii="ArialMT" w:hAnsi="ArialMT" w:eastAsia="ArialMT"/>
                <w:b w:val="0"/>
                <w:i w:val="0"/>
                <w:color w:val="000000"/>
                <w:sz w:val="14"/>
              </w:rPr>
              <w:t>1.5%</w:t>
            </w:r>
          </w:p>
          <w:p>
            <w:pPr>
              <w:autoSpaceDN w:val="0"/>
              <w:autoSpaceDE w:val="0"/>
              <w:widowControl/>
              <w:spacing w:line="188" w:lineRule="exact" w:before="72" w:after="0"/>
              <w:ind w:left="516" w:right="0" w:firstLine="0"/>
              <w:jc w:val="left"/>
            </w:pPr>
            <w:r>
              <w:rPr>
                <w:w w:val="97.02856881277901"/>
                <w:rFonts w:ascii="ArialMT" w:hAnsi="ArialMT" w:eastAsia="ArialMT"/>
                <w:b w:val="0"/>
                <w:i w:val="0"/>
                <w:color w:val="000000"/>
                <w:sz w:val="14"/>
              </w:rPr>
              <w:t>1.0%</w:t>
            </w:r>
          </w:p>
          <w:p>
            <w:pPr>
              <w:autoSpaceDN w:val="0"/>
              <w:autoSpaceDE w:val="0"/>
              <w:widowControl/>
              <w:spacing w:line="188" w:lineRule="exact" w:before="72" w:after="0"/>
              <w:ind w:left="516" w:right="0" w:firstLine="0"/>
              <w:jc w:val="left"/>
            </w:pPr>
            <w:r>
              <w:rPr>
                <w:w w:val="97.37142835344586"/>
                <w:rFonts w:ascii="ArialMT" w:hAnsi="ArialMT" w:eastAsia="ArialMT"/>
                <w:b w:val="0"/>
                <w:i w:val="0"/>
                <w:color w:val="000000"/>
                <w:sz w:val="14"/>
              </w:rPr>
              <w:t>0.5%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516" w:right="0" w:firstLine="0"/>
              <w:jc w:val="left"/>
            </w:pPr>
            <w:r>
              <w:rPr>
                <w:w w:val="97.02856881277901"/>
                <w:rFonts w:ascii="ArialMT" w:hAnsi="ArialMT" w:eastAsia="ArialMT"/>
                <w:b w:val="0"/>
                <w:i w:val="0"/>
                <w:color w:val="000000"/>
                <w:sz w:val="14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692400" cy="1193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1193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516" w:right="0" w:firstLine="0"/>
              <w:jc w:val="left"/>
            </w:pPr>
            <w:r>
              <w:rPr>
                <w:w w:val="97.37142835344586"/>
                <w:rFonts w:ascii="ArialMT" w:hAnsi="ArialMT" w:eastAsia="ArialMT"/>
                <w:b w:val="0"/>
                <w:i w:val="0"/>
                <w:color w:val="000000"/>
                <w:sz w:val="14"/>
              </w:rPr>
              <w:t>3.0%</w:t>
            </w:r>
          </w:p>
          <w:p>
            <w:pPr>
              <w:autoSpaceDN w:val="0"/>
              <w:autoSpaceDE w:val="0"/>
              <w:widowControl/>
              <w:spacing w:line="186" w:lineRule="exact" w:before="74" w:after="0"/>
              <w:ind w:left="516" w:right="0" w:firstLine="0"/>
              <w:jc w:val="left"/>
            </w:pPr>
            <w:r>
              <w:rPr>
                <w:w w:val="97.02856881277901"/>
                <w:rFonts w:ascii="ArialMT" w:hAnsi="ArialMT" w:eastAsia="ArialMT"/>
                <w:b w:val="0"/>
                <w:i w:val="0"/>
                <w:color w:val="000000"/>
                <w:sz w:val="14"/>
              </w:rPr>
              <w:t>2.5%</w:t>
            </w:r>
          </w:p>
          <w:p>
            <w:pPr>
              <w:autoSpaceDN w:val="0"/>
              <w:autoSpaceDE w:val="0"/>
              <w:widowControl/>
              <w:spacing w:line="186" w:lineRule="exact" w:before="74" w:after="0"/>
              <w:ind w:left="516" w:right="0" w:firstLine="0"/>
              <w:jc w:val="left"/>
            </w:pPr>
            <w:r>
              <w:rPr>
                <w:w w:val="97.37142835344586"/>
                <w:rFonts w:ascii="ArialMT" w:hAnsi="ArialMT" w:eastAsia="ArialMT"/>
                <w:b w:val="0"/>
                <w:i w:val="0"/>
                <w:color w:val="000000"/>
                <w:sz w:val="14"/>
              </w:rPr>
              <w:t>2.0%</w:t>
            </w:r>
          </w:p>
          <w:p>
            <w:pPr>
              <w:autoSpaceDN w:val="0"/>
              <w:tabs>
                <w:tab w:pos="1362" w:val="left"/>
                <w:tab w:pos="1938" w:val="left"/>
                <w:tab w:pos="2496" w:val="left"/>
                <w:tab w:pos="3082" w:val="left"/>
                <w:tab w:pos="3658" w:val="left"/>
                <w:tab w:pos="4216" w:val="left"/>
                <w:tab w:pos="4802" w:val="left"/>
              </w:tabs>
              <w:autoSpaceDE w:val="0"/>
              <w:widowControl/>
              <w:spacing w:line="152" w:lineRule="exact" w:before="1006" w:after="0"/>
              <w:ind w:left="7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may12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ene14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sep15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may17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ene19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sep20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may22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ene24</w:t>
            </w:r>
          </w:p>
        </w:tc>
        <w:tc>
          <w:tcPr>
            <w:tcW w:type="dxa" w:w="618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36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>Escenarios de Estrés_____________</w:t>
            </w:r>
          </w:p>
          <w:p>
            <w:pPr>
              <w:autoSpaceDN w:val="0"/>
              <w:autoSpaceDE w:val="0"/>
              <w:widowControl/>
              <w:spacing w:line="245" w:lineRule="auto" w:before="72" w:after="0"/>
              <w:ind w:left="356" w:right="259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0"/>
              </w:rPr>
              <w:t xml:space="preserve">% de amortización de capital proyectado  para diferentes escenarios de estrés </w:t>
            </w:r>
            <w:r>
              <w:rPr>
                <w:rFonts w:ascii="Calibri" w:hAnsi="Calibri" w:eastAsia="Calibri"/>
                <w:b w:val="0"/>
                <w:i w:val="0"/>
                <w:color w:val="041E42"/>
                <w:sz w:val="10"/>
              </w:rPr>
              <w:t xml:space="preserve"> de prepago -CPR 10 %, 20 % o la Media Movil (MM) de los últimos 12 meses-</w:t>
            </w:r>
            <w:r>
              <w:rPr>
                <w:rFonts w:ascii="Calibri" w:hAnsi="Calibri" w:eastAsia="Calibri"/>
                <w:b w:val="0"/>
                <w:i w:val="0"/>
                <w:color w:val="041E42"/>
                <w:sz w:val="10"/>
              </w:rPr>
              <w:t xml:space="preserve"> y mora 1, 1,5 o 5 veces la curva proyectada</w:t>
            </w:r>
          </w:p>
        </w:tc>
      </w:tr>
      <w:tr>
        <w:trPr>
          <w:trHeight w:hRule="exact" w:val="200"/>
        </w:trPr>
        <w:tc>
          <w:tcPr>
            <w:tcW w:type="dxa" w:w="5211"/>
            <w:gridSpan w:val="9"/>
            <w:vMerge/>
            <w:tcBorders/>
          </w:tcPr>
          <w:p/>
        </w:tc>
        <w:tc>
          <w:tcPr>
            <w:tcW w:type="dxa" w:w="1256"/>
            <w:gridSpan w:val="4"/>
            <w:vMerge w:val="restart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6" w:after="0"/>
              <w:ind w:left="0" w:right="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Prepago</w:t>
            </w:r>
          </w:p>
        </w:tc>
        <w:tc>
          <w:tcPr>
            <w:tcW w:type="dxa" w:w="844"/>
            <w:vMerge w:val="restart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6" w:after="0"/>
              <w:ind w:left="0" w:right="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Mora</w:t>
            </w:r>
          </w:p>
        </w:tc>
        <w:tc>
          <w:tcPr>
            <w:tcW w:type="dxa" w:w="9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</w:t>
            </w:r>
          </w:p>
        </w:tc>
        <w:tc>
          <w:tcPr>
            <w:tcW w:type="dxa" w:w="54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6" w:after="0"/>
              <w:ind w:left="0" w:right="3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B</w:t>
            </w:r>
          </w:p>
        </w:tc>
        <w:tc>
          <w:tcPr>
            <w:tcW w:type="dxa" w:w="53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6" w:after="0"/>
              <w:ind w:left="0" w:right="1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MZ</w:t>
            </w:r>
          </w:p>
        </w:tc>
        <w:tc>
          <w:tcPr>
            <w:tcW w:type="dxa" w:w="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3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 xml:space="preserve">Residual </w:t>
            </w:r>
          </w:p>
        </w:tc>
      </w:tr>
      <w:tr>
        <w:trPr>
          <w:trHeight w:hRule="exact" w:val="180"/>
        </w:trPr>
        <w:tc>
          <w:tcPr>
            <w:tcW w:type="dxa" w:w="5211"/>
            <w:gridSpan w:val="9"/>
            <w:vMerge/>
            <w:tcBorders/>
          </w:tcPr>
          <w:p/>
        </w:tc>
        <w:tc>
          <w:tcPr>
            <w:tcW w:type="dxa" w:w="2316"/>
            <w:gridSpan w:val="4"/>
            <w:vMerge/>
            <w:tcBorders>
              <w:end w:sz="7.559999942779541" w:val="single" w:color="#FF00FF"/>
            </w:tcBorders>
          </w:tcPr>
          <w:p/>
        </w:tc>
        <w:tc>
          <w:tcPr>
            <w:tcW w:type="dxa" w:w="579"/>
            <w:vMerge/>
            <w:tcBorders>
              <w:start w:sz="7.559999942779541" w:val="single" w:color="#FF00FF"/>
            </w:tcBorders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$mm</w:t>
            </w:r>
          </w:p>
        </w:tc>
      </w:tr>
      <w:tr>
        <w:trPr>
          <w:trHeight w:hRule="exact" w:val="160"/>
        </w:trPr>
        <w:tc>
          <w:tcPr>
            <w:tcW w:type="dxa" w:w="5211"/>
            <w:gridSpan w:val="9"/>
            <w:vMerge/>
            <w:tcBorders/>
          </w:tcPr>
          <w:p/>
        </w:tc>
        <w:tc>
          <w:tcPr>
            <w:tcW w:type="dxa" w:w="1256"/>
            <w:gridSpan w:val="4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19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10%</w:t>
            </w:r>
          </w:p>
        </w:tc>
        <w:tc>
          <w:tcPr>
            <w:tcW w:type="dxa" w:w="844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78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1.0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5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44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5,398</w:t>
            </w:r>
          </w:p>
        </w:tc>
      </w:tr>
      <w:tr>
        <w:trPr>
          <w:trHeight w:hRule="exact" w:val="160"/>
        </w:trPr>
        <w:tc>
          <w:tcPr>
            <w:tcW w:type="dxa" w:w="5211"/>
            <w:gridSpan w:val="9"/>
            <w:vMerge/>
            <w:tcBorders/>
          </w:tcPr>
          <w:p/>
        </w:tc>
        <w:tc>
          <w:tcPr>
            <w:tcW w:type="dxa" w:w="1256"/>
            <w:gridSpan w:val="4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9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20%</w:t>
            </w:r>
          </w:p>
        </w:tc>
        <w:tc>
          <w:tcPr>
            <w:tcW w:type="dxa" w:w="844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78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1.0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5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44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5,398</w:t>
            </w:r>
          </w:p>
        </w:tc>
      </w:tr>
      <w:tr>
        <w:trPr>
          <w:trHeight w:hRule="exact" w:val="160"/>
        </w:trPr>
        <w:tc>
          <w:tcPr>
            <w:tcW w:type="dxa" w:w="5211"/>
            <w:gridSpan w:val="9"/>
            <w:vMerge/>
            <w:tcBorders/>
          </w:tcPr>
          <w:p/>
        </w:tc>
        <w:tc>
          <w:tcPr>
            <w:tcW w:type="dxa" w:w="1256"/>
            <w:gridSpan w:val="4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192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MM</w:t>
            </w:r>
          </w:p>
        </w:tc>
        <w:tc>
          <w:tcPr>
            <w:tcW w:type="dxa" w:w="844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78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1.0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5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44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5,330</w:t>
            </w:r>
          </w:p>
        </w:tc>
      </w:tr>
      <w:tr>
        <w:trPr>
          <w:trHeight w:hRule="exact" w:val="140"/>
        </w:trPr>
        <w:tc>
          <w:tcPr>
            <w:tcW w:type="dxa" w:w="5211"/>
            <w:gridSpan w:val="9"/>
            <w:vMerge/>
            <w:tcBorders/>
          </w:tcPr>
          <w:p/>
        </w:tc>
        <w:tc>
          <w:tcPr>
            <w:tcW w:type="dxa" w:w="1256"/>
            <w:gridSpan w:val="4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0" w:right="19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10%</w:t>
            </w:r>
          </w:p>
        </w:tc>
        <w:tc>
          <w:tcPr>
            <w:tcW w:type="dxa" w:w="844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0" w:right="78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1.5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5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0" w:right="44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5,398</w:t>
            </w:r>
          </w:p>
        </w:tc>
      </w:tr>
      <w:tr>
        <w:trPr>
          <w:trHeight w:hRule="exact" w:val="160"/>
        </w:trPr>
        <w:tc>
          <w:tcPr>
            <w:tcW w:type="dxa" w:w="5211"/>
            <w:gridSpan w:val="9"/>
            <w:vMerge/>
            <w:tcBorders/>
          </w:tcPr>
          <w:p/>
        </w:tc>
        <w:tc>
          <w:tcPr>
            <w:tcW w:type="dxa" w:w="1256"/>
            <w:gridSpan w:val="4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19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20%</w:t>
            </w:r>
          </w:p>
        </w:tc>
        <w:tc>
          <w:tcPr>
            <w:tcW w:type="dxa" w:w="844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78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1.5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5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44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5,398</w:t>
            </w:r>
          </w:p>
        </w:tc>
      </w:tr>
      <w:tr>
        <w:trPr>
          <w:trHeight w:hRule="exact" w:val="160"/>
        </w:trPr>
        <w:tc>
          <w:tcPr>
            <w:tcW w:type="dxa" w:w="5211"/>
            <w:gridSpan w:val="9"/>
            <w:vMerge/>
            <w:tcBorders/>
          </w:tcPr>
          <w:p/>
        </w:tc>
        <w:tc>
          <w:tcPr>
            <w:tcW w:type="dxa" w:w="1256"/>
            <w:gridSpan w:val="4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192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MM</w:t>
            </w:r>
          </w:p>
        </w:tc>
        <w:tc>
          <w:tcPr>
            <w:tcW w:type="dxa" w:w="844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78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1.5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5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44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5,327</w:t>
            </w:r>
          </w:p>
        </w:tc>
      </w:tr>
      <w:tr>
        <w:trPr>
          <w:trHeight w:hRule="exact" w:val="160"/>
        </w:trPr>
        <w:tc>
          <w:tcPr>
            <w:tcW w:type="dxa" w:w="5211"/>
            <w:gridSpan w:val="9"/>
            <w:vMerge/>
            <w:tcBorders/>
          </w:tcPr>
          <w:p/>
        </w:tc>
        <w:tc>
          <w:tcPr>
            <w:tcW w:type="dxa" w:w="1256"/>
            <w:gridSpan w:val="4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19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10%</w:t>
            </w:r>
          </w:p>
        </w:tc>
        <w:tc>
          <w:tcPr>
            <w:tcW w:type="dxa" w:w="844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78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5.0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5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44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5,398</w:t>
            </w:r>
          </w:p>
        </w:tc>
      </w:tr>
      <w:tr>
        <w:trPr>
          <w:trHeight w:hRule="exact" w:val="160"/>
        </w:trPr>
        <w:tc>
          <w:tcPr>
            <w:tcW w:type="dxa" w:w="5211"/>
            <w:gridSpan w:val="9"/>
            <w:vMerge/>
            <w:tcBorders/>
          </w:tcPr>
          <w:p/>
        </w:tc>
        <w:tc>
          <w:tcPr>
            <w:tcW w:type="dxa" w:w="1256"/>
            <w:gridSpan w:val="4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19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20%</w:t>
            </w:r>
          </w:p>
        </w:tc>
        <w:tc>
          <w:tcPr>
            <w:tcW w:type="dxa" w:w="844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78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5.0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5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44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5,398</w:t>
            </w:r>
          </w:p>
        </w:tc>
      </w:tr>
      <w:tr>
        <w:trPr>
          <w:trHeight w:hRule="exact" w:val="120"/>
        </w:trPr>
        <w:tc>
          <w:tcPr>
            <w:tcW w:type="dxa" w:w="5211"/>
            <w:gridSpan w:val="9"/>
            <w:vMerge/>
            <w:tcBorders/>
          </w:tcPr>
          <w:p/>
        </w:tc>
        <w:tc>
          <w:tcPr>
            <w:tcW w:type="dxa" w:w="1256"/>
            <w:gridSpan w:val="4"/>
            <w:vMerge w:val="restart"/>
            <w:tcBorders>
              <w:end w:sz="7.559999942779541" w:val="single" w:color="#FF00FF"/>
              <w:bottom w:sz="7.559999942779541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0" w:right="192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MM</w:t>
            </w:r>
          </w:p>
        </w:tc>
        <w:tc>
          <w:tcPr>
            <w:tcW w:type="dxa" w:w="844"/>
            <w:vMerge w:val="restart"/>
            <w:tcBorders>
              <w:start w:sz="7.559999942779541" w:val="single" w:color="#FF00FF"/>
              <w:bottom w:sz="7.559999942779541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0" w:right="78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5.0</w:t>
            </w:r>
          </w:p>
        </w:tc>
        <w:tc>
          <w:tcPr>
            <w:tcW w:type="dxa" w:w="940"/>
            <w:gridSpan w:val="2"/>
            <w:vMerge w:val="restart"/>
            <w:tcBorders>
              <w:bottom w:sz="7.559999942779541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42"/>
            <w:vMerge w:val="restart"/>
            <w:tcBorders>
              <w:bottom w:sz="7.559999942779541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5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38"/>
            <w:vMerge w:val="restart"/>
            <w:tcBorders>
              <w:bottom w:sz="7.559999942779541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0" w:right="44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00"/>
            <w:vMerge w:val="restart"/>
            <w:tcBorders>
              <w:bottom w:sz="7.559999942779541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vMerge w:val="restart"/>
            <w:tcBorders>
              <w:bottom w:sz="7.559999942779541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5,308</w:t>
            </w:r>
          </w:p>
        </w:tc>
      </w:tr>
      <w:tr>
        <w:trPr>
          <w:trHeight w:hRule="exact" w:val="80"/>
        </w:trPr>
        <w:tc>
          <w:tcPr>
            <w:tcW w:type="dxa" w:w="200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24" w:after="0"/>
              <w:ind w:left="0" w:right="346" w:firstLine="0"/>
              <w:jc w:val="right"/>
            </w:pPr>
            <w:r>
              <w:rPr>
                <w:w w:val="105.60000283377511"/>
                <w:rFonts w:ascii="ArialMT" w:hAnsi="ArialMT" w:eastAsia="ArialMT"/>
                <w:b w:val="0"/>
                <w:i w:val="0"/>
                <w:color w:val="000000"/>
                <w:sz w:val="7"/>
              </w:rPr>
              <w:t>Observado</w:t>
            </w:r>
          </w:p>
        </w:tc>
        <w:tc>
          <w:tcPr>
            <w:tcW w:type="dxa" w:w="13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24" w:after="0"/>
              <w:ind w:left="0" w:right="646" w:firstLine="0"/>
              <w:jc w:val="right"/>
            </w:pPr>
            <w:r>
              <w:rPr>
                <w:w w:val="105.60000283377511"/>
                <w:rFonts w:ascii="ArialMT" w:hAnsi="ArialMT" w:eastAsia="ArialMT"/>
                <w:b w:val="0"/>
                <w:i w:val="0"/>
                <w:color w:val="000000"/>
                <w:sz w:val="7"/>
              </w:rPr>
              <w:t>P 97,5%</w:t>
            </w:r>
          </w:p>
        </w:tc>
        <w:tc>
          <w:tcPr>
            <w:tcW w:type="dxa" w:w="6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24" w:after="0"/>
              <w:ind w:left="134" w:right="0" w:firstLine="0"/>
              <w:jc w:val="left"/>
            </w:pPr>
            <w:r>
              <w:rPr>
                <w:w w:val="105.60000283377511"/>
                <w:rFonts w:ascii="ArialMT" w:hAnsi="ArialMT" w:eastAsia="ArialMT"/>
                <w:b w:val="0"/>
                <w:i w:val="0"/>
                <w:color w:val="000000"/>
                <w:sz w:val="7"/>
              </w:rPr>
              <w:t>P 50%</w:t>
            </w:r>
          </w:p>
        </w:tc>
        <w:tc>
          <w:tcPr>
            <w:tcW w:type="dxa" w:w="1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24" w:after="0"/>
              <w:ind w:left="0" w:right="0" w:firstLine="0"/>
              <w:jc w:val="center"/>
            </w:pPr>
            <w:r>
              <w:rPr>
                <w:w w:val="105.60000283377511"/>
                <w:rFonts w:ascii="ArialMT" w:hAnsi="ArialMT" w:eastAsia="ArialMT"/>
                <w:b w:val="0"/>
                <w:i w:val="0"/>
                <w:color w:val="000000"/>
                <w:sz w:val="7"/>
              </w:rPr>
              <w:t>P 2,5%</w:t>
            </w:r>
          </w:p>
        </w:tc>
        <w:tc>
          <w:tcPr>
            <w:tcW w:type="dxa" w:w="2316"/>
            <w:gridSpan w:val="4"/>
            <w:vMerge/>
            <w:tcBorders>
              <w:end w:sz="7.559999942779541" w:val="single" w:color="#FF00FF"/>
              <w:bottom w:sz="7.559999942779541" w:val="single" w:color="#041E42"/>
            </w:tcBorders>
          </w:tcPr>
          <w:p/>
        </w:tc>
        <w:tc>
          <w:tcPr>
            <w:tcW w:type="dxa" w:w="579"/>
            <w:vMerge/>
            <w:tcBorders>
              <w:start w:sz="7.559999942779541" w:val="single" w:color="#FF00FF"/>
              <w:bottom w:sz="7.559999942779541" w:val="single" w:color="#041E42"/>
            </w:tcBorders>
          </w:tcPr>
          <w:p/>
        </w:tc>
        <w:tc>
          <w:tcPr>
            <w:tcW w:type="dxa" w:w="1158"/>
            <w:gridSpan w:val="2"/>
            <w:vMerge/>
            <w:tcBorders>
              <w:bottom w:sz="7.559999942779541" w:val="single" w:color="#041E42"/>
            </w:tcBorders>
          </w:tcPr>
          <w:p/>
        </w:tc>
        <w:tc>
          <w:tcPr>
            <w:tcW w:type="dxa" w:w="579"/>
            <w:vMerge/>
            <w:tcBorders>
              <w:bottom w:sz="7.559999942779541" w:val="single" w:color="#041E42"/>
            </w:tcBorders>
          </w:tcPr>
          <w:p/>
        </w:tc>
        <w:tc>
          <w:tcPr>
            <w:tcW w:type="dxa" w:w="579"/>
            <w:vMerge/>
            <w:tcBorders>
              <w:bottom w:sz="7.559999942779541" w:val="single" w:color="#041E42"/>
            </w:tcBorders>
          </w:tcPr>
          <w:p/>
        </w:tc>
        <w:tc>
          <w:tcPr>
            <w:tcW w:type="dxa" w:w="579"/>
            <w:vMerge/>
            <w:tcBorders>
              <w:bottom w:sz="7.559999942779541" w:val="single" w:color="#041E42"/>
            </w:tcBorders>
          </w:tcPr>
          <w:p/>
        </w:tc>
        <w:tc>
          <w:tcPr>
            <w:tcW w:type="dxa" w:w="579"/>
            <w:vMerge/>
            <w:tcBorders>
              <w:bottom w:sz="7.559999942779541" w:val="single" w:color="#041E42"/>
            </w:tcBorders>
          </w:tcPr>
          <w:p/>
        </w:tc>
      </w:tr>
      <w:tr>
        <w:trPr>
          <w:trHeight w:hRule="exact" w:val="140"/>
        </w:trPr>
        <w:tc>
          <w:tcPr>
            <w:tcW w:type="dxa" w:w="2316"/>
            <w:gridSpan w:val="4"/>
            <w:vMerge/>
            <w:tcBorders/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6180"/>
            <w:gridSpan w:val="11"/>
            <w:vMerge w:val="restart"/>
            <w:tcBorders>
              <w:top w:sz="7.559999942779541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32" w:after="0"/>
              <w:ind w:left="36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3366"/>
                <w:sz w:val="15"/>
              </w:rPr>
              <w:t>Notas:</w:t>
            </w:r>
            <w:r>
              <w:br/>
            </w: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* % Cobertura Vigente : Saldo de capital de la cartera con mora inferior a 120 días dividido por el saldo de los TIPS en la fecha de liquidación.</w:t>
            </w:r>
          </w:p>
          <w:p>
            <w:pPr>
              <w:autoSpaceDN w:val="0"/>
              <w:autoSpaceDE w:val="0"/>
              <w:widowControl/>
              <w:spacing w:line="102" w:lineRule="exact" w:before="138" w:after="0"/>
              <w:ind w:left="360" w:right="0" w:firstLine="0"/>
              <w:jc w:val="left"/>
            </w:pP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* % Coberturas Externas : Saldo del Mecanismo de Cobertura Parcial de los títulos A.</w:t>
            </w:r>
          </w:p>
          <w:p>
            <w:pPr>
              <w:autoSpaceDN w:val="0"/>
              <w:autoSpaceDE w:val="0"/>
              <w:widowControl/>
              <w:spacing w:line="102" w:lineRule="exact" w:before="138" w:after="0"/>
              <w:ind w:left="360" w:right="0" w:firstLine="0"/>
              <w:jc w:val="left"/>
            </w:pP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 Teórico: Pago contractual de los créditos en un escanario de cero mora y cero prepago.</w:t>
            </w:r>
          </w:p>
          <w:p>
            <w:pPr>
              <w:autoSpaceDN w:val="0"/>
              <w:autoSpaceDE w:val="0"/>
              <w:widowControl/>
              <w:spacing w:line="102" w:lineRule="exact" w:before="138" w:after="0"/>
              <w:ind w:left="360" w:right="0" w:firstLine="0"/>
              <w:jc w:val="left"/>
            </w:pP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Prepago es el agregado de la suma de prepago parcial y total anualizado. Prepago promedio ponderado (pp) de la emisión: Corresponde al prepago ponderado </w:t>
            </w:r>
          </w:p>
          <w:p>
            <w:pPr>
              <w:autoSpaceDN w:val="0"/>
              <w:autoSpaceDE w:val="0"/>
              <w:widowControl/>
              <w:spacing w:line="194" w:lineRule="auto" w:before="32" w:after="0"/>
              <w:ind w:left="360" w:right="0" w:firstLine="0"/>
              <w:jc w:val="left"/>
            </w:pP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por el saldo de cartera de cada mes de la emisión. </w:t>
            </w:r>
          </w:p>
          <w:p>
            <w:pPr>
              <w:autoSpaceDN w:val="0"/>
              <w:autoSpaceDE w:val="0"/>
              <w:widowControl/>
              <w:spacing w:line="102" w:lineRule="exact" w:before="138" w:after="0"/>
              <w:ind w:left="360" w:right="0" w:firstLine="0"/>
              <w:jc w:val="left"/>
            </w:pP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 de valoración: Escenario de prepago para valoración de los proveedores de precio.</w:t>
            </w:r>
          </w:p>
          <w:p>
            <w:pPr>
              <w:autoSpaceDN w:val="0"/>
              <w:autoSpaceDE w:val="0"/>
              <w:widowControl/>
              <w:spacing w:line="102" w:lineRule="exact" w:before="138" w:after="0"/>
              <w:ind w:left="360" w:right="0" w:firstLine="0"/>
              <w:jc w:val="left"/>
            </w:pP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Tasa Implícita: Flujo mensual de intereses dividido por el saldo de capital al inicio del mes.</w:t>
            </w:r>
          </w:p>
          <w:p>
            <w:pPr>
              <w:autoSpaceDN w:val="0"/>
              <w:autoSpaceDE w:val="0"/>
              <w:widowControl/>
              <w:spacing w:line="102" w:lineRule="exact" w:before="300" w:after="0"/>
              <w:ind w:left="352" w:right="0" w:firstLine="0"/>
              <w:jc w:val="left"/>
            </w:pP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Para efectos de monitorear el riesgo de crédito, el indicador de mora mayor a 120 días se ha proyectado teniendo en cuenta el comportamiento crediticio de </w:t>
            </w:r>
          </w:p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una muestra de desarrollo de 204,300 créditos hipotecarios. Se presenta la mora en percentiles  (P2,5%, P50% y P97,5%).  Para mayor información de la </w:t>
            </w:r>
          </w:p>
          <w:p>
            <w:pPr>
              <w:autoSpaceDN w:val="0"/>
              <w:autoSpaceDE w:val="0"/>
              <w:widowControl/>
              <w:spacing w:line="199" w:lineRule="auto" w:before="30" w:after="0"/>
              <w:ind w:left="352" w:right="0" w:firstLine="0"/>
              <w:jc w:val="left"/>
            </w:pP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>metodología de proyección ver Anexo 2 del Prospecto de la emisión.</w:t>
            </w:r>
          </w:p>
          <w:p>
            <w:pPr>
              <w:autoSpaceDN w:val="0"/>
              <w:autoSpaceDE w:val="0"/>
              <w:widowControl/>
              <w:spacing w:line="102" w:lineRule="exact" w:before="138" w:after="0"/>
              <w:ind w:left="352" w:right="0" w:firstLine="0"/>
              <w:jc w:val="left"/>
            </w:pP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Escenarios: Muestra el porcentaje de amortización proyectado de cada título para diferentes escenarios de estrés de prepago y múltiplos de la mora esperada. </w:t>
            </w:r>
          </w:p>
        </w:tc>
      </w:tr>
      <w:tr>
        <w:trPr>
          <w:trHeight w:hRule="exact" w:val="2160"/>
        </w:trPr>
        <w:tc>
          <w:tcPr>
            <w:tcW w:type="dxa" w:w="520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12.0" w:type="dxa"/>
            </w:tblPr>
            <w:tblGrid>
              <w:gridCol w:w="5200"/>
            </w:tblGrid>
            <w:tr>
              <w:trPr>
                <w:trHeight w:hRule="exact" w:val="202"/>
              </w:trPr>
              <w:tc>
                <w:tcPr>
                  <w:tcW w:type="dxa" w:w="2766"/>
                  <w:tcBorders>
                    <w:start w:sz="9.600000000000023" w:val="single" w:color="#000000"/>
                    <w:top w:sz="9.599999999999909" w:val="single" w:color="#000000"/>
                    <w:end w:sz="9.599999999999909" w:val="single" w:color="#000000"/>
                    <w:bottom w:sz="9.600000000000364" w:val="single" w:color="#000000"/>
                  </w:tcBorders>
                  <w:shd w:fill="b4b4b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234061"/>
                      <w:sz w:val="15"/>
                    </w:rPr>
                    <w:t>Mora observada ene: 0.92%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86" w:lineRule="auto" w:before="262" w:after="0"/>
              <w:ind w:left="1196" w:right="0" w:firstLine="0"/>
              <w:jc w:val="left"/>
            </w:pPr>
            <w:r>
              <w:rPr>
                <w:w w:val="103.41818549416281"/>
                <w:rFonts w:ascii="Arial" w:hAnsi="Arial" w:eastAsia="Arial"/>
                <w:b/>
                <w:i w:val="0"/>
                <w:color w:val="003366"/>
                <w:sz w:val="11"/>
              </w:rPr>
              <w:t xml:space="preserve">Evolución de las Tasas Anualizadas Implícitas de los Créditos </w:t>
            </w:r>
          </w:p>
          <w:p>
            <w:pPr>
              <w:autoSpaceDN w:val="0"/>
              <w:autoSpaceDE w:val="0"/>
              <w:widowControl/>
              <w:spacing w:line="290" w:lineRule="auto" w:before="0" w:after="0"/>
              <w:ind w:left="0" w:right="1986" w:firstLine="0"/>
              <w:jc w:val="right"/>
            </w:pPr>
            <w:r>
              <w:rPr>
                <w:w w:val="103.41818549416281"/>
                <w:rFonts w:ascii="Arial" w:hAnsi="Arial" w:eastAsia="Arial"/>
                <w:b/>
                <w:i w:val="0"/>
                <w:color w:val="003366"/>
                <w:sz w:val="11"/>
              </w:rPr>
              <w:t>Hipotecarios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494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16.0%</w:t>
            </w:r>
          </w:p>
          <w:p>
            <w:pPr>
              <w:autoSpaceDN w:val="0"/>
              <w:autoSpaceDE w:val="0"/>
              <w:widowControl/>
              <w:spacing w:line="140" w:lineRule="exact" w:before="446" w:after="0"/>
              <w:ind w:left="550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8.0%</w:t>
            </w:r>
          </w:p>
          <w:p>
            <w:pPr>
              <w:autoSpaceDN w:val="0"/>
              <w:autoSpaceDE w:val="0"/>
              <w:widowControl/>
              <w:spacing w:line="138" w:lineRule="exact" w:before="8" w:after="0"/>
              <w:ind w:left="550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6.0%</w:t>
            </w:r>
          </w:p>
          <w:p>
            <w:pPr>
              <w:autoSpaceDN w:val="0"/>
              <w:autoSpaceDE w:val="0"/>
              <w:widowControl/>
              <w:spacing w:line="138" w:lineRule="exact" w:before="8" w:after="0"/>
              <w:ind w:left="550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4.0%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550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2.0%</w:t>
            </w:r>
            <w:r>
              <w:drawing>
                <wp:inline xmlns:a="http://schemas.openxmlformats.org/drawingml/2006/main" xmlns:pic="http://schemas.openxmlformats.org/drawingml/2006/picture">
                  <wp:extent cx="2679700" cy="698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698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38" w:lineRule="exact" w:before="0" w:after="0"/>
              <w:ind w:left="494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14.0%</w:t>
            </w:r>
          </w:p>
          <w:p>
            <w:pPr>
              <w:autoSpaceDN w:val="0"/>
              <w:autoSpaceDE w:val="0"/>
              <w:widowControl/>
              <w:spacing w:line="138" w:lineRule="exact" w:before="8" w:after="0"/>
              <w:ind w:left="494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12.0%</w:t>
            </w:r>
          </w:p>
          <w:p>
            <w:pPr>
              <w:autoSpaceDN w:val="0"/>
              <w:autoSpaceDE w:val="0"/>
              <w:widowControl/>
              <w:spacing w:line="140" w:lineRule="exact" w:before="8" w:after="0"/>
              <w:ind w:left="494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10.0%</w:t>
            </w:r>
          </w:p>
          <w:p>
            <w:pPr>
              <w:autoSpaceDN w:val="0"/>
              <w:tabs>
                <w:tab w:pos="1314" w:val="left"/>
                <w:tab w:pos="1892" w:val="left"/>
                <w:tab w:pos="2466" w:val="left"/>
                <w:tab w:pos="3036" w:val="left"/>
                <w:tab w:pos="3614" w:val="left"/>
                <w:tab w:pos="4188" w:val="left"/>
                <w:tab w:pos="4760" w:val="left"/>
              </w:tabs>
              <w:autoSpaceDE w:val="0"/>
              <w:widowControl/>
              <w:spacing w:line="140" w:lineRule="exact" w:before="566" w:after="0"/>
              <w:ind w:left="744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jun12 </w:t>
            </w:r>
            <w:r>
              <w:tab/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feb14 </w:t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oct15 </w:t>
            </w:r>
            <w:r>
              <w:tab/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jun17 </w:t>
            </w:r>
            <w:r>
              <w:tab/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feb19 </w:t>
            </w:r>
            <w:r>
              <w:tab/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oct20 </w:t>
            </w:r>
            <w:r>
              <w:tab/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jun22 </w:t>
            </w:r>
            <w:r>
              <w:tab/>
            </w: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feb24</w:t>
            </w:r>
          </w:p>
        </w:tc>
        <w:tc>
          <w:tcPr>
            <w:tcW w:type="dxa" w:w="6369"/>
            <w:gridSpan w:val="11"/>
            <w:vMerge/>
            <w:tcBorders>
              <w:top w:sz="7.559999942779541" w:val="single" w:color="#041E42"/>
            </w:tcBorders>
          </w:tcPr>
          <w:p/>
        </w:tc>
      </w:tr>
      <w:tr>
        <w:trPr>
          <w:trHeight w:hRule="exact" w:val="176"/>
        </w:trPr>
        <w:tc>
          <w:tcPr>
            <w:tcW w:type="dxa" w:w="1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381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48" w:after="0"/>
              <w:ind w:left="0" w:right="0" w:firstLine="0"/>
              <w:jc w:val="center"/>
            </w:pPr>
            <w:r>
              <w:rPr>
                <w:w w:val="105.60000283377511"/>
                <w:rFonts w:ascii="ArialMT" w:hAnsi="ArialMT" w:eastAsia="ArialMT"/>
                <w:b w:val="0"/>
                <w:i w:val="0"/>
                <w:color w:val="000000"/>
                <w:sz w:val="7"/>
              </w:rPr>
              <w:t>Tasa Observada</w:t>
            </w:r>
          </w:p>
        </w:tc>
        <w:tc>
          <w:tcPr>
            <w:tcW w:type="dxa" w:w="13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48" w:after="0"/>
              <w:ind w:left="0" w:right="142" w:firstLine="0"/>
              <w:jc w:val="right"/>
            </w:pPr>
            <w:r>
              <w:rPr>
                <w:w w:val="105.60000283377511"/>
                <w:rFonts w:ascii="ArialMT" w:hAnsi="ArialMT" w:eastAsia="ArialMT"/>
                <w:b w:val="0"/>
                <w:i w:val="0"/>
                <w:color w:val="000000"/>
                <w:sz w:val="7"/>
              </w:rPr>
              <w:t>Tasa Teórica</w:t>
            </w:r>
          </w:p>
        </w:tc>
        <w:tc>
          <w:tcPr>
            <w:tcW w:type="dxa" w:w="6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381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48" w:after="0"/>
              <w:ind w:left="12" w:right="0" w:firstLine="0"/>
              <w:jc w:val="left"/>
            </w:pPr>
            <w:r>
              <w:rPr>
                <w:w w:val="105.60000283377511"/>
                <w:rFonts w:ascii="ArialMT" w:hAnsi="ArialMT" w:eastAsia="ArialMT"/>
                <w:b w:val="0"/>
                <w:i w:val="0"/>
                <w:color w:val="000000"/>
                <w:sz w:val="7"/>
              </w:rPr>
              <w:t>Tasa Esperada</w:t>
            </w:r>
          </w:p>
        </w:tc>
        <w:tc>
          <w:tcPr>
            <w:tcW w:type="dxa" w:w="6369"/>
            <w:gridSpan w:val="11"/>
            <w:vMerge/>
            <w:tcBorders>
              <w:top w:sz="7.559999942779541" w:val="single" w:color="#041E42"/>
            </w:tcBorders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787"/>
        <w:gridCol w:w="5787"/>
      </w:tblGrid>
      <w:tr>
        <w:trPr>
          <w:trHeight w:hRule="exact" w:val="664"/>
        </w:trPr>
        <w:tc>
          <w:tcPr>
            <w:tcW w:type="dxa" w:w="115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8" w:after="0"/>
              <w:ind w:left="0" w:right="308" w:firstLine="0"/>
              <w:jc w:val="right"/>
            </w:pP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El monto residual una vez pagados los títulos es el valor presente descontado a la tir del pasivo correlativo. Para mayor información ver informe "Tablas de </w:t>
            </w:r>
          </w:p>
          <w:p>
            <w:pPr>
              <w:autoSpaceDN w:val="0"/>
              <w:autoSpaceDE w:val="0"/>
              <w:widowControl/>
              <w:spacing w:line="194" w:lineRule="auto" w:before="392" w:after="0"/>
              <w:ind w:left="0" w:right="2808" w:firstLine="0"/>
              <w:jc w:val="right"/>
            </w:pP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>saldo total de los créditos hipotecarios y por cantidad es respecto al total de créditos.</w:t>
            </w:r>
          </w:p>
        </w:tc>
      </w:tr>
      <w:tr>
        <w:trPr>
          <w:trHeight w:hRule="exact" w:val="2064"/>
        </w:trPr>
        <w:tc>
          <w:tcPr>
            <w:tcW w:type="dxa" w:w="5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8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>Participación por Rango de Tasas______________________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2.00000000000003" w:type="dxa"/>
            </w:tblPr>
            <w:tblGrid>
              <w:gridCol w:w="5520"/>
            </w:tblGrid>
            <w:tr>
              <w:trPr>
                <w:trHeight w:hRule="exact" w:val="1742"/>
              </w:trPr>
              <w:tc>
                <w:tcPr>
                  <w:tcW w:type="dxa" w:w="5300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86.0" w:type="dxa"/>
                  </w:tblPr>
                  <w:tblGrid>
                    <w:gridCol w:w="757"/>
                    <w:gridCol w:w="757"/>
                    <w:gridCol w:w="757"/>
                    <w:gridCol w:w="757"/>
                    <w:gridCol w:w="757"/>
                    <w:gridCol w:w="757"/>
                    <w:gridCol w:w="757"/>
                  </w:tblGrid>
                  <w:tr>
                    <w:trPr>
                      <w:trHeight w:hRule="exact" w:val="1208"/>
                    </w:trPr>
                    <w:tc>
                      <w:tcPr>
                        <w:tcW w:type="dxa" w:w="4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8" w:lineRule="exact" w:before="24" w:after="0"/>
                          <w:ind w:left="144" w:right="0" w:firstLine="0"/>
                          <w:jc w:val="center"/>
                        </w:pPr>
                        <w:r>
                          <w:rPr>
                            <w:w w:val="97.30909520929511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60% </w:t>
                        </w:r>
                        <w:r>
                          <w:br/>
                        </w:r>
                        <w:r>
                          <w:rPr>
                            <w:w w:val="97.30909520929511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50% </w:t>
                        </w:r>
                        <w:r>
                          <w:br/>
                        </w:r>
                        <w:r>
                          <w:rPr>
                            <w:w w:val="97.7454532276500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40% </w:t>
                        </w:r>
                        <w:r>
                          <w:br/>
                        </w:r>
                        <w:r>
                          <w:rPr>
                            <w:w w:val="97.7454532276500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30% </w:t>
                        </w:r>
                        <w:r>
                          <w:br/>
                        </w:r>
                        <w:r>
                          <w:rPr>
                            <w:w w:val="97.7454532276500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20% </w:t>
                        </w:r>
                        <w:r>
                          <w:br/>
                        </w:r>
                        <w:r>
                          <w:rPr>
                            <w:w w:val="97.7454532276500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10% </w:t>
                        </w:r>
                        <w:r>
                          <w:br/>
                        </w:r>
                        <w:r>
                          <w:rPr>
                            <w:w w:val="97.7454532276500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>0%</w:t>
                        </w:r>
                      </w:p>
                    </w:tc>
                    <w:tc>
                      <w:tcPr>
                        <w:tcW w:type="dxa" w:w="4620"/>
                        <w:gridSpan w:val="6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2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62.00000000000003" w:type="dxa"/>
                        </w:tblPr>
                        <w:tblGrid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  <w:gridCol w:w="185"/>
                        </w:tblGrid>
                        <w:tr>
                          <w:trPr>
                            <w:trHeight w:hRule="exact" w:val="122"/>
                          </w:trPr>
                          <w:tc>
                            <w:tcPr>
                              <w:tcW w:type="dxa" w:w="108"/>
                              <w:tcBorders>
                                <w:start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2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08"/>
                              <w:tcBorders>
                                <w:end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46"/>
                          </w:trPr>
                          <w:tc>
                            <w:tcPr>
                              <w:tcW w:type="dxa" w:w="108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6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top w:sz="10.079999923706055" w:val="single" w:color="#000000"/>
                                <w:bottom w:sz="1.2599999904632568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20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6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08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86"/>
                          </w:trPr>
                          <w:tc>
                            <w:tcPr>
                              <w:tcW w:type="dxa" w:w="3132"/>
                              <w:gridSpan w:val="19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start w:sz="10.079999923706055" w:val="single" w:color="#000000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116"/>
                              <w:gridSpan w:val="4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78"/>
                          </w:trPr>
                          <w:tc>
                            <w:tcPr>
                              <w:tcW w:type="dxa" w:w="3132"/>
                              <w:gridSpan w:val="19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116"/>
                              <w:gridSpan w:val="4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66"/>
                          </w:trPr>
                          <w:tc>
                            <w:tcPr>
                              <w:tcW w:type="dxa" w:w="3132"/>
                              <w:gridSpan w:val="19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116"/>
                              <w:gridSpan w:val="4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89"/>
                          </w:trPr>
                          <w:tc>
                            <w:tcPr>
                              <w:tcW w:type="dxa" w:w="2628"/>
                              <w:gridSpan w:val="16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start w:sz="10.079999923706055" w:val="single" w:color="#000000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start w:sz="10.079999923706055" w:val="single" w:color="#000000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116"/>
                              <w:gridSpan w:val="4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53"/>
                          </w:trPr>
                          <w:tc>
                            <w:tcPr>
                              <w:tcW w:type="dxa" w:w="108"/>
                              <w:tcBorders>
                                <w:top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top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>
                                <w:top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>
                                <w:top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>
                                <w:top w:sz="1.2599999904632568" w:val="single" w:color="#CBCBCB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top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top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top w:sz="1.2599999904632568" w:val="single" w:color="#CBCBCB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6"/>
                              <w:tcBorders>
                                <w:top w:sz="1.2599999904632568" w:val="single" w:color="#CBCBCB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top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top w:sz="1.2599999904632568" w:val="single" w:color="#CBCBCB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top w:sz="1.2599999904632568" w:val="single" w:color="#CBCBCB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top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top w:sz="1.2599999904632568" w:val="single" w:color="#CBCBCB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top w:sz="1.2599999904632568" w:val="single" w:color="#CBCBCB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top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vMerge w:val="restart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vMerge w:val="restart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vMerge w:val="restart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vMerge w:val="restart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vMerge w:val="restart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116"/>
                              <w:gridSpan w:val="4"/>
                              <w:vMerge w:val="restart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05"/>
                          </w:trPr>
                          <w:tc>
                            <w:tcPr>
                              <w:tcW w:type="dxa" w:w="108"/>
                              <w:tcBorders>
                                <w:start w:sz="10.079999923706055" w:val="single" w:color="#000000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2"/>
                              <w:tcBorders>
                                <w:top w:sz="10.079999923706055" w:val="single" w:color="#000000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start w:sz="10.079999923706055" w:val="single" w:color="#000000"/>
                                <w:top w:sz="10.079999923706055" w:val="single" w:color="#000000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6"/>
                              <w:tcBorders>
                                <w:start w:sz="10.079999923706055" w:val="single" w:color="#000000"/>
                                <w:top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top w:sz="10.079999923706055" w:val="single" w:color="#000000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start w:sz="10.079999923706055" w:val="single" w:color="#000000"/>
                                <w:top w:sz="10.079999923706055" w:val="single" w:color="#000000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start w:sz="10.079999923706055" w:val="single" w:color="#000000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start w:sz="10.079999923706055" w:val="single" w:color="#000000"/>
                                <w:top w:sz="10.079999923706055" w:val="single" w:color="#000000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start w:sz="10.079999923706055" w:val="single" w:color="#000000"/>
                                <w:top w:sz="10.079999923706055" w:val="single" w:color="#000000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start w:sz="10.079999923706055" w:val="single" w:color="#000000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5"/>
                              <w:vMerge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85"/>
                              <w:vMerge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85"/>
                              <w:vMerge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85"/>
                              <w:vMerge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85"/>
                              <w:vMerge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740"/>
                              <w:gridSpan w:val="4"/>
                              <w:vMerge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</w:tcBorders>
                            </w:tcPr>
                            <w:p/>
                          </w:tc>
                        </w:tr>
                        <w:tr>
                          <w:trPr>
                            <w:trHeight w:hRule="exact"/>
                          </w:trPr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  <w:tc>
                            <w:tcPr>
                              <w:tcW w:type="dxa" w:w="185"/>
                            </w:tcPr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type="dxa" w:w="757"/>
                        <w:vMerge/>
                        <w:tcBorders/>
                      </w:tcPr>
                      <w:p/>
                    </w:tc>
                    <w:tc>
                      <w:tcPr>
                        <w:tcW w:type="dxa" w:w="757"/>
                      </w:tcPr>
                      <w:p/>
                    </w:tc>
                    <w:tc>
                      <w:tcPr>
                        <w:tcW w:type="dxa" w:w="757"/>
                      </w:tcPr>
                      <w:p/>
                    </w:tc>
                    <w:tc>
                      <w:tcPr>
                        <w:tcW w:type="dxa" w:w="757"/>
                      </w:tcPr>
                      <w:p/>
                    </w:tc>
                    <w:tc>
                      <w:tcPr>
                        <w:tcW w:type="dxa" w:w="757"/>
                      </w:tcPr>
                      <w:p/>
                    </w:tc>
                    <w:tc>
                      <w:tcPr>
                        <w:tcW w:type="dxa" w:w="757"/>
                      </w:tcPr>
                      <w:p/>
                    </w:tc>
                    <w:tc>
                      <w:tcPr>
                        <w:tcW w:type="dxa" w:w="757"/>
                      </w:tcPr>
                      <w:p/>
                    </w:tc>
                  </w:tr>
                  <w:tr>
                    <w:tc>
                      <w:tcPr>
                        <w:tcW w:type="dxa" w:w="757"/>
                        <w:vMerge/>
                        <w:tcBorders/>
                      </w:tcPr>
                      <w:p/>
                    </w:tc>
                    <w:tc>
                      <w:tcPr>
                        <w:tcW w:type="dxa" w:w="757"/>
                      </w:tcPr>
                      <w:p/>
                    </w:tc>
                    <w:tc>
                      <w:tcPr>
                        <w:tcW w:type="dxa" w:w="757"/>
                      </w:tcPr>
                      <w:p/>
                    </w:tc>
                    <w:tc>
                      <w:tcPr>
                        <w:tcW w:type="dxa" w:w="757"/>
                      </w:tcPr>
                      <w:p/>
                    </w:tc>
                    <w:tc>
                      <w:tcPr>
                        <w:tcW w:type="dxa" w:w="757"/>
                      </w:tcPr>
                      <w:p/>
                    </w:tc>
                    <w:tc>
                      <w:tcPr>
                        <w:tcW w:type="dxa" w:w="757"/>
                      </w:tcPr>
                      <w:p/>
                    </w:tc>
                    <w:tc>
                      <w:tcPr>
                        <w:tcW w:type="dxa" w:w="757"/>
                      </w:tcPr>
                      <w:p/>
                    </w:tc>
                  </w:tr>
                </w:tbl>
                <w:p/>
              </w:tc>
            </w:tr>
          </w:tbl>
          <w:p/>
        </w:tc>
        <w:tc>
          <w:tcPr>
            <w:tcW w:type="dxa" w:w="5787"/>
          </w:tcPr>
          <w:p/>
        </w:tc>
      </w:tr>
    </w:tbl>
    <w:sectPr w:rsidR="00FC693F" w:rsidRPr="0006063C" w:rsidSect="00034616">
      <w:pgSz w:w="12240" w:h="15840"/>
      <w:pgMar w:top="322" w:right="304" w:bottom="636" w:left="3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