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.00000000000001" w:type="dxa"/>
      </w:tblPr>
      <w:tblGrid>
        <w:gridCol w:w="2313"/>
        <w:gridCol w:w="2313"/>
        <w:gridCol w:w="2313"/>
        <w:gridCol w:w="2313"/>
        <w:gridCol w:w="2313"/>
      </w:tblGrid>
      <w:tr>
        <w:trPr>
          <w:trHeight w:hRule="exact" w:val="642"/>
        </w:trPr>
        <w:tc>
          <w:tcPr>
            <w:tcW w:type="dxa" w:w="1760"/>
            <w:vMerge w:val="restart"/>
            <w:tcBorders>
              <w:bottom w:sz="4.0" w:val="single" w:color="#6E2C3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43940" cy="9448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944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0" w:after="0"/>
              <w:ind w:left="20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FFFFFF"/>
                <w:sz w:val="12"/>
              </w:rPr>
              <w:t>u2</w:t>
            </w:r>
          </w:p>
        </w:tc>
        <w:tc>
          <w:tcPr>
            <w:tcW w:type="dxa" w:w="1880"/>
            <w:vMerge w:val="restart"/>
            <w:tcBorders>
              <w:bottom w:sz="4.0" w:val="single" w:color="#6E2C3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4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1379" cy="5765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379" cy="576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0"/>
        </w:trPr>
        <w:tc>
          <w:tcPr>
            <w:tcW w:type="dxa" w:w="2313"/>
            <w:vMerge/>
            <w:tcBorders>
              <w:bottom w:sz="4.0" w:val="single" w:color="#6E2C3E"/>
            </w:tcBorders>
          </w:tcPr>
          <w:p/>
        </w:tc>
        <w:tc>
          <w:tcPr>
            <w:tcW w:type="dxa" w:w="3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32" w:right="0" w:firstLine="0"/>
              <w:jc w:val="left"/>
            </w:pPr>
            <w:r>
              <w:rPr>
                <w:w w:val="101.45454406738281"/>
                <w:rFonts w:ascii="Calibri" w:hAnsi="Calibri" w:eastAsia="Calibri"/>
                <w:b w:val="0"/>
                <w:i w:val="0"/>
                <w:color w:val="041E42"/>
                <w:sz w:val="22"/>
              </w:rPr>
              <w:t>Informe de Riesgo</w:t>
            </w:r>
          </w:p>
        </w:tc>
        <w:tc>
          <w:tcPr>
            <w:tcW w:type="dxa" w:w="4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8" w:after="0"/>
              <w:ind w:left="0" w:right="756" w:firstLine="0"/>
              <w:jc w:val="right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41E42"/>
                <w:sz w:val="14"/>
              </w:rPr>
              <w:t>09 de marzo de 2024</w:t>
            </w:r>
          </w:p>
        </w:tc>
        <w:tc>
          <w:tcPr>
            <w:tcW w:type="dxa" w:w="2313"/>
            <w:vMerge/>
            <w:tcBorders>
              <w:bottom w:sz="4.0" w:val="single" w:color="#6E2C3E"/>
            </w:tcBorders>
          </w:tcPr>
          <w:p/>
        </w:tc>
      </w:tr>
      <w:tr>
        <w:trPr>
          <w:trHeight w:hRule="exact" w:val="185"/>
        </w:trPr>
        <w:tc>
          <w:tcPr>
            <w:tcW w:type="dxa" w:w="2313"/>
            <w:vMerge/>
            <w:tcBorders>
              <w:bottom w:sz="4.0" w:val="single" w:color="#6E2C3E"/>
            </w:tcBorders>
          </w:tcPr>
          <w:p/>
        </w:tc>
        <w:tc>
          <w:tcPr>
            <w:tcW w:type="dxa" w:w="78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2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6E2C3E"/>
                <w:sz w:val="15"/>
              </w:rPr>
              <w:t>TIPS U2</w:t>
            </w:r>
            <w:r>
              <w:rPr>
                <w:w w:val="97.71428789411273"/>
                <w:rFonts w:ascii="Calibri" w:hAnsi="Calibri" w:eastAsia="Calibri"/>
                <w:b w:val="0"/>
                <w:i w:val="0"/>
                <w:color w:val="993366"/>
                <w:sz w:val="14"/>
                <w:u w:val="single"/>
              </w:rPr>
              <w:t>________________________________________________________________________________________________</w:t>
            </w:r>
          </w:p>
        </w:tc>
        <w:tc>
          <w:tcPr>
            <w:tcW w:type="dxa" w:w="2313"/>
            <w:vMerge/>
            <w:tcBorders>
              <w:bottom w:sz="4.0" w:val="single" w:color="#6E2C3E"/>
            </w:tcBorders>
          </w:tcPr>
          <w:p/>
        </w:tc>
      </w:tr>
      <w:tr>
        <w:trPr>
          <w:trHeight w:hRule="exact" w:val="195"/>
        </w:trPr>
        <w:tc>
          <w:tcPr>
            <w:tcW w:type="dxa" w:w="1760"/>
            <w:vMerge w:val="restart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5"/>
              </w:rPr>
              <w:t>Cifras en miles de UVR</w:t>
            </w:r>
          </w:p>
        </w:tc>
        <w:tc>
          <w:tcPr>
            <w:tcW w:type="dxa" w:w="3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2" w:after="0"/>
              <w:ind w:left="0" w:right="17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Edad de la emisión: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2" w:after="0"/>
              <w:ind w:left="20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76 meses</w:t>
            </w:r>
          </w:p>
        </w:tc>
        <w:tc>
          <w:tcPr>
            <w:tcW w:type="dxa" w:w="1880"/>
            <w:vMerge w:val="restart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0"/>
        </w:trPr>
        <w:tc>
          <w:tcPr>
            <w:tcW w:type="dxa" w:w="2313"/>
            <w:vMerge/>
            <w:tcBorders>
              <w:top w:sz="4.0" w:val="single" w:color="#6E2C3E"/>
            </w:tcBorders>
          </w:tcPr>
          <w:p/>
        </w:tc>
        <w:tc>
          <w:tcPr>
            <w:tcW w:type="dxa" w:w="6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17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Saldo de capital de la cartera: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24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271,853</w:t>
            </w:r>
          </w:p>
        </w:tc>
        <w:tc>
          <w:tcPr>
            <w:tcW w:type="dxa" w:w="2313"/>
            <w:vMerge/>
            <w:tcBorders>
              <w:top w:sz="4.0" w:val="single" w:color="#6E2C3E"/>
            </w:tcBorders>
          </w:tcPr>
          <w:p/>
        </w:tc>
      </w:tr>
      <w:tr>
        <w:trPr>
          <w:trHeight w:hRule="exact" w:val="198"/>
        </w:trPr>
        <w:tc>
          <w:tcPr>
            <w:tcW w:type="dxa" w:w="2313"/>
            <w:vMerge/>
            <w:tcBorders>
              <w:top w:sz="4.0" w:val="single" w:color="#6E2C3E"/>
            </w:tcBorders>
          </w:tcPr>
          <w:p/>
        </w:tc>
        <w:tc>
          <w:tcPr>
            <w:tcW w:type="dxa" w:w="6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17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Saldo en Mora&gt;120 días: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48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21,996</w:t>
            </w:r>
          </w:p>
        </w:tc>
        <w:tc>
          <w:tcPr>
            <w:tcW w:type="dxa" w:w="2313"/>
            <w:vMerge/>
            <w:tcBorders>
              <w:top w:sz="4.0" w:val="single" w:color="#6E2C3E"/>
            </w:tcBorders>
          </w:tcPr>
          <w:p/>
        </w:tc>
      </w:tr>
    </w:tbl>
    <w:p>
      <w:pPr>
        <w:autoSpaceDN w:val="0"/>
        <w:autoSpaceDE w:val="0"/>
        <w:widowControl/>
        <w:spacing w:line="197" w:lineRule="auto" w:before="24" w:after="22"/>
        <w:ind w:left="338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20"/>
        </w:rPr>
        <w:t>Saldos y cobertura 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6.0" w:type="dxa"/>
      </w:tblPr>
      <w:tblGrid>
        <w:gridCol w:w="1157"/>
        <w:gridCol w:w="1157"/>
        <w:gridCol w:w="1157"/>
        <w:gridCol w:w="1157"/>
        <w:gridCol w:w="1157"/>
        <w:gridCol w:w="1157"/>
        <w:gridCol w:w="1157"/>
        <w:gridCol w:w="1157"/>
        <w:gridCol w:w="1157"/>
        <w:gridCol w:w="1157"/>
      </w:tblGrid>
      <w:tr>
        <w:trPr>
          <w:trHeight w:hRule="exact" w:val="15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1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TIPS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Tasa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27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Saldo Inicial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21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Actual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Participación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14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Amortización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4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Cobertura Vigente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4" w:after="0"/>
              <w:ind w:left="5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231.05%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37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03366"/>
                <w:sz w:val="14"/>
                <w:u w:val="single"/>
              </w:rPr>
              <w:t>Cobeturas Externas</w:t>
            </w:r>
          </w:p>
        </w:tc>
      </w:tr>
      <w:tr>
        <w:trPr>
          <w:trHeight w:hRule="exact" w:val="2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1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A-2027: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3.19%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4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948,339.0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20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108,139.4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43.8%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59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88.6%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19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</w:t>
            </w:r>
          </w:p>
        </w:tc>
        <w:tc>
          <w:tcPr>
            <w:tcW w:type="dxa" w:w="115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6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TC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1,081</w:t>
            </w:r>
          </w:p>
        </w:tc>
      </w:tr>
      <w:tr>
        <w:trPr>
          <w:trHeight w:hRule="exact" w:val="1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B-3032: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18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5.43%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24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105,371.0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20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105,371.0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42.7%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62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9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 + B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5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117.02%</w:t>
            </w:r>
          </w:p>
        </w:tc>
        <w:tc>
          <w:tcPr>
            <w:tcW w:type="dxa" w:w="1157"/>
            <w:vMerge/>
            <w:tcBorders/>
          </w:tcPr>
          <w:p/>
        </w:tc>
        <w:tc>
          <w:tcPr>
            <w:tcW w:type="dxa" w:w="115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MZ-3032: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18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7.50%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27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20,020.5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5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20,020.5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8.1%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62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9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 + B + MZ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5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106.99%</w:t>
            </w:r>
          </w:p>
        </w:tc>
        <w:tc>
          <w:tcPr>
            <w:tcW w:type="dxa" w:w="1157"/>
            <w:vMerge/>
            <w:tcBorders/>
          </w:tcPr>
          <w:p/>
        </w:tc>
        <w:tc>
          <w:tcPr>
            <w:tcW w:type="dxa" w:w="115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C-3032: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18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8.50%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27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13,171.5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5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13,171.5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5.3%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62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9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 + B + MZ + C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5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101.28%</w:t>
            </w:r>
          </w:p>
        </w:tc>
        <w:tc>
          <w:tcPr>
            <w:tcW w:type="dxa" w:w="1157"/>
            <w:vMerge/>
            <w:tcBorders/>
          </w:tcPr>
          <w:p/>
        </w:tc>
        <w:tc>
          <w:tcPr>
            <w:tcW w:type="dxa" w:w="115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4" w:after="104"/>
        <w:ind w:left="338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20"/>
        </w:rPr>
        <w:t>Prepago________________________________________________________________________________________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082"/>
        </w:trPr>
        <w:tc>
          <w:tcPr>
            <w:tcW w:type="dxa" w:w="544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76.0" w:type="dxa"/>
            </w:tblPr>
            <w:tblGrid>
              <w:gridCol w:w="1360"/>
              <w:gridCol w:w="1360"/>
              <w:gridCol w:w="1360"/>
              <w:gridCol w:w="1360"/>
            </w:tblGrid>
            <w:tr>
              <w:trPr>
                <w:trHeight w:hRule="exact" w:val="505"/>
              </w:trPr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44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Observado </w:t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enero</w:t>
                  </w:r>
                </w:p>
              </w:tc>
              <w:tc>
                <w:tcPr>
                  <w:tcW w:type="dxa" w:w="9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Media </w:t>
                  </w:r>
                  <w:r>
                    <w:br/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móvil 12 meses</w:t>
                  </w:r>
                </w:p>
              </w:tc>
              <w:tc>
                <w:tcPr>
                  <w:tcW w:type="dxa" w:w="112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44" w:right="144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Prepago pp </w:t>
                  </w:r>
                  <w:r>
                    <w:br/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de la emisión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0" w:after="0"/>
                    <w:ind w:left="144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Escenario </w:t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valoración </w:t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marzo</w:t>
                  </w:r>
                </w:p>
              </w:tc>
            </w:tr>
            <w:tr>
              <w:trPr>
                <w:trHeight w:hRule="exact" w:val="154"/>
              </w:trPr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2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8.66%</w:t>
                  </w:r>
                </w:p>
              </w:tc>
              <w:tc>
                <w:tcPr>
                  <w:tcW w:type="dxa" w:w="9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2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9.05%</w:t>
                  </w:r>
                </w:p>
              </w:tc>
              <w:tc>
                <w:tcPr>
                  <w:tcW w:type="dxa" w:w="112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2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11.55%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2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9.08%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8.0" w:type="dxa"/>
            </w:tblPr>
            <w:tblGrid>
              <w:gridCol w:w="5440"/>
            </w:tblGrid>
            <w:tr>
              <w:trPr>
                <w:trHeight w:hRule="exact" w:val="1888"/>
              </w:trPr>
              <w:tc>
                <w:tcPr>
                  <w:tcW w:type="dxa" w:w="4194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048"/>
                    <w:gridCol w:w="1048"/>
                    <w:gridCol w:w="1048"/>
                    <w:gridCol w:w="1048"/>
                  </w:tblGrid>
                  <w:tr>
                    <w:trPr>
                      <w:trHeight w:hRule="exact" w:val="1576"/>
                    </w:trPr>
                    <w:tc>
                      <w:tcPr>
                        <w:tcW w:type="dxa" w:w="3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4" w:lineRule="exact" w:before="108" w:after="0"/>
                          <w:ind w:left="0" w:right="40" w:firstLine="0"/>
                          <w:jc w:val="righ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100%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80%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60%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40%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20%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0%</w:t>
                        </w:r>
                      </w:p>
                    </w:tc>
                    <w:tc>
                      <w:tcPr>
                        <w:tcW w:type="dxa" w:w="3780"/>
                        <w:gridSpan w:val="3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32" w:after="0"/>
                          <w:ind w:left="1008" w:right="1296" w:firstLine="0"/>
                          <w:jc w:val="center"/>
                        </w:pPr>
                        <w:r>
                          <w:rPr>
                            <w:w w:val="102.8000036875407"/>
                            <w:rFonts w:ascii="Arial" w:hAnsi="Arial" w:eastAsia="Arial"/>
                            <w:b/>
                            <w:i w:val="0"/>
                            <w:color w:val="003366"/>
                            <w:sz w:val="12"/>
                          </w:rPr>
                          <w:t xml:space="preserve">Amortización de capital </w:t>
                        </w:r>
                        <w:r>
                          <w:br/>
                        </w:r>
                        <w:r>
                          <w:rPr>
                            <w:w w:val="102.8000036875407"/>
                            <w:rFonts w:ascii="Arial" w:hAnsi="Arial" w:eastAsia="Arial"/>
                            <w:b/>
                            <w:i w:val="0"/>
                            <w:color w:val="003366"/>
                            <w:sz w:val="12"/>
                          </w:rPr>
                          <w:t>acumulado de la cartera</w:t>
                        </w: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44.00000000000006" w:type="dxa"/>
                        </w:tblPr>
                        <w:tblGrid>
                          <w:gridCol w:w="420"/>
                          <w:gridCol w:w="420"/>
                          <w:gridCol w:w="420"/>
                          <w:gridCol w:w="420"/>
                          <w:gridCol w:w="420"/>
                          <w:gridCol w:w="420"/>
                          <w:gridCol w:w="420"/>
                          <w:gridCol w:w="420"/>
                          <w:gridCol w:w="420"/>
                        </w:tblGrid>
                        <w:tr>
                          <w:trPr>
                            <w:trHeight w:hRule="exact" w:val="274"/>
                          </w:trPr>
                          <w:tc>
                            <w:tcPr>
                              <w:tcW w:type="dxa" w:w="256"/>
                              <w:tcBorders>
                                <w:start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3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32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3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58"/>
                          </w:trPr>
                          <w:tc>
                            <w:tcPr>
                              <w:tcW w:type="dxa" w:w="25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3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32"/>
                              <w:tcBorders>
                                <w:top w:sz="9.920000076293945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32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376"/>
                          </w:trPr>
                          <w:tc>
                            <w:tcPr>
                              <w:tcW w:type="dxa" w:w="256"/>
                              <w:tcBorders>
                                <w:start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32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6"/>
                              <w:tcBorders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32"/>
                              <w:tcBorders>
                                <w:start w:sz="9.920000076293945" w:val="single" w:color="#000000"/>
                                <w:end w:sz="9.920000076293945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6"/>
                              <w:tcBorders>
                                <w:start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6"/>
                              <w:tcBorders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32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6"/>
                              <w:tcBorders>
                                <w:start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540"/>
                          </w:trPr>
                          <w:tc>
                            <w:tcPr>
                              <w:tcW w:type="dxa" w:w="256"/>
                              <w:tcBorders>
                                <w:start w:sz="1.2400000095367432" w:val="single" w:color="#000000"/>
                                <w:end w:sz="9.920000076293945" w:val="single" w:color="#000000"/>
                                <w:bottom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32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1.2400000095367432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6" w:lineRule="exact" w:before="200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10"/>
                                </w:rPr>
                                <w:t>44.19%</w:t>
                              </w:r>
                            </w:p>
                          </w:tc>
                          <w:tc>
                            <w:tcPr>
                              <w:tcW w:type="dxa" w:w="256"/>
                              <w:tcBorders>
                                <w:start w:sz="9.920000076293945" w:val="single" w:color="#000000"/>
                                <w:bottom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6"/>
                              <w:tcBorders>
                                <w:end w:sz="9.920000076293945" w:val="single" w:color="#000000"/>
                                <w:bottom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32"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1.2400000095367432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6" w:lineRule="exact" w:before="0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10"/>
                                </w:rPr>
                                <w:t>78.55%</w:t>
                              </w:r>
                            </w:p>
                          </w:tc>
                          <w:tc>
                            <w:tcPr>
                              <w:tcW w:type="dxa" w:w="256"/>
                              <w:tcBorders>
                                <w:start w:sz="9.920000076293945" w:val="single" w:color="#000000"/>
                                <w:bottom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6"/>
                              <w:tcBorders>
                                <w:end w:sz="9.920000076293945" w:val="single" w:color="#000000"/>
                                <w:bottom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32"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1.2400000095367432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6" w:lineRule="exact" w:before="24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10"/>
                                </w:rPr>
                                <w:t>73.97%</w:t>
                              </w:r>
                            </w:p>
                          </w:tc>
                          <w:tc>
                            <w:tcPr>
                              <w:tcW w:type="dxa" w:w="256"/>
                              <w:tcBorders>
                                <w:start w:sz="9.920000076293945" w:val="single" w:color="#000000"/>
                                <w:bottom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240"/>
                    </w:trPr>
                    <w:tc>
                      <w:tcPr>
                        <w:tcW w:type="dxa" w:w="1048"/>
                        <w:vMerge/>
                        <w:tcBorders/>
                      </w:tcPr>
                      <w:p/>
                    </w:tc>
                    <w:tc>
                      <w:tcPr>
                        <w:tcW w:type="dxa" w:w="1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0" w:lineRule="exact" w:before="44" w:after="0"/>
                          <w:ind w:left="0" w:right="306" w:firstLine="0"/>
                          <w:jc w:val="right"/>
                        </w:pPr>
                        <w:r>
                          <w:rPr>
                            <w:w w:val="103.1999985376993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2"/>
                          </w:rPr>
                          <w:t>Teórico</w:t>
                        </w:r>
                      </w:p>
                    </w:tc>
                    <w:tc>
                      <w:tcPr>
                        <w:tcW w:type="dxa" w:w="13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0" w:lineRule="exact" w:before="44" w:after="0"/>
                          <w:ind w:left="338" w:right="0" w:firstLine="0"/>
                          <w:jc w:val="left"/>
                        </w:pPr>
                        <w:r>
                          <w:rPr>
                            <w:w w:val="103.1999985376993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2"/>
                          </w:rPr>
                          <w:t>Prepago Base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0" w:lineRule="exact" w:before="44" w:after="0"/>
                          <w:ind w:left="0" w:right="0" w:firstLine="0"/>
                          <w:jc w:val="center"/>
                        </w:pPr>
                        <w:r>
                          <w:rPr>
                            <w:w w:val="103.1999985376993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2"/>
                          </w:rPr>
                          <w:t>Observado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0" w:after="0"/>
              <w:ind w:left="17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>Mora observada_______________________________</w:t>
            </w:r>
          </w:p>
          <w:p>
            <w:pPr>
              <w:autoSpaceDN w:val="0"/>
              <w:autoSpaceDE w:val="0"/>
              <w:widowControl/>
              <w:spacing w:line="196" w:lineRule="exact" w:before="82" w:after="0"/>
              <w:ind w:left="0" w:right="1696" w:firstLine="0"/>
              <w:jc w:val="right"/>
            </w:pPr>
            <w:r>
              <w:rPr>
                <w:w w:val="101.82856832231795"/>
                <w:rFonts w:ascii="Arial" w:hAnsi="Arial" w:eastAsia="Arial"/>
                <w:b/>
                <w:i w:val="0"/>
                <w:color w:val="003366"/>
                <w:sz w:val="14"/>
              </w:rPr>
              <w:t>Mora 120 días/ saldo inicial</w:t>
            </w:r>
          </w:p>
          <w:p>
            <w:pPr>
              <w:autoSpaceDN w:val="0"/>
              <w:autoSpaceDE w:val="0"/>
              <w:widowControl/>
              <w:spacing w:line="170" w:lineRule="exact" w:before="0" w:after="0"/>
              <w:ind w:left="300" w:right="0" w:firstLine="0"/>
              <w:jc w:val="left"/>
            </w:pPr>
            <w:r>
              <w:rPr>
                <w:w w:val="103.19999853769939"/>
                <w:rFonts w:ascii="ArialMT" w:hAnsi="ArialMT" w:eastAsia="ArialMT"/>
                <w:b w:val="0"/>
                <w:i w:val="0"/>
                <w:color w:val="000000"/>
                <w:sz w:val="12"/>
              </w:rPr>
              <w:t>4.5%</w:t>
            </w:r>
          </w:p>
          <w:p>
            <w:pPr>
              <w:autoSpaceDN w:val="0"/>
              <w:autoSpaceDE w:val="0"/>
              <w:widowControl/>
              <w:spacing w:line="170" w:lineRule="exact" w:before="784" w:after="0"/>
              <w:ind w:left="300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2.0%</w:t>
            </w:r>
          </w:p>
          <w:p>
            <w:pPr>
              <w:autoSpaceDN w:val="0"/>
              <w:autoSpaceDE w:val="0"/>
              <w:widowControl/>
              <w:spacing w:line="170" w:lineRule="exact" w:before="22" w:after="0"/>
              <w:ind w:left="300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1.5%</w:t>
            </w:r>
          </w:p>
          <w:p>
            <w:pPr>
              <w:autoSpaceDN w:val="0"/>
              <w:autoSpaceDE w:val="0"/>
              <w:widowControl/>
              <w:spacing w:line="170" w:lineRule="exact" w:before="20" w:after="0"/>
              <w:ind w:left="300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1.0%</w:t>
            </w:r>
          </w:p>
          <w:p>
            <w:pPr>
              <w:autoSpaceDN w:val="0"/>
              <w:autoSpaceDE w:val="0"/>
              <w:widowControl/>
              <w:spacing w:line="170" w:lineRule="exact" w:before="20" w:after="0"/>
              <w:ind w:left="300" w:right="0" w:firstLine="0"/>
              <w:jc w:val="left"/>
            </w:pPr>
            <w:r>
              <w:rPr>
                <w:w w:val="103.19999853769939"/>
                <w:rFonts w:ascii="ArialMT" w:hAnsi="ArialMT" w:eastAsia="ArialMT"/>
                <w:b w:val="0"/>
                <w:i w:val="0"/>
                <w:color w:val="000000"/>
                <w:sz w:val="12"/>
              </w:rPr>
              <w:t>0.5%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882900" cy="11303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1130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70" w:lineRule="exact" w:before="0" w:after="0"/>
              <w:ind w:left="300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4.0%</w:t>
            </w:r>
          </w:p>
          <w:p>
            <w:pPr>
              <w:autoSpaceDN w:val="0"/>
              <w:autoSpaceDE w:val="0"/>
              <w:widowControl/>
              <w:spacing w:line="170" w:lineRule="exact" w:before="20" w:after="0"/>
              <w:ind w:left="300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3.5%</w:t>
            </w:r>
          </w:p>
          <w:p>
            <w:pPr>
              <w:autoSpaceDN w:val="0"/>
              <w:autoSpaceDE w:val="0"/>
              <w:widowControl/>
              <w:spacing w:line="168" w:lineRule="exact" w:before="22" w:after="0"/>
              <w:ind w:left="300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3.0%</w:t>
            </w:r>
          </w:p>
          <w:p>
            <w:pPr>
              <w:autoSpaceDN w:val="0"/>
              <w:autoSpaceDE w:val="0"/>
              <w:widowControl/>
              <w:spacing w:line="170" w:lineRule="exact" w:before="22" w:after="0"/>
              <w:ind w:left="300" w:right="0" w:firstLine="0"/>
              <w:jc w:val="left"/>
            </w:pPr>
            <w:r>
              <w:rPr>
                <w:w w:val="103.19999853769939"/>
                <w:rFonts w:ascii="ArialMT" w:hAnsi="ArialMT" w:eastAsia="ArialMT"/>
                <w:b w:val="0"/>
                <w:i w:val="0"/>
                <w:color w:val="000000"/>
                <w:sz w:val="12"/>
              </w:rPr>
              <w:t>2.5%</w:t>
            </w:r>
          </w:p>
          <w:p>
            <w:pPr>
              <w:autoSpaceDN w:val="0"/>
              <w:tabs>
                <w:tab w:pos="1312" w:val="left"/>
                <w:tab w:pos="2036" w:val="left"/>
                <w:tab w:pos="2796" w:val="left"/>
                <w:tab w:pos="3524" w:val="left"/>
                <w:tab w:pos="4282" w:val="left"/>
                <w:tab w:pos="5004" w:val="left"/>
              </w:tabs>
              <w:autoSpaceDE w:val="0"/>
              <w:widowControl/>
              <w:spacing w:line="140" w:lineRule="exact" w:before="922" w:after="0"/>
              <w:ind w:left="550" w:right="0" w:firstLine="0"/>
              <w:jc w:val="left"/>
            </w:pP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nov17 </w:t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dic18 </w:t>
            </w:r>
            <w:r>
              <w:tab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ene20 </w:t>
            </w:r>
            <w:r>
              <w:tab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feb21 </w:t>
            </w:r>
            <w:r>
              <w:tab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mar22 </w:t>
            </w:r>
            <w:r>
              <w:tab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abr23 </w:t>
            </w:r>
            <w:r>
              <w:tab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>may24</w:t>
            </w:r>
          </w:p>
        </w:tc>
        <w:tc>
          <w:tcPr>
            <w:tcW w:type="dxa" w:w="588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30" w:after="0"/>
              <w:ind w:left="0" w:right="272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3366"/>
                <w:sz w:val="10"/>
              </w:rPr>
              <w:t>Evolución del prepago</w:t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1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30.0%</w:t>
            </w:r>
          </w:p>
          <w:p>
            <w:pPr>
              <w:autoSpaceDN w:val="0"/>
              <w:autoSpaceDE w:val="0"/>
              <w:widowControl/>
              <w:spacing w:line="166" w:lineRule="exact" w:before="536" w:after="0"/>
              <w:ind w:left="1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15.0%</w:t>
            </w:r>
          </w:p>
          <w:p>
            <w:pPr>
              <w:autoSpaceDN w:val="0"/>
              <w:autoSpaceDE w:val="0"/>
              <w:widowControl/>
              <w:spacing w:line="166" w:lineRule="exact" w:before="68" w:after="0"/>
              <w:ind w:left="1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10.0%</w:t>
            </w:r>
          </w:p>
          <w:p>
            <w:pPr>
              <w:autoSpaceDN w:val="0"/>
              <w:autoSpaceDE w:val="0"/>
              <w:widowControl/>
              <w:spacing w:line="164" w:lineRule="exact" w:before="70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5.0%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3009900" cy="9271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927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66" w:lineRule="exact" w:before="0" w:after="0"/>
              <w:ind w:left="1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25.0%</w:t>
            </w:r>
          </w:p>
          <w:p>
            <w:pPr>
              <w:autoSpaceDN w:val="0"/>
              <w:autoSpaceDE w:val="0"/>
              <w:widowControl/>
              <w:spacing w:line="166" w:lineRule="exact" w:before="68" w:after="0"/>
              <w:ind w:left="1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20.0%</w:t>
            </w:r>
          </w:p>
          <w:p>
            <w:pPr>
              <w:autoSpaceDN w:val="0"/>
              <w:tabs>
                <w:tab w:pos="1244" w:val="left"/>
                <w:tab w:pos="2002" w:val="left"/>
                <w:tab w:pos="2802" w:val="left"/>
                <w:tab w:pos="3556" w:val="left"/>
                <w:tab w:pos="4354" w:val="left"/>
                <w:tab w:pos="5108" w:val="left"/>
              </w:tabs>
              <w:autoSpaceDE w:val="0"/>
              <w:widowControl/>
              <w:spacing w:line="164" w:lineRule="exact" w:before="916" w:after="0"/>
              <w:ind w:left="4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nov17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dic18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ene20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feb21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mar22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abr23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may24</w:t>
            </w:r>
          </w:p>
        </w:tc>
      </w:tr>
      <w:tr>
        <w:trPr>
          <w:trHeight w:hRule="exact" w:val="380"/>
        </w:trPr>
        <w:tc>
          <w:tcPr>
            <w:tcW w:type="dxa" w:w="3615"/>
            <w:gridSpan w:val="5"/>
            <w:vMerge/>
            <w:tcBorders/>
          </w:tcPr>
          <w:p/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381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42" w:after="0"/>
              <w:ind w:left="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Observado</w:t>
            </w:r>
          </w:p>
        </w:tc>
        <w:tc>
          <w:tcPr>
            <w:tcW w:type="dxa" w:w="1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42" w:after="0"/>
              <w:ind w:left="2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Media Móvil 12 meses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42" w:after="0"/>
              <w:ind w:left="0" w:right="1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Prepago 6%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42" w:after="0"/>
              <w:ind w:left="0" w:right="4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Prepago 10%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42" w:after="0"/>
              <w:ind w:left="0" w:right="8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Prepago 14%</w:t>
            </w:r>
          </w:p>
        </w:tc>
        <w:tc>
          <w:tcPr>
            <w:tcW w:type="dxa" w:w="12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42" w:after="0"/>
              <w:ind w:left="3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Prepago 20%</w:t>
            </w:r>
          </w:p>
        </w:tc>
      </w:tr>
      <w:tr>
        <w:trPr>
          <w:trHeight w:hRule="exact" w:val="780"/>
        </w:trPr>
        <w:tc>
          <w:tcPr>
            <w:tcW w:type="dxa" w:w="3615"/>
            <w:gridSpan w:val="5"/>
            <w:vMerge/>
            <w:tcBorders/>
          </w:tcPr>
          <w:p/>
        </w:tc>
        <w:tc>
          <w:tcPr>
            <w:tcW w:type="dxa" w:w="588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142" w:after="0"/>
              <w:ind w:left="130" w:right="144" w:firstLine="1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 xml:space="preserve">Escenarios de Estrés______________________________ </w:t>
            </w:r>
            <w:r>
              <w:br/>
            </w:r>
            <w:r>
              <w:rPr>
                <w:w w:val="98.4000015258789"/>
                <w:rFonts w:ascii="Calibri" w:hAnsi="Calibri" w:eastAsia="Calibri"/>
                <w:b w:val="0"/>
                <w:i w:val="0"/>
                <w:color w:val="041E42"/>
                <w:sz w:val="10"/>
              </w:rPr>
              <w:t xml:space="preserve">% de amortización de capital proyectado  para diferentes escenarios de estrés  de prepago -CPR 10 %, 20 % o la Media Movil (MM) de los </w:t>
            </w:r>
          </w:p>
          <w:p>
            <w:pPr>
              <w:autoSpaceDN w:val="0"/>
              <w:autoSpaceDE w:val="0"/>
              <w:widowControl/>
              <w:spacing w:line="199" w:lineRule="auto" w:before="36" w:after="0"/>
              <w:ind w:left="130" w:right="0" w:firstLine="0"/>
              <w:jc w:val="left"/>
            </w:pPr>
            <w:r>
              <w:rPr>
                <w:w w:val="98.4000015258789"/>
                <w:rFonts w:ascii="Calibri" w:hAnsi="Calibri" w:eastAsia="Calibri"/>
                <w:b w:val="0"/>
                <w:i w:val="0"/>
                <w:color w:val="041E42"/>
                <w:sz w:val="10"/>
              </w:rPr>
              <w:t>últimos 12 meses- y mora 1, 1,5 o 5 veces la curva proyectada</w:t>
            </w:r>
          </w:p>
        </w:tc>
      </w:tr>
      <w:tr>
        <w:trPr>
          <w:trHeight w:hRule="exact" w:val="160"/>
        </w:trPr>
        <w:tc>
          <w:tcPr>
            <w:tcW w:type="dxa" w:w="3615"/>
            <w:gridSpan w:val="5"/>
            <w:vMerge/>
            <w:tcBorders/>
          </w:tcPr>
          <w:p/>
        </w:tc>
        <w:tc>
          <w:tcPr>
            <w:tcW w:type="dxa" w:w="1062"/>
            <w:gridSpan w:val="3"/>
            <w:vMerge w:val="restart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2" w:after="0"/>
              <w:ind w:left="0" w:right="19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Prepago</w:t>
            </w:r>
          </w:p>
        </w:tc>
        <w:tc>
          <w:tcPr>
            <w:tcW w:type="dxa" w:w="998"/>
            <w:vMerge w:val="restart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Mora</w:t>
            </w:r>
          </w:p>
        </w:tc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2" w:after="0"/>
              <w:ind w:left="0" w:right="56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</w:t>
            </w:r>
          </w:p>
        </w:tc>
        <w:tc>
          <w:tcPr>
            <w:tcW w:type="dxa" w:w="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2" w:after="0"/>
              <w:ind w:left="0" w:right="51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B</w:t>
            </w:r>
          </w:p>
        </w:tc>
        <w:tc>
          <w:tcPr>
            <w:tcW w:type="dxa" w:w="4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2" w:after="0"/>
              <w:ind w:left="10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MZ</w:t>
            </w:r>
          </w:p>
        </w:tc>
        <w:tc>
          <w:tcPr>
            <w:tcW w:type="dxa" w:w="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2" w:after="0"/>
              <w:ind w:left="0" w:right="8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</w:t>
            </w:r>
          </w:p>
        </w:tc>
        <w:tc>
          <w:tcPr>
            <w:tcW w:type="dxa" w:w="12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296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  <w:u w:val="single"/>
              </w:rPr>
              <w:t xml:space="preserve">Residual Miles de </w:t>
            </w:r>
          </w:p>
        </w:tc>
      </w:tr>
      <w:tr>
        <w:trPr>
          <w:trHeight w:hRule="exact" w:val="180"/>
        </w:trPr>
        <w:tc>
          <w:tcPr>
            <w:tcW w:type="dxa" w:w="3615"/>
            <w:gridSpan w:val="5"/>
            <w:vMerge/>
            <w:tcBorders/>
          </w:tcPr>
          <w:p/>
        </w:tc>
        <w:tc>
          <w:tcPr>
            <w:tcW w:type="dxa" w:w="2169"/>
            <w:gridSpan w:val="3"/>
            <w:vMerge/>
            <w:tcBorders>
              <w:end w:sz="7.440000057220459" w:val="single" w:color="#FF00FF"/>
            </w:tcBorders>
          </w:tcPr>
          <w:p/>
        </w:tc>
        <w:tc>
          <w:tcPr>
            <w:tcW w:type="dxa" w:w="723"/>
            <w:vMerge/>
            <w:tcBorders>
              <w:start w:sz="7.440000057220459" w:val="single" w:color="#FF00FF"/>
            </w:tcBorders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12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412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  <w:u w:val="single"/>
              </w:rPr>
              <w:t>UVR</w:t>
            </w:r>
          </w:p>
        </w:tc>
      </w:tr>
      <w:tr>
        <w:trPr>
          <w:trHeight w:hRule="exact" w:val="200"/>
        </w:trPr>
        <w:tc>
          <w:tcPr>
            <w:tcW w:type="dxa" w:w="3615"/>
            <w:gridSpan w:val="5"/>
            <w:vMerge/>
            <w:tcBorders/>
          </w:tcPr>
          <w:p/>
        </w:tc>
        <w:tc>
          <w:tcPr>
            <w:tcW w:type="dxa" w:w="1062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10%</w:t>
            </w:r>
          </w:p>
        </w:tc>
        <w:tc>
          <w:tcPr>
            <w:tcW w:type="dxa" w:w="998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1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0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3,819</w:t>
            </w:r>
          </w:p>
        </w:tc>
      </w:tr>
      <w:tr>
        <w:trPr>
          <w:trHeight w:hRule="exact" w:val="180"/>
        </w:trPr>
        <w:tc>
          <w:tcPr>
            <w:tcW w:type="dxa" w:w="3615"/>
            <w:gridSpan w:val="5"/>
            <w:vMerge/>
            <w:tcBorders/>
          </w:tcPr>
          <w:p/>
        </w:tc>
        <w:tc>
          <w:tcPr>
            <w:tcW w:type="dxa" w:w="1062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2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20%</w:t>
            </w:r>
          </w:p>
        </w:tc>
        <w:tc>
          <w:tcPr>
            <w:tcW w:type="dxa" w:w="998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1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0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5,492</w:t>
            </w:r>
          </w:p>
        </w:tc>
      </w:tr>
      <w:tr>
        <w:trPr>
          <w:trHeight w:hRule="exact" w:val="180"/>
        </w:trPr>
        <w:tc>
          <w:tcPr>
            <w:tcW w:type="dxa" w:w="3615"/>
            <w:gridSpan w:val="5"/>
            <w:vMerge/>
            <w:tcBorders/>
          </w:tcPr>
          <w:p/>
        </w:tc>
        <w:tc>
          <w:tcPr>
            <w:tcW w:type="dxa" w:w="1062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2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MM</w:t>
            </w:r>
          </w:p>
        </w:tc>
        <w:tc>
          <w:tcPr>
            <w:tcW w:type="dxa" w:w="998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1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0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3,674</w:t>
            </w:r>
          </w:p>
        </w:tc>
      </w:tr>
      <w:tr>
        <w:trPr>
          <w:trHeight w:hRule="exact" w:val="180"/>
        </w:trPr>
        <w:tc>
          <w:tcPr>
            <w:tcW w:type="dxa" w:w="3615"/>
            <w:gridSpan w:val="5"/>
            <w:vMerge/>
            <w:tcBorders/>
          </w:tcPr>
          <w:p/>
        </w:tc>
        <w:tc>
          <w:tcPr>
            <w:tcW w:type="dxa" w:w="1062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2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10%</w:t>
            </w:r>
          </w:p>
        </w:tc>
        <w:tc>
          <w:tcPr>
            <w:tcW w:type="dxa" w:w="998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1.5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1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0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2,197</w:t>
            </w:r>
          </w:p>
        </w:tc>
      </w:tr>
      <w:tr>
        <w:trPr>
          <w:trHeight w:hRule="exact" w:val="180"/>
        </w:trPr>
        <w:tc>
          <w:tcPr>
            <w:tcW w:type="dxa" w:w="3615"/>
            <w:gridSpan w:val="5"/>
            <w:vMerge/>
            <w:tcBorders/>
          </w:tcPr>
          <w:p/>
        </w:tc>
        <w:tc>
          <w:tcPr>
            <w:tcW w:type="dxa" w:w="1062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2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20%</w:t>
            </w:r>
          </w:p>
        </w:tc>
        <w:tc>
          <w:tcPr>
            <w:tcW w:type="dxa" w:w="998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1.5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1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0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3,999</w:t>
            </w:r>
          </w:p>
        </w:tc>
      </w:tr>
      <w:tr>
        <w:trPr>
          <w:trHeight w:hRule="exact" w:val="180"/>
        </w:trPr>
        <w:tc>
          <w:tcPr>
            <w:tcW w:type="dxa" w:w="3615"/>
            <w:gridSpan w:val="5"/>
            <w:vMerge/>
            <w:tcBorders/>
          </w:tcPr>
          <w:p/>
        </w:tc>
        <w:tc>
          <w:tcPr>
            <w:tcW w:type="dxa" w:w="1062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2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MM</w:t>
            </w:r>
          </w:p>
        </w:tc>
        <w:tc>
          <w:tcPr>
            <w:tcW w:type="dxa" w:w="998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1.5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1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0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1,947</w:t>
            </w:r>
          </w:p>
        </w:tc>
      </w:tr>
      <w:tr>
        <w:trPr>
          <w:trHeight w:hRule="exact" w:val="180"/>
        </w:trPr>
        <w:tc>
          <w:tcPr>
            <w:tcW w:type="dxa" w:w="3615"/>
            <w:gridSpan w:val="5"/>
            <w:vMerge/>
            <w:tcBorders/>
          </w:tcPr>
          <w:p/>
        </w:tc>
        <w:tc>
          <w:tcPr>
            <w:tcW w:type="dxa" w:w="1062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2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10%</w:t>
            </w:r>
          </w:p>
        </w:tc>
        <w:tc>
          <w:tcPr>
            <w:tcW w:type="dxa" w:w="998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5.0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1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0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84%</w:t>
            </w:r>
          </w:p>
        </w:tc>
        <w:tc>
          <w:tcPr>
            <w:tcW w:type="dxa" w:w="12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</w:tr>
      <w:tr>
        <w:trPr>
          <w:trHeight w:hRule="exact" w:val="140"/>
        </w:trPr>
        <w:tc>
          <w:tcPr>
            <w:tcW w:type="dxa" w:w="3615"/>
            <w:gridSpan w:val="5"/>
            <w:vMerge/>
            <w:tcBorders/>
          </w:tcPr>
          <w:p/>
        </w:tc>
        <w:tc>
          <w:tcPr>
            <w:tcW w:type="dxa" w:w="1062"/>
            <w:gridSpan w:val="3"/>
            <w:vMerge w:val="restart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2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20%</w:t>
            </w:r>
          </w:p>
        </w:tc>
        <w:tc>
          <w:tcPr>
            <w:tcW w:type="dxa" w:w="998"/>
            <w:vMerge w:val="restart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5.0</w:t>
            </w:r>
          </w:p>
        </w:tc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1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0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4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9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</w:tr>
      <w:tr>
        <w:trPr>
          <w:trHeight w:hRule="exact" w:val="48"/>
        </w:trPr>
        <w:tc>
          <w:tcPr>
            <w:tcW w:type="dxa" w:w="2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30" w:after="0"/>
              <w:ind w:left="0" w:right="210" w:firstLine="0"/>
              <w:jc w:val="right"/>
            </w:pPr>
            <w:r>
              <w:rPr>
                <w:w w:val="95.31428473336356"/>
                <w:rFonts w:ascii="ArialMT" w:hAnsi="ArialMT" w:eastAsia="ArialMT"/>
                <w:b w:val="0"/>
                <w:i w:val="0"/>
                <w:color w:val="000000"/>
                <w:sz w:val="7"/>
              </w:rPr>
              <w:t>P 2.5%</w:t>
            </w:r>
          </w:p>
        </w:tc>
        <w:tc>
          <w:tcPr>
            <w:tcW w:type="dxa" w:w="5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30" w:after="0"/>
              <w:ind w:left="0" w:right="76" w:firstLine="0"/>
              <w:jc w:val="right"/>
            </w:pPr>
            <w:r>
              <w:rPr>
                <w:w w:val="95.31428473336356"/>
                <w:rFonts w:ascii="ArialMT" w:hAnsi="ArialMT" w:eastAsia="ArialMT"/>
                <w:b w:val="0"/>
                <w:i w:val="0"/>
                <w:color w:val="000000"/>
                <w:sz w:val="7"/>
              </w:rPr>
              <w:t>P 50%</w:t>
            </w:r>
          </w:p>
        </w:tc>
        <w:tc>
          <w:tcPr>
            <w:tcW w:type="dxa" w:w="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38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30" w:after="0"/>
              <w:ind w:left="2" w:right="0" w:firstLine="0"/>
              <w:jc w:val="left"/>
            </w:pPr>
            <w:r>
              <w:rPr>
                <w:w w:val="95.31428473336356"/>
                <w:rFonts w:ascii="ArialMT" w:hAnsi="ArialMT" w:eastAsia="ArialMT"/>
                <w:b w:val="0"/>
                <w:i w:val="0"/>
                <w:color w:val="000000"/>
                <w:sz w:val="7"/>
              </w:rPr>
              <w:t>Observado</w:t>
            </w:r>
          </w:p>
        </w:tc>
        <w:tc>
          <w:tcPr>
            <w:tcW w:type="dxa" w:w="1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30" w:after="0"/>
              <w:ind w:left="244" w:right="0" w:firstLine="0"/>
              <w:jc w:val="left"/>
            </w:pPr>
            <w:r>
              <w:rPr>
                <w:w w:val="95.31428473336356"/>
                <w:rFonts w:ascii="ArialMT" w:hAnsi="ArialMT" w:eastAsia="ArialMT"/>
                <w:b w:val="0"/>
                <w:i w:val="0"/>
                <w:color w:val="000000"/>
                <w:sz w:val="7"/>
              </w:rPr>
              <w:t>P 97.5%</w:t>
            </w:r>
          </w:p>
        </w:tc>
        <w:tc>
          <w:tcPr>
            <w:tcW w:type="dxa" w:w="2169"/>
            <w:gridSpan w:val="3"/>
            <w:vMerge/>
            <w:tcBorders>
              <w:end w:sz="7.440000057220459" w:val="single" w:color="#FF00FF"/>
            </w:tcBorders>
          </w:tcPr>
          <w:p/>
        </w:tc>
        <w:tc>
          <w:tcPr>
            <w:tcW w:type="dxa" w:w="723"/>
            <w:vMerge/>
            <w:tcBorders>
              <w:start w:sz="7.440000057220459" w:val="single" w:color="#FF00FF"/>
            </w:tcBorders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2169"/>
            <w:gridSpan w:val="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1062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2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MM</w:t>
            </w:r>
          </w:p>
        </w:tc>
        <w:tc>
          <w:tcPr>
            <w:tcW w:type="dxa" w:w="998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5.0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11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10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82%</w:t>
            </w:r>
          </w:p>
        </w:tc>
        <w:tc>
          <w:tcPr>
            <w:tcW w:type="dxa" w:w="12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17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</w:tr>
      <w:tr>
        <w:trPr>
          <w:trHeight w:hRule="exact" w:val="94"/>
        </w:trPr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5880"/>
            <w:gridSpan w:val="11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82" w:after="0"/>
              <w:ind w:left="13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3366"/>
                <w:sz w:val="15"/>
              </w:rPr>
              <w:t>Notas:</w:t>
            </w:r>
            <w:r>
              <w:br/>
            </w: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* % Cobertura Vigente : Saldo de capital de la cartera con mora inferior a 120 días dividido por el saldo de los TIPS en la fecha de liquidación.</w:t>
            </w:r>
          </w:p>
        </w:tc>
      </w:tr>
      <w:tr>
        <w:trPr>
          <w:trHeight w:hRule="exact" w:val="314"/>
        </w:trPr>
        <w:tc>
          <w:tcPr>
            <w:tcW w:type="dxa" w:w="54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74.0" w:type="dxa"/>
            </w:tblPr>
            <w:tblGrid>
              <w:gridCol w:w="5440"/>
            </w:tblGrid>
            <w:tr>
              <w:trPr>
                <w:trHeight w:hRule="exact" w:val="150"/>
              </w:trPr>
              <w:tc>
                <w:tcPr>
                  <w:tcW w:type="dxa" w:w="2942"/>
                  <w:tcBorders>
                    <w:start w:sz="9.600000000000023" w:val="single" w:color="#000000"/>
                    <w:top w:sz="9.599999999999909" w:val="single" w:color="#000000"/>
                    <w:end w:sz="9.600000000000136" w:val="single" w:color="#000000"/>
                    <w:bottom w:sz="9.599999999999909" w:val="single" w:color="#000000"/>
                  </w:tcBorders>
                  <w:shd w:fill="b4b4b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234061"/>
                      <w:sz w:val="15"/>
                    </w:rPr>
                    <w:t>Mora observada ene: 2.00%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53"/>
            <w:gridSpan w:val="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00" w:lineRule="exact" w:before="48" w:after="76"/>
        <w:ind w:left="0" w:right="2742" w:firstLine="0"/>
        <w:jc w:val="right"/>
      </w:pPr>
      <w:r>
        <w:rPr>
          <w:w w:val="96.00000381469727"/>
          <w:rFonts w:ascii="ArialMT" w:hAnsi="ArialMT" w:eastAsia="ArialMT"/>
          <w:b w:val="0"/>
          <w:i w:val="0"/>
          <w:color w:val="000000"/>
          <w:sz w:val="9"/>
        </w:rPr>
        <w:t>►</w:t>
      </w:r>
      <w:r>
        <w:rPr>
          <w:w w:val="96.00000381469727"/>
          <w:rFonts w:ascii="Calibri" w:hAnsi="Calibri" w:eastAsia="Calibri"/>
          <w:b w:val="0"/>
          <w:i w:val="0"/>
          <w:color w:val="000000"/>
          <w:sz w:val="9"/>
        </w:rPr>
        <w:t xml:space="preserve">  * % Coberturas Externas : Saldo del Mecanismo de Cobertura Parcial de los títulos 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6.0" w:type="dxa"/>
      </w:tblPr>
      <w:tblGrid>
        <w:gridCol w:w="5783"/>
        <w:gridCol w:w="5783"/>
      </w:tblGrid>
      <w:tr>
        <w:trPr>
          <w:trHeight w:hRule="exact" w:val="1698"/>
        </w:trPr>
        <w:tc>
          <w:tcPr>
            <w:tcW w:type="dxa" w:w="5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6" w:after="0"/>
              <w:ind w:left="113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Evolución de las Tasas Anualizadas Implícitas de los </w:t>
            </w:r>
          </w:p>
          <w:p>
            <w:pPr>
              <w:autoSpaceDN w:val="0"/>
              <w:tabs>
                <w:tab w:pos="2152" w:val="left"/>
              </w:tabs>
              <w:autoSpaceDE w:val="0"/>
              <w:widowControl/>
              <w:spacing w:line="168" w:lineRule="exact" w:before="0" w:after="0"/>
              <w:ind w:left="258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10%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5"/>
              </w:rPr>
              <w:t>Créditos Hipotecarios</w:t>
            </w:r>
          </w:p>
          <w:p>
            <w:pPr>
              <w:autoSpaceDN w:val="0"/>
              <w:autoSpaceDE w:val="0"/>
              <w:widowControl/>
              <w:spacing w:line="172" w:lineRule="exact" w:before="332" w:after="0"/>
              <w:ind w:left="328" w:right="0" w:firstLine="0"/>
              <w:jc w:val="left"/>
            </w:pPr>
            <w:r>
              <w:rPr>
                <w:w w:val="103.19999853769939"/>
                <w:rFonts w:ascii="ArialMT" w:hAnsi="ArialMT" w:eastAsia="ArialMT"/>
                <w:b w:val="0"/>
                <w:i w:val="0"/>
                <w:color w:val="000000"/>
                <w:sz w:val="12"/>
              </w:rPr>
              <w:t>6%</w:t>
            </w:r>
          </w:p>
          <w:p>
            <w:pPr>
              <w:autoSpaceDN w:val="0"/>
              <w:autoSpaceDE w:val="0"/>
              <w:widowControl/>
              <w:spacing w:line="170" w:lineRule="exact" w:before="80" w:after="0"/>
              <w:ind w:left="328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4%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2%</w:t>
            </w:r>
            <w:r>
              <w:drawing>
                <wp:inline xmlns:a="http://schemas.openxmlformats.org/drawingml/2006/main" xmlns:pic="http://schemas.openxmlformats.org/drawingml/2006/picture">
                  <wp:extent cx="2895600" cy="762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76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70" w:lineRule="exact" w:before="0" w:after="0"/>
              <w:ind w:left="328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8%</w:t>
            </w:r>
          </w:p>
          <w:p>
            <w:pPr>
              <w:autoSpaceDN w:val="0"/>
              <w:tabs>
                <w:tab w:pos="1210" w:val="left"/>
                <w:tab w:pos="1932" w:val="left"/>
                <w:tab w:pos="2698" w:val="left"/>
                <w:tab w:pos="3418" w:val="left"/>
                <w:tab w:pos="4182" w:val="left"/>
                <w:tab w:pos="4902" w:val="left"/>
              </w:tabs>
              <w:autoSpaceDE w:val="0"/>
              <w:widowControl/>
              <w:spacing w:line="170" w:lineRule="exact" w:before="732" w:after="0"/>
              <w:ind w:left="446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nov17 </w:t>
            </w:r>
            <w:r>
              <w:tab/>
            </w: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dic18 </w:t>
            </w:r>
            <w:r>
              <w:tab/>
            </w: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ene20 </w:t>
            </w:r>
            <w:r>
              <w:tab/>
            </w: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feb21 </w:t>
            </w:r>
            <w:r>
              <w:tab/>
            </w: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mar22 </w:t>
            </w:r>
            <w:r>
              <w:tab/>
            </w: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abr23 </w:t>
            </w:r>
            <w:r>
              <w:tab/>
            </w: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may24</w:t>
            </w:r>
          </w:p>
        </w:tc>
        <w:tc>
          <w:tcPr>
            <w:tcW w:type="dxa" w:w="5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60" w:after="0"/>
              <w:ind w:left="11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 Teórico: Pago contractual de los créditos en un escanario de cero mora y cero prepago.</w:t>
            </w:r>
          </w:p>
          <w:p>
            <w:pPr>
              <w:autoSpaceDN w:val="0"/>
              <w:autoSpaceDE w:val="0"/>
              <w:widowControl/>
              <w:spacing w:line="98" w:lineRule="exact" w:before="136" w:after="0"/>
              <w:ind w:left="11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Prepago es el agregado de la suma de prepago parcial y total anualizado. Prepago promedio ponderado (pp) de la emisión: Corresponde al prepago </w:t>
            </w:r>
          </w:p>
          <w:p>
            <w:pPr>
              <w:autoSpaceDN w:val="0"/>
              <w:autoSpaceDE w:val="0"/>
              <w:widowControl/>
              <w:spacing w:line="197" w:lineRule="auto" w:before="32" w:after="0"/>
              <w:ind w:left="114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ponderado por el saldo de cartera de cada mes de la emisión. </w:t>
            </w:r>
          </w:p>
          <w:p>
            <w:pPr>
              <w:autoSpaceDN w:val="0"/>
              <w:autoSpaceDE w:val="0"/>
              <w:widowControl/>
              <w:spacing w:line="100" w:lineRule="exact" w:before="136" w:after="0"/>
              <w:ind w:left="11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Escenario de valoración: Escenario de prepago para valoración de los proveedores de precio.</w:t>
            </w:r>
          </w:p>
          <w:p>
            <w:pPr>
              <w:autoSpaceDN w:val="0"/>
              <w:autoSpaceDE w:val="0"/>
              <w:widowControl/>
              <w:spacing w:line="100" w:lineRule="exact" w:before="136" w:after="0"/>
              <w:ind w:left="11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Tasa Implícita: Flujo mensual de intereses dividido por el saldo de capital al inicio del mes.</w:t>
            </w:r>
          </w:p>
          <w:p>
            <w:pPr>
              <w:autoSpaceDN w:val="0"/>
              <w:autoSpaceDE w:val="0"/>
              <w:widowControl/>
              <w:spacing w:line="98" w:lineRule="exact" w:before="128" w:after="0"/>
              <w:ind w:left="0" w:right="0" w:firstLine="0"/>
              <w:jc w:val="center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Para efectos de monitorear el riesgo de crédito, el indicador de mora mayor a 120 días se ha proyectado teniendo en cuenta el comportamiento crediticio </w:t>
            </w:r>
          </w:p>
          <w:p>
            <w:pPr>
              <w:autoSpaceDN w:val="0"/>
              <w:autoSpaceDE w:val="0"/>
              <w:widowControl/>
              <w:spacing w:line="197" w:lineRule="auto" w:before="32" w:after="0"/>
              <w:ind w:left="106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de una muestra de desarrollo de 204,300 créditos hipotecarios. Se presenta la mora en percentiles  (P2,5%, P50% y P97,5%).  Para mayor información de la </w:t>
            </w:r>
          </w:p>
          <w:p>
            <w:pPr>
              <w:autoSpaceDN w:val="0"/>
              <w:autoSpaceDE w:val="0"/>
              <w:widowControl/>
              <w:spacing w:line="197" w:lineRule="auto" w:before="32" w:after="0"/>
              <w:ind w:left="106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metodología de proyección ver Anexo 2 del Prospecto de la emisión.</w:t>
            </w:r>
          </w:p>
          <w:p>
            <w:pPr>
              <w:autoSpaceDN w:val="0"/>
              <w:autoSpaceDE w:val="0"/>
              <w:widowControl/>
              <w:spacing w:line="100" w:lineRule="exact" w:before="136" w:after="0"/>
              <w:ind w:left="106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Escenarios: Muestra el porcentaje de amortización proyectado de cada título para diferentes escenarios de estrés de prepago y múltiplos de la mora </w:t>
            </w:r>
          </w:p>
        </w:tc>
      </w:tr>
    </w:tbl>
    <w:p>
      <w:pPr>
        <w:autoSpaceDN w:val="0"/>
        <w:autoSpaceDE w:val="0"/>
        <w:widowControl/>
        <w:spacing w:line="197" w:lineRule="auto" w:before="14" w:after="2"/>
        <w:ind w:left="0" w:right="422" w:firstLine="0"/>
        <w:jc w:val="right"/>
      </w:pPr>
      <w:r>
        <w:rPr>
          <w:w w:val="96.00000381469727"/>
          <w:rFonts w:ascii="Calibri" w:hAnsi="Calibri" w:eastAsia="Calibri"/>
          <w:b w:val="0"/>
          <w:i w:val="0"/>
          <w:color w:val="000000"/>
          <w:sz w:val="9"/>
        </w:rPr>
        <w:t xml:space="preserve">esperada. El monto residual una vez pagados los títulos es el valor presente descontado a la tir del pasivo correlativo. Para mayor información ver informe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6.0" w:type="dxa"/>
      </w:tblPr>
      <w:tblGrid>
        <w:gridCol w:w="1652"/>
        <w:gridCol w:w="1652"/>
        <w:gridCol w:w="1652"/>
        <w:gridCol w:w="1652"/>
        <w:gridCol w:w="1652"/>
        <w:gridCol w:w="1652"/>
        <w:gridCol w:w="1652"/>
      </w:tblGrid>
      <w:tr>
        <w:trPr>
          <w:trHeight w:hRule="exact" w:val="8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381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 w:firstLine="0"/>
              <w:jc w:val="center"/>
            </w:pPr>
            <w:r>
              <w:rPr>
                <w:w w:val="95.99999700273786"/>
                <w:rFonts w:ascii="ArialMT" w:hAnsi="ArialMT" w:eastAsia="ArialMT"/>
                <w:b w:val="0"/>
                <w:i w:val="0"/>
                <w:color w:val="000000"/>
                <w:sz w:val="7"/>
              </w:rPr>
              <w:t>Tasa Observada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8" w:after="0"/>
              <w:ind w:left="46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Teórica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258" w:right="0" w:firstLine="0"/>
              <w:jc w:val="left"/>
            </w:pPr>
            <w:r>
              <w:rPr>
                <w:w w:val="95.99999700273786"/>
                <w:rFonts w:ascii="ArialMT" w:hAnsi="ArialMT" w:eastAsia="ArialMT"/>
                <w:b w:val="0"/>
                <w:i w:val="0"/>
                <w:color w:val="000000"/>
                <w:sz w:val="7"/>
              </w:rPr>
              <w:t>Tasa Teórica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381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12" w:right="0" w:firstLine="0"/>
              <w:jc w:val="left"/>
            </w:pPr>
            <w:r>
              <w:rPr>
                <w:w w:val="95.99999700273786"/>
                <w:rFonts w:ascii="ArialMT" w:hAnsi="ArialMT" w:eastAsia="ArialMT"/>
                <w:b w:val="0"/>
                <w:i w:val="0"/>
                <w:color w:val="000000"/>
                <w:sz w:val="7"/>
              </w:rPr>
              <w:t>Tasa Esperada</w:t>
            </w:r>
          </w:p>
        </w:tc>
        <w:tc>
          <w:tcPr>
            <w:tcW w:type="dxa" w:w="6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486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"Tablas de Amortización y Flujos Escenarios de Prepago y Mora" en www.titularizadora.com</w:t>
            </w:r>
          </w:p>
        </w:tc>
      </w:tr>
      <w:tr>
        <w:trPr>
          <w:trHeight w:hRule="exact" w:val="96"/>
        </w:trPr>
        <w:tc>
          <w:tcPr>
            <w:tcW w:type="dxa" w:w="1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60" w:after="0"/>
              <w:ind w:left="0" w:right="27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Tasa Implícita</w:t>
            </w:r>
          </w:p>
        </w:tc>
        <w:tc>
          <w:tcPr>
            <w:tcW w:type="dxa" w:w="165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60" w:after="0"/>
              <w:ind w:left="0" w:right="22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Esperada</w:t>
            </w:r>
          </w:p>
        </w:tc>
        <w:tc>
          <w:tcPr>
            <w:tcW w:type="dxa" w:w="1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60" w:after="0"/>
              <w:ind w:left="276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Observada</w:t>
            </w:r>
          </w:p>
        </w:tc>
        <w:tc>
          <w:tcPr>
            <w:tcW w:type="dxa" w:w="1652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3304"/>
            <w:gridSpan w:val="2"/>
            <w:vMerge/>
            <w:tcBorders/>
          </w:tcPr>
          <w:p/>
        </w:tc>
        <w:tc>
          <w:tcPr>
            <w:tcW w:type="dxa" w:w="1652"/>
            <w:vMerge/>
            <w:tcBorders/>
          </w:tcPr>
          <w:p/>
        </w:tc>
        <w:tc>
          <w:tcPr>
            <w:tcW w:type="dxa" w:w="1652"/>
            <w:vMerge/>
            <w:tcBorders/>
          </w:tcPr>
          <w:p/>
        </w:tc>
        <w:tc>
          <w:tcPr>
            <w:tcW w:type="dxa" w:w="3304"/>
            <w:gridSpan w:val="2"/>
            <w:vMerge/>
            <w:tcBorders/>
          </w:tcPr>
          <w:p/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68" w:after="0"/>
              <w:ind w:left="486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Participación por Rango de Tasas: Muestra la composición de la cartera por los rangos de tasa, esto lo hace por monto y por cantidad. Por monto es </w:t>
            </w:r>
          </w:p>
        </w:tc>
      </w:tr>
      <w:tr>
        <w:trPr>
          <w:trHeight w:hRule="exact" w:val="180"/>
        </w:trPr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6" w:after="0"/>
              <w:ind w:left="0" w:right="27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Última: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6" w:after="0"/>
              <w:ind w:left="78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7.93%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6" w:after="0"/>
              <w:ind w:left="0" w:right="30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7.04%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6" w:after="0"/>
              <w:ind w:left="0" w:right="74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8.37%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486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respecto al saldo total de los créditos hipotecarios y por cantidad es respecto al total de créditos.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.00000000000001" w:type="dxa"/>
      </w:tblPr>
      <w:tblGrid>
        <w:gridCol w:w="5783"/>
        <w:gridCol w:w="5783"/>
      </w:tblGrid>
      <w:tr>
        <w:trPr>
          <w:trHeight w:hRule="exact" w:val="608"/>
        </w:trPr>
        <w:tc>
          <w:tcPr>
            <w:tcW w:type="dxa" w:w="11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508" w:after="0"/>
              <w:ind w:left="0" w:right="318" w:firstLine="0"/>
              <w:jc w:val="righ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LTV PP: Relación del saldo de capital de la deuda respecto al avalúo actual del inmueble como promedio ponderado por el saldo de capital los créditos.</w:t>
            </w:r>
          </w:p>
        </w:tc>
      </w:tr>
      <w:tr>
        <w:trPr>
          <w:trHeight w:hRule="exact" w:val="2164"/>
        </w:trPr>
        <w:tc>
          <w:tcPr>
            <w:tcW w:type="dxa" w:w="5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27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>Participación por Rango de Tasas______________________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.00000000000003" w:type="dxa"/>
            </w:tblPr>
            <w:tblGrid>
              <w:gridCol w:w="1410"/>
              <w:gridCol w:w="1410"/>
              <w:gridCol w:w="1410"/>
              <w:gridCol w:w="1410"/>
            </w:tblGrid>
            <w:tr>
              <w:trPr>
                <w:trHeight w:hRule="exact" w:val="1556"/>
              </w:trPr>
              <w:tc>
                <w:tcPr>
                  <w:tcW w:type="dxa" w:w="5552"/>
                  <w:gridSpan w:val="4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6.00000000000001" w:type="dxa"/>
                  </w:tblPr>
                  <w:tblGrid>
                    <w:gridCol w:w="694"/>
                    <w:gridCol w:w="694"/>
                    <w:gridCol w:w="694"/>
                    <w:gridCol w:w="694"/>
                    <w:gridCol w:w="694"/>
                    <w:gridCol w:w="694"/>
                    <w:gridCol w:w="694"/>
                    <w:gridCol w:w="694"/>
                  </w:tblGrid>
                  <w:tr>
                    <w:trPr>
                      <w:trHeight w:hRule="exact" w:val="902"/>
                    </w:trPr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exact" w:before="0" w:after="0"/>
                          <w:ind w:left="134" w:right="28" w:firstLine="0"/>
                          <w:jc w:val="both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80.00%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60.00%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40.00%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20.00%</w:t>
                        </w:r>
                      </w:p>
                    </w:tc>
                    <w:tc>
                      <w:tcPr>
                        <w:tcW w:type="dxa" w:w="4840"/>
                        <w:gridSpan w:val="7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10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55.99999999999994" w:type="dxa"/>
                        </w:tblPr>
                        <w:tblGrid>
                          <w:gridCol w:w="230"/>
                          <w:gridCol w:w="230"/>
                          <w:gridCol w:w="230"/>
                          <w:gridCol w:w="230"/>
                          <w:gridCol w:w="230"/>
                          <w:gridCol w:w="230"/>
                          <w:gridCol w:w="230"/>
                          <w:gridCol w:w="230"/>
                          <w:gridCol w:w="230"/>
                          <w:gridCol w:w="230"/>
                          <w:gridCol w:w="230"/>
                          <w:gridCol w:w="230"/>
                          <w:gridCol w:w="230"/>
                          <w:gridCol w:w="230"/>
                          <w:gridCol w:w="230"/>
                          <w:gridCol w:w="230"/>
                          <w:gridCol w:w="230"/>
                          <w:gridCol w:w="230"/>
                          <w:gridCol w:w="230"/>
                          <w:gridCol w:w="230"/>
                          <w:gridCol w:w="230"/>
                        </w:tblGrid>
                        <w:tr>
                          <w:trPr>
                            <w:trHeight w:hRule="exact" w:val="225"/>
                          </w:trPr>
                          <w:tc>
                            <w:tcPr>
                              <w:tcW w:type="dxa" w:w="4706"/>
                              <w:gridSpan w:val="21"/>
                              <w:tcBorders>
                                <w:start w:sz="9.920000076293945" w:val="single" w:color="#000000"/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90"/>
                          </w:trPr>
                          <w:tc>
                            <w:tcPr>
                              <w:tcW w:type="dxa" w:w="2834"/>
                              <w:gridSpan w:val="13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vMerge w:val="restart"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80"/>
                              <w:gridSpan w:val="7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42"/>
                          </w:trPr>
                          <w:tc>
                            <w:tcPr>
                              <w:tcW w:type="dxa" w:w="2990"/>
                              <w:gridSpan w:val="13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30"/>
                              <w:vMerge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1.2400000095367432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top w:sz="9.920000076293945" w:val="single" w:color="#000000"/>
                                <w:bottom w:sz="1.2400000095367432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3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3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3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3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3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3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246"/>
                          </w:trPr>
                          <w:tc>
                            <w:tcPr>
                              <w:tcW w:type="dxa" w:w="2834"/>
                              <w:gridSpan w:val="13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88"/>
                              <w:gridSpan w:val="6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60"/>
                          </w:trPr>
                          <w:tc>
                            <w:tcPr>
                              <w:tcW w:type="dxa" w:w="14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top w:sz="1.2400000095367432" w:val="single" w:color="#CBCBCB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4"/>
                              <w:tcBorders>
                                <w:top w:sz="1.2400000095367432" w:val="single" w:color="#CBCBCB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6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4"/>
                              <w:tcBorders>
                                <w:top w:sz="1.2400000095367432" w:val="single" w:color="#CBCBCB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vMerge w:val="restart"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8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90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1.2400000095367432" w:val="single" w:color="#CBCBCB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top w:sz="1.2400000095367432" w:val="single" w:color="#CBCBCB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482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33"/>
                          </w:trPr>
                          <w:tc>
                            <w:tcPr>
                              <w:tcW w:type="dxa" w:w="144"/>
                              <w:tcBorders>
                                <w:start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bottom w:sz="12.0" w:val="single" w:color="#919191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8"/>
                              <w:tcBorders>
                                <w:start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4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6"/>
                              <w:tcBorders>
                                <w:start w:sz="9.920000076293945" w:val="single" w:color="#000000"/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4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30"/>
                              <w:vMerge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30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30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30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90"/>
                              <w:tcBorders>
                                <w:start w:sz="9.920000076293945" w:val="single" w:color="#000000"/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2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482"/>
                              <w:tcBorders>
                                <w:start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/>
                          </w:trPr>
                          <w:tc>
                            <w:tcPr>
                              <w:tcW w:type="dxa" w:w="230"/>
                            </w:tcPr>
                            <w:p/>
                          </w:tc>
                          <w:tc>
                            <w:tcPr>
                              <w:tcW w:type="dxa" w:w="230"/>
                            </w:tcPr>
                            <w:p/>
                          </w:tc>
                          <w:tc>
                            <w:tcPr>
                              <w:tcW w:type="dxa" w:w="230"/>
                            </w:tcPr>
                            <w:p/>
                          </w:tc>
                          <w:tc>
                            <w:tcPr>
                              <w:tcW w:type="dxa" w:w="230"/>
                            </w:tcPr>
                            <w:p/>
                          </w:tc>
                          <w:tc>
                            <w:tcPr>
                              <w:tcW w:type="dxa" w:w="230"/>
                            </w:tcPr>
                            <w:p/>
                          </w:tc>
                          <w:tc>
                            <w:tcPr>
                              <w:tcW w:type="dxa" w:w="230"/>
                            </w:tcPr>
                            <w:p/>
                          </w:tc>
                          <w:tc>
                            <w:tcPr>
                              <w:tcW w:type="dxa" w:w="230"/>
                            </w:tcPr>
                            <w:p/>
                          </w:tc>
                          <w:tc>
                            <w:tcPr>
                              <w:tcW w:type="dxa" w:w="230"/>
                            </w:tcPr>
                            <w:p/>
                          </w:tc>
                          <w:tc>
                            <w:tcPr>
                              <w:tcW w:type="dxa" w:w="230"/>
                            </w:tcPr>
                            <w:p/>
                          </w:tc>
                          <w:tc>
                            <w:tcPr>
                              <w:tcW w:type="dxa" w:w="230"/>
                            </w:tcPr>
                            <w:p/>
                          </w:tc>
                          <w:tc>
                            <w:tcPr>
                              <w:tcW w:type="dxa" w:w="230"/>
                            </w:tcPr>
                            <w:p/>
                          </w:tc>
                          <w:tc>
                            <w:tcPr>
                              <w:tcW w:type="dxa" w:w="230"/>
                              <w:vMerge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30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30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30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30"/>
                            </w:tcPr>
                            <w:p/>
                          </w:tc>
                          <w:tc>
                            <w:tcPr>
                              <w:tcW w:type="dxa" w:w="230"/>
                            </w:tcPr>
                            <w:p/>
                          </w:tc>
                          <w:tc>
                            <w:tcPr>
                              <w:tcW w:type="dxa" w:w="230"/>
                            </w:tcPr>
                            <w:p/>
                          </w:tc>
                          <w:tc>
                            <w:tcPr>
                              <w:tcW w:type="dxa" w:w="230"/>
                            </w:tcPr>
                            <w:p/>
                          </w:tc>
                          <w:tc>
                            <w:tcPr>
                              <w:tcW w:type="dxa" w:w="230"/>
                            </w:tcPr>
                            <w:p/>
                          </w:tc>
                          <w:tc>
                            <w:tcPr>
                              <w:tcW w:type="dxa" w:w="230"/>
                            </w:tcPr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type="dxa" w:w="694"/>
                      </w:tcPr>
                      <w:p/>
                    </w:tc>
                    <w:tc>
                      <w:tcPr>
                        <w:tcW w:type="dxa" w:w="4858"/>
                        <w:gridSpan w:val="7"/>
                        <w:vMerge/>
                        <w:tcBorders/>
                      </w:tcPr>
                      <w:p/>
                    </w:tc>
                  </w:tr>
                  <w:tr>
                    <w:tc>
                      <w:tcPr>
                        <w:tcW w:type="dxa" w:w="694"/>
                      </w:tcPr>
                      <w:p/>
                    </w:tc>
                    <w:tc>
                      <w:tcPr>
                        <w:tcW w:type="dxa" w:w="694"/>
                      </w:tcPr>
                      <w:p/>
                    </w:tc>
                    <w:tc>
                      <w:tcPr>
                        <w:tcW w:type="dxa" w:w="694"/>
                      </w:tcPr>
                      <w:p/>
                    </w:tc>
                    <w:tc>
                      <w:tcPr>
                        <w:tcW w:type="dxa" w:w="694"/>
                      </w:tcPr>
                      <w:p/>
                    </w:tc>
                    <w:tc>
                      <w:tcPr>
                        <w:tcW w:type="dxa" w:w="694"/>
                      </w:tcPr>
                      <w:p/>
                    </w:tc>
                    <w:tc>
                      <w:tcPr>
                        <w:tcW w:type="dxa" w:w="694"/>
                      </w:tcPr>
                      <w:p/>
                    </w:tc>
                    <w:tc>
                      <w:tcPr>
                        <w:tcW w:type="dxa" w:w="694"/>
                      </w:tcPr>
                      <w:p/>
                    </w:tc>
                    <w:tc>
                      <w:tcPr>
                        <w:tcW w:type="dxa" w:w="694"/>
                      </w:tcPr>
                      <w:p/>
                    </w:tc>
                  </w:tr>
                </w:tbl>
                <w:p/>
              </w:tc>
            </w:tr>
            <w:tr>
              <w:tc>
                <w:tcPr>
                  <w:tcW w:type="dxa" w:w="1410"/>
                </w:tcPr>
                <w:p/>
              </w:tc>
              <w:tc>
                <w:tcPr>
                  <w:tcW w:type="dxa" w:w="1410"/>
                </w:tcPr>
                <w:p/>
              </w:tc>
              <w:tc>
                <w:tcPr>
                  <w:tcW w:type="dxa" w:w="1410"/>
                </w:tcPr>
                <w:p/>
              </w:tc>
              <w:tc>
                <w:tcPr>
                  <w:tcW w:type="dxa" w:w="1410"/>
                </w:tcPr>
                <w:p/>
              </w:tc>
            </w:tr>
            <w:tr>
              <w:tc>
                <w:tcPr>
                  <w:tcW w:type="dxa" w:w="1410"/>
                </w:tcPr>
                <w:p/>
              </w:tc>
              <w:tc>
                <w:tcPr>
                  <w:tcW w:type="dxa" w:w="1410"/>
                </w:tcPr>
                <w:p/>
              </w:tc>
              <w:tc>
                <w:tcPr>
                  <w:tcW w:type="dxa" w:w="1410"/>
                </w:tcPr>
                <w:p/>
              </w:tc>
              <w:tc>
                <w:tcPr>
                  <w:tcW w:type="dxa" w:w="1410"/>
                </w:tcPr>
                <w:p/>
              </w:tc>
            </w:tr>
          </w:tbl>
          <w:p/>
        </w:tc>
        <w:tc>
          <w:tcPr>
            <w:tcW w:type="dxa" w:w="5783"/>
          </w:tcPr>
          <w:p/>
        </w:tc>
      </w:tr>
    </w:tbl>
    <w:sectPr w:rsidR="00FC693F" w:rsidRPr="0006063C" w:rsidSect="00034616">
      <w:pgSz w:w="11906" w:h="16838"/>
      <w:pgMar w:top="318" w:right="26" w:bottom="1242" w:left="31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