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01" w:type="dxa"/>
      </w:tblPr>
      <w:tblGrid>
        <w:gridCol w:w="2313"/>
        <w:gridCol w:w="2313"/>
        <w:gridCol w:w="2313"/>
        <w:gridCol w:w="2313"/>
        <w:gridCol w:w="2313"/>
      </w:tblGrid>
      <w:tr>
        <w:trPr>
          <w:trHeight w:hRule="exact" w:val="642"/>
        </w:trPr>
        <w:tc>
          <w:tcPr>
            <w:tcW w:type="dxa" w:w="1802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1720" cy="939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93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0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u3</w:t>
            </w:r>
          </w:p>
        </w:tc>
        <w:tc>
          <w:tcPr>
            <w:tcW w:type="dxa" w:w="2026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5509" cy="571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09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34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0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1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748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 xml:space="preserve"> marzo de 2024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170"/>
        </w:trPr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  <w:tc>
          <w:tcPr>
            <w:tcW w:type="dxa" w:w="7612"/>
            <w:gridSpan w:val="3"/>
            <w:tcBorders>
              <w:bottom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TIPS U3________________________________________________________________________________________________</w:t>
            </w:r>
          </w:p>
        </w:tc>
        <w:tc>
          <w:tcPr>
            <w:tcW w:type="dxa" w:w="2313"/>
            <w:vMerge/>
            <w:tcBorders>
              <w:bottom w:sz="4.0" w:val="single" w:color="#6E2C3E"/>
            </w:tcBorders>
          </w:tcPr>
          <w:p/>
        </w:tc>
      </w:tr>
      <w:tr>
        <w:trPr>
          <w:trHeight w:hRule="exact" w:val="210"/>
        </w:trPr>
        <w:tc>
          <w:tcPr>
            <w:tcW w:type="dxa" w:w="1802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98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Cifras en miles de UVR</w:t>
            </w:r>
          </w:p>
        </w:tc>
        <w:tc>
          <w:tcPr>
            <w:tcW w:type="dxa" w:w="3100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</w:t>
            </w:r>
          </w:p>
        </w:tc>
        <w:tc>
          <w:tcPr>
            <w:tcW w:type="dxa" w:w="1014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68 meses</w:t>
            </w:r>
          </w:p>
        </w:tc>
        <w:tc>
          <w:tcPr>
            <w:tcW w:type="dxa" w:w="2026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de la cartera:</w:t>
            </w:r>
          </w:p>
        </w:tc>
        <w:tc>
          <w:tcPr>
            <w:tcW w:type="dxa" w:w="1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540,816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  <w:tr>
        <w:trPr>
          <w:trHeight w:hRule="exact" w:val="198"/>
        </w:trPr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  <w:tc>
          <w:tcPr>
            <w:tcW w:type="dxa" w:w="6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17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en Mora&gt;120 días:</w:t>
            </w:r>
          </w:p>
        </w:tc>
        <w:tc>
          <w:tcPr>
            <w:tcW w:type="dxa" w:w="1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44,896</w:t>
            </w:r>
          </w:p>
        </w:tc>
        <w:tc>
          <w:tcPr>
            <w:tcW w:type="dxa" w:w="2313"/>
            <w:vMerge/>
            <w:tcBorders>
              <w:top w:sz="4.0" w:val="single" w:color="#6E2C3E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24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>
        <w:trPr>
          <w:trHeight w:hRule="exact" w:val="15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27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21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4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120.70%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37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2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A-2028: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3.18%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27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1,694,686.0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20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410,862.2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86.0%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5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75.8%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6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4,109</w:t>
            </w:r>
          </w:p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B-2033: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4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188,297.5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3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120.70%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MZ-2033: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7.00%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47,917.0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47,917.0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10.0%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108.10%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C-2033: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8.50%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2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18,829.0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18,829.0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3.9%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62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5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103.83%</w:t>
            </w:r>
          </w:p>
        </w:tc>
        <w:tc>
          <w:tcPr>
            <w:tcW w:type="dxa" w:w="1157"/>
            <w:vMerge/>
            <w:tcBorders/>
          </w:tcPr>
          <w:p/>
        </w:tc>
        <w:tc>
          <w:tcPr>
            <w:tcW w:type="dxa" w:w="11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104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>
        <w:trPr>
          <w:trHeight w:hRule="exact" w:val="2062"/>
        </w:trPr>
        <w:tc>
          <w:tcPr>
            <w:tcW w:type="dxa" w:w="53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6.0" w:type="dxa"/>
            </w:tblPr>
            <w:tblGrid>
              <w:gridCol w:w="1335"/>
              <w:gridCol w:w="1335"/>
              <w:gridCol w:w="1335"/>
              <w:gridCol w:w="1335"/>
            </w:tblGrid>
            <w:tr>
              <w:trPr>
                <w:trHeight w:hRule="exact" w:val="505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4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13.52%</w:t>
                  </w:r>
                </w:p>
              </w:tc>
              <w:tc>
                <w:tcPr>
                  <w:tcW w:type="dxa" w:w="9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11.10%</w:t>
                  </w:r>
                </w:p>
              </w:tc>
              <w:tc>
                <w:tcPr>
                  <w:tcW w:type="dxa" w:w="1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13.17%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2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11.10%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4.0" w:type="dxa"/>
            </w:tblPr>
            <w:tblGrid>
              <w:gridCol w:w="5340"/>
            </w:tblGrid>
            <w:tr>
              <w:trPr>
                <w:trHeight w:hRule="exact" w:val="1890"/>
              </w:trPr>
              <w:tc>
                <w:tcPr>
                  <w:tcW w:type="dxa" w:w="424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4.00000000000006" w:type="dxa"/>
                  </w:tblPr>
                  <w:tblGrid>
                    <w:gridCol w:w="1061"/>
                    <w:gridCol w:w="1061"/>
                    <w:gridCol w:w="1061"/>
                    <w:gridCol w:w="1061"/>
                  </w:tblGrid>
                  <w:tr>
                    <w:trPr>
                      <w:trHeight w:hRule="exact" w:val="1586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6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80%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382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008" w:right="1342" w:firstLine="0"/>
                          <w:jc w:val="right"/>
                        </w:pPr>
                        <w:r>
                          <w:rPr>
                            <w:w w:val="102.800003687540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 xml:space="preserve">Amortización de capital </w:t>
                        </w:r>
                        <w:r>
                          <w:br/>
                        </w:r>
                        <w:r>
                          <w:rPr>
                            <w:w w:val="103.19999853769939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>acumulado de la cartera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4.00000000000006" w:type="dxa"/>
                        </w:tblPr>
                        <w:tblGrid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  <w:gridCol w:w="424"/>
                        </w:tblGrid>
                        <w:tr>
                          <w:trPr>
                            <w:trHeight w:hRule="exact" w:val="144"/>
                          </w:trPr>
                          <w:tc>
                            <w:tcPr>
                              <w:tcW w:type="dxa" w:w="260"/>
                              <w:tcBorders>
                                <w:start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84"/>
                          </w:trPr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top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64"/>
                          </w:trPr>
                          <w:tc>
                            <w:tcPr>
                              <w:tcW w:type="dxa" w:w="260"/>
                              <w:tcBorders>
                                <w:start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55"/>
                          </w:trPr>
                          <w:tc>
                            <w:tcPr>
                              <w:tcW w:type="dxa" w:w="260"/>
                              <w:tcBorders>
                                <w:start w:sz="1.2400000095367432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6" w:lineRule="exact" w:before="17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36.33%</w:t>
                              </w:r>
                            </w:p>
                          </w:tc>
                          <w:tc>
                            <w:tcPr>
                              <w:tcW w:type="dxa" w:w="260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6" w:lineRule="exact" w:before="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65.69%</w:t>
                              </w:r>
                            </w:p>
                          </w:tc>
                          <w:tc>
                            <w:tcPr>
                              <w:tcW w:type="dxa" w:w="258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0"/>
                              <w:tcBorders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740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38" w:lineRule="exact" w:before="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71.03%</w:t>
                              </w:r>
                            </w:p>
                          </w:tc>
                          <w:tc>
                            <w:tcPr>
                              <w:tcW w:type="dxa" w:w="260"/>
                              <w:tcBorders>
                                <w:start w:sz="9.920000076293945" w:val="single" w:color="#000000"/>
                                <w:bottom w:sz="1.2400000095367432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30"/>
                    </w:trPr>
                    <w:tc>
                      <w:tcPr>
                        <w:tcW w:type="dxa" w:w="1061"/>
                        <w:vMerge/>
                        <w:tcBorders/>
                      </w:tcPr>
                      <w:p/>
                    </w:tc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2" w:after="0"/>
                          <w:ind w:left="0" w:right="320" w:firstLine="0"/>
                          <w:jc w:val="right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Prepago Base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800003687540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2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0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observada_______________________________</w:t>
            </w:r>
          </w:p>
          <w:p>
            <w:pPr>
              <w:autoSpaceDN w:val="0"/>
              <w:tabs>
                <w:tab w:pos="1832" w:val="left"/>
              </w:tabs>
              <w:autoSpaceDE w:val="0"/>
              <w:widowControl/>
              <w:spacing w:line="208" w:lineRule="exact" w:before="0" w:after="0"/>
              <w:ind w:left="344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4.5% </w:t>
            </w:r>
            <w:r>
              <w:rPr>
                <w:w w:val="102.17142786298479"/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2.0% </w:t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1.5% </w:t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1.0% </w:t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0.5% </w:t>
            </w: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743200" cy="139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44" w:right="4714" w:firstLine="0"/>
              <w:jc w:val="both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4.0% </w:t>
            </w:r>
            <w:r>
              <w:br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3.5% </w:t>
            </w:r>
            <w:r>
              <w:br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3.0% </w:t>
            </w:r>
            <w:r>
              <w:br/>
            </w:r>
            <w:r>
              <w:rPr>
                <w:w w:val="103.19999853769939"/>
                <w:rFonts w:ascii="ArialMT" w:hAnsi="ArialMT" w:eastAsia="ArialMT"/>
                <w:b w:val="0"/>
                <w:i w:val="0"/>
                <w:color w:val="000000"/>
                <w:sz w:val="12"/>
              </w:rPr>
              <w:t>2.5%</w:t>
            </w:r>
          </w:p>
          <w:p>
            <w:pPr>
              <w:autoSpaceDN w:val="0"/>
              <w:tabs>
                <w:tab w:pos="1180" w:val="left"/>
                <w:tab w:pos="1788" w:val="left"/>
                <w:tab w:pos="2390" w:val="left"/>
                <w:tab w:pos="2992" w:val="left"/>
                <w:tab w:pos="3592" w:val="left"/>
                <w:tab w:pos="4222" w:val="left"/>
                <w:tab w:pos="4776" w:val="left"/>
              </w:tabs>
              <w:autoSpaceDE w:val="0"/>
              <w:widowControl/>
              <w:spacing w:line="142" w:lineRule="exact" w:before="1156" w:after="0"/>
              <w:ind w:left="626" w:right="0" w:firstLine="0"/>
              <w:jc w:val="left"/>
            </w:pP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jul18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may19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mar20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ene21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nov21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sep22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jul23 </w:t>
            </w:r>
            <w:r>
              <w:tab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>may24</w:t>
            </w:r>
          </w:p>
        </w:tc>
        <w:tc>
          <w:tcPr>
            <w:tcW w:type="dxa" w:w="59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40" w:val="left"/>
              </w:tabs>
              <w:autoSpaceDE w:val="0"/>
              <w:widowControl/>
              <w:spacing w:line="158" w:lineRule="exact" w:before="84" w:after="0"/>
              <w:ind w:left="114" w:right="2736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0"/>
              </w:rPr>
              <w:t xml:space="preserve">Evolución del prepago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50.0%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20.0%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997200" cy="927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927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2" w:lineRule="exact" w:before="24" w:after="0"/>
              <w:ind w:left="114" w:right="552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45.0%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35.0%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30.0%</w:t>
            </w:r>
          </w:p>
          <w:p>
            <w:pPr>
              <w:autoSpaceDN w:val="0"/>
              <w:tabs>
                <w:tab w:pos="1042" w:val="left"/>
                <w:tab w:pos="1718" w:val="left"/>
                <w:tab w:pos="2388" w:val="left"/>
                <w:tab w:pos="3054" w:val="left"/>
                <w:tab w:pos="3718" w:val="left"/>
                <w:tab w:pos="4416" w:val="left"/>
                <w:tab w:pos="5026" w:val="left"/>
              </w:tabs>
              <w:autoSpaceDE w:val="0"/>
              <w:widowControl/>
              <w:spacing w:line="166" w:lineRule="exact" w:before="830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jul18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may19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ene21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nov21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sep22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jul23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may24</w:t>
            </w:r>
          </w:p>
        </w:tc>
      </w:tr>
      <w:tr>
        <w:trPr>
          <w:trHeight w:hRule="exact" w:val="36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8" w:right="0" w:firstLine="0"/>
              <w:jc w:val="lef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0" w:firstLine="0"/>
              <w:jc w:val="center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0" w:firstLine="0"/>
              <w:jc w:val="center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0" w:firstLine="0"/>
              <w:jc w:val="center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32" w:firstLine="0"/>
              <w:jc w:val="righ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756" w:firstLine="0"/>
              <w:jc w:val="right"/>
            </w:pPr>
            <w:r>
              <w:rPr>
                <w:w w:val="95.3142847333635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82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59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82" w:after="0"/>
              <w:ind w:left="230" w:right="144" w:firstLine="1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</w:t>
            </w:r>
          </w:p>
          <w:p>
            <w:pPr>
              <w:autoSpaceDN w:val="0"/>
              <w:autoSpaceDE w:val="0"/>
              <w:widowControl/>
              <w:spacing w:line="199" w:lineRule="auto" w:before="36" w:after="0"/>
              <w:ind w:left="230" w:right="0" w:firstLine="0"/>
              <w:jc w:val="left"/>
            </w:pP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últimos 12 meses- y mora 1, 1,5 o 5 veces la curva proyectada</w:t>
            </w:r>
          </w:p>
        </w:tc>
      </w:tr>
      <w:tr>
        <w:trPr>
          <w:trHeight w:hRule="exact" w:val="16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vMerge w:val="restart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6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764"/>
            <w:vMerge w:val="restart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1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42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26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 xml:space="preserve">Residual Miles de 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2313"/>
            <w:gridSpan w:val="3"/>
            <w:vMerge/>
            <w:tcBorders>
              <w:end w:sz="7.440000057220459" w:val="single" w:color="#FF00FF"/>
            </w:tcBorders>
          </w:tcPr>
          <w:p/>
        </w:tc>
        <w:tc>
          <w:tcPr>
            <w:tcW w:type="dxa" w:w="771"/>
            <w:vMerge/>
            <w:tcBorders>
              <w:start w:sz="7.440000057220459" w:val="single" w:color="#FF00FF"/>
            </w:tcBorders>
          </w:tcPr>
          <w:p/>
        </w:tc>
        <w:tc>
          <w:tcPr>
            <w:tcW w:type="dxa" w:w="1542"/>
            <w:gridSpan w:val="2"/>
            <w:vMerge/>
            <w:tcBorders/>
          </w:tcPr>
          <w:p/>
        </w:tc>
        <w:tc>
          <w:tcPr>
            <w:tcW w:type="dxa" w:w="771"/>
            <w:vMerge/>
            <w:tcBorders/>
          </w:tcPr>
          <w:p/>
        </w:tc>
        <w:tc>
          <w:tcPr>
            <w:tcW w:type="dxa" w:w="771"/>
            <w:vMerge/>
            <w:tcBorders/>
          </w:tcPr>
          <w:p/>
        </w:tc>
        <w:tc>
          <w:tcPr>
            <w:tcW w:type="dxa" w:w="771"/>
            <w:vMerge/>
            <w:tcBorders/>
          </w:tcPr>
          <w:p/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  <w:u w:val="single"/>
              </w:rPr>
              <w:t>UVR</w:t>
            </w:r>
          </w:p>
        </w:tc>
      </w:tr>
      <w:tr>
        <w:trPr>
          <w:trHeight w:hRule="exact" w:val="20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46,606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45,527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46,579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42,563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42,353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42,669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19,429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23,147</w:t>
            </w:r>
          </w:p>
        </w:tc>
      </w:tr>
      <w:tr>
        <w:trPr>
          <w:trHeight w:hRule="exact" w:val="18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1036"/>
            <w:gridSpan w:val="3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6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0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5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20,123</w:t>
            </w:r>
          </w:p>
        </w:tc>
      </w:tr>
      <w:tr>
        <w:trPr>
          <w:trHeight w:hRule="exact" w:val="160"/>
        </w:trPr>
        <w:tc>
          <w:tcPr>
            <w:tcW w:type="dxa" w:w="3855"/>
            <w:gridSpan w:val="5"/>
            <w:vMerge/>
            <w:tcBorders/>
          </w:tcPr>
          <w:p/>
        </w:tc>
        <w:tc>
          <w:tcPr>
            <w:tcW w:type="dxa" w:w="598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2" w:after="0"/>
              <w:ind w:left="23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fecha de liquidación.</w:t>
            </w:r>
          </w:p>
          <w:p>
            <w:pPr>
              <w:autoSpaceDN w:val="0"/>
              <w:autoSpaceDE w:val="0"/>
              <w:widowControl/>
              <w:spacing w:line="100" w:lineRule="exact" w:before="134" w:after="0"/>
              <w:ind w:left="23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23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23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3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23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23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0" w:lineRule="exact" w:before="100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120 días se ha proyectado teniendo en cuenta el comportamiento crediticio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2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de una muestra de desarrollo de 204,300 créditos hipotecarios. Se presenta la mora en percentiles  (P2,5%, P50% y P97,5%).  Para mayor información de la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2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22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2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esperada. El monto residual una vez pagados los títulos es el valor presente descontado a la tir del pasivo correlativo. Para mayor información ver informe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22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"Tablas de Amortización y Flujos 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22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226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respecto al saldo total de los créditos hipotecarios y por cantidad es respecto al total de créditos.</w:t>
            </w:r>
          </w:p>
        </w:tc>
      </w:tr>
      <w:tr>
        <w:trPr>
          <w:trHeight w:hRule="exact" w:val="200"/>
        </w:trPr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6" w:after="0"/>
              <w:ind w:left="0" w:right="120" w:firstLine="0"/>
              <w:jc w:val="righ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 2.5%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6" w:after="0"/>
              <w:ind w:left="0" w:right="144" w:firstLine="0"/>
              <w:jc w:val="righ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6" w:after="0"/>
              <w:ind w:left="14" w:right="0" w:firstLine="0"/>
              <w:jc w:val="lef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36" w:after="0"/>
              <w:ind w:left="318" w:right="0" w:firstLine="0"/>
              <w:jc w:val="lef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 97.5%</w:t>
            </w:r>
          </w:p>
        </w:tc>
        <w:tc>
          <w:tcPr>
            <w:tcW w:type="dxa" w:w="7710"/>
            <w:gridSpan w:val="10"/>
            <w:vMerge/>
            <w:tcBorders/>
          </w:tcPr>
          <w:p/>
        </w:tc>
      </w:tr>
      <w:tr>
        <w:trPr>
          <w:trHeight w:hRule="exact" w:val="2380"/>
        </w:trPr>
        <w:tc>
          <w:tcPr>
            <w:tcW w:type="dxa" w:w="53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5.99999999999994" w:type="dxa"/>
            </w:tblPr>
            <w:tblGrid>
              <w:gridCol w:w="1780"/>
              <w:gridCol w:w="1780"/>
              <w:gridCol w:w="1780"/>
            </w:tblGrid>
            <w:tr>
              <w:trPr>
                <w:trHeight w:hRule="exact" w:val="164"/>
              </w:trPr>
              <w:tc>
                <w:tcPr>
                  <w:tcW w:type="dxa" w:w="1398"/>
                  <w:tcBorders>
                    <w:end w:sz="9.60000000000002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4"/>
                  <w:tcBorders>
                    <w:start w:sz="9.600000000000023" w:val="single" w:color="#000000"/>
                    <w:top w:sz="10.399999999999636" w:val="single" w:color="#000000"/>
                    <w:end w:sz="9.599999999999909" w:val="single" w:color="#000000"/>
                    <w:bottom w:sz="2.240000009536743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feb: 1.84%</w:t>
                  </w:r>
                </w:p>
              </w:tc>
              <w:tc>
                <w:tcPr>
                  <w:tcW w:type="dxa" w:w="1540"/>
                  <w:tcBorders>
                    <w:start w:sz="9.599999999999909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088"/>
              </w:trPr>
              <w:tc>
                <w:tcPr>
                  <w:tcW w:type="dxa" w:w="5002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2.00000000000003" w:type="dxa"/>
                  </w:tblPr>
                  <w:tblGrid>
                    <w:gridCol w:w="1000"/>
                    <w:gridCol w:w="1000"/>
                    <w:gridCol w:w="1000"/>
                    <w:gridCol w:w="1000"/>
                    <w:gridCol w:w="1000"/>
                  </w:tblGrid>
                  <w:tr>
                    <w:trPr>
                      <w:trHeight w:hRule="exact" w:val="1616"/>
                    </w:trPr>
                    <w:tc>
                      <w:tcPr>
                        <w:tcW w:type="dxa" w:w="488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4" w:lineRule="exact" w:before="60" w:after="0"/>
                          <w:ind w:left="858" w:right="0" w:firstLine="0"/>
                          <w:jc w:val="left"/>
                        </w:pPr>
                        <w:r>
                          <w:rPr>
                            <w:w w:val="101.67272741144353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 xml:space="preserve">Evolución de las Tasas Anualizadas Implícitas de los Créditos </w:t>
                        </w:r>
                      </w:p>
                      <w:p>
                        <w:pPr>
                          <w:autoSpaceDN w:val="0"/>
                          <w:tabs>
                            <w:tab w:pos="2166" w:val="left"/>
                          </w:tabs>
                          <w:autoSpaceDE w:val="0"/>
                          <w:widowControl/>
                          <w:spacing w:line="136" w:lineRule="exact" w:before="0" w:after="0"/>
                          <w:ind w:left="6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12% </w:t>
                        </w:r>
                        <w:r>
                          <w:tab/>
                        </w:r>
                        <w:r>
                          <w:rPr>
                            <w:w w:val="101.2363607233221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>Hipotecarios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12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6%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6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4%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46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2%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806700" cy="7239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06700" cy="7239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0" w:after="0"/>
                          <w:ind w:left="6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6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8%</w:t>
                        </w:r>
                      </w:p>
                      <w:p>
                        <w:pPr>
                          <w:autoSpaceDN w:val="0"/>
                          <w:tabs>
                            <w:tab w:pos="824" w:val="left"/>
                            <w:tab w:pos="1456" w:val="left"/>
                            <w:tab w:pos="2082" w:val="left"/>
                            <w:tab w:pos="2706" w:val="left"/>
                            <w:tab w:pos="3326" w:val="left"/>
                            <w:tab w:pos="3974" w:val="left"/>
                            <w:tab w:pos="4552" w:val="left"/>
                          </w:tabs>
                          <w:autoSpaceDE w:val="0"/>
                          <w:widowControl/>
                          <w:spacing w:line="138" w:lineRule="exact" w:before="712" w:after="0"/>
                          <w:ind w:left="248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jul18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may19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mar20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ene21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nov21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sep22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jul23 </w:t>
                        </w:r>
                        <w:r>
                          <w:tab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may24</w:t>
                        </w:r>
                      </w:p>
                    </w:tc>
                  </w:tr>
                  <w:tr>
                    <w:trPr>
                      <w:trHeight w:hRule="exact" w:val="240"/>
                    </w:trPr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2" w:lineRule="exact" w:before="54" w:after="0"/>
                          <w:ind w:left="0" w:right="14" w:firstLine="0"/>
                          <w:jc w:val="right"/>
                        </w:pPr>
                        <w:r>
                          <w:rPr>
                            <w:w w:val="95.9999970027378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14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2" w:lineRule="exact" w:before="54" w:after="0"/>
                          <w:ind w:left="0" w:right="418" w:firstLine="0"/>
                          <w:jc w:val="right"/>
                        </w:pPr>
                        <w:r>
                          <w:rPr>
                            <w:w w:val="95.9999970027378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26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8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381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55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2" w:lineRule="exact" w:before="54" w:after="0"/>
                          <w:ind w:left="8" w:right="0" w:firstLine="0"/>
                          <w:jc w:val="left"/>
                        </w:pPr>
                        <w:r>
                          <w:rPr>
                            <w:w w:val="95.9999970027378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Esperada</w:t>
                        </w:r>
                      </w:p>
                    </w:tc>
                  </w:tr>
                  <w:tr>
                    <w:trPr>
                      <w:trHeight w:hRule="exact" w:val="184"/>
                    </w:trPr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78" w:after="0"/>
                          <w:ind w:left="0" w:right="274" w:firstLine="0"/>
                          <w:jc w:val="right"/>
                        </w:pPr>
                        <w:r>
                          <w:rPr>
                            <w:w w:val="103.99999618530273"/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Tasa Implícita</w:t>
                        </w:r>
                      </w:p>
                    </w:tc>
                    <w:tc>
                      <w:tcPr>
                        <w:tcW w:type="dxa" w:w="548"/>
                        <w:tcBorders>
                          <w:end w:sz="7.440000057220459" w:val="single" w:color="#00FF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78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99999618530273"/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Teórica</w:t>
                        </w:r>
                      </w:p>
                    </w:tc>
                    <w:tc>
                      <w:tcPr>
                        <w:tcW w:type="dxa" w:w="932"/>
                        <w:tcBorders>
                          <w:start w:sz="7.440000057220459" w:val="single" w:color="#00FF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78" w:after="0"/>
                          <w:ind w:left="0" w:right="0" w:firstLine="0"/>
                          <w:jc w:val="right"/>
                        </w:pPr>
                        <w:r>
                          <w:rPr>
                            <w:w w:val="103.99999618530273"/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Esperada</w:t>
                        </w:r>
                      </w:p>
                    </w:tc>
                    <w:tc>
                      <w:tcPr>
                        <w:tcW w:type="dxa" w:w="182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9" w:lineRule="auto" w:before="78" w:after="0"/>
                          <w:ind w:left="0" w:right="764" w:firstLine="0"/>
                          <w:jc w:val="right"/>
                        </w:pPr>
                        <w:r>
                          <w:rPr>
                            <w:w w:val="103.99999618530273"/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Observada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10"/>
            <w:gridSpan w:val="1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19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5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7.98%</w:t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5.70%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312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7.90%</w:t>
            </w:r>
          </w:p>
        </w:tc>
        <w:tc>
          <w:tcPr>
            <w:tcW w:type="dxa" w:w="7710"/>
            <w:gridSpan w:val="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00" w:lineRule="exact" w:before="40" w:after="0"/>
        <w:ind w:left="0" w:right="438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 LTV PP: Relación del saldo de capital de la deuda respecto al avalúo actual del inmueble como promedio ponderado por el saldo de capital los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5783"/>
        <w:gridCol w:w="5783"/>
      </w:tblGrid>
      <w:tr>
        <w:trPr>
          <w:trHeight w:hRule="exact" w:val="1796"/>
        </w:trPr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03" w:type="dxa"/>
            </w:tblPr>
            <w:tblGrid>
              <w:gridCol w:w="5600"/>
            </w:tblGrid>
            <w:tr>
              <w:trPr>
                <w:trHeight w:hRule="exact" w:val="1496"/>
              </w:trPr>
              <w:tc>
                <w:tcPr>
                  <w:tcW w:type="dxa" w:w="5456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6.00000000000001" w:type="dxa"/>
                  </w:tblPr>
                  <w:tblGrid>
                    <w:gridCol w:w="682"/>
                    <w:gridCol w:w="682"/>
                    <w:gridCol w:w="682"/>
                    <w:gridCol w:w="682"/>
                    <w:gridCol w:w="682"/>
                    <w:gridCol w:w="682"/>
                    <w:gridCol w:w="682"/>
                    <w:gridCol w:w="682"/>
                  </w:tblGrid>
                  <w:tr>
                    <w:trPr>
                      <w:trHeight w:hRule="exact" w:val="1018"/>
                    </w:trPr>
                    <w:tc>
                      <w:tcPr>
                        <w:tcW w:type="dxa" w:w="4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20.00% </w:t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0.00%</w:t>
                        </w:r>
                      </w:p>
                    </w:tc>
                    <w:tc>
                      <w:tcPr>
                        <w:tcW w:type="dxa" w:w="4760"/>
                        <w:gridSpan w:val="7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4.00000000000006" w:type="dxa"/>
                        </w:tblPr>
                        <w:tblGrid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  <w:gridCol w:w="264"/>
                        </w:tblGrid>
                        <w:tr>
                          <w:trPr>
                            <w:trHeight w:hRule="exact" w:val="193"/>
                          </w:trPr>
                          <w:tc>
                            <w:tcPr>
                              <w:tcW w:type="dxa" w:w="802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7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6"/>
                          </w:trPr>
                          <w:tc>
                            <w:tcPr>
                              <w:tcW w:type="dxa" w:w="802"/>
                              <w:tcBorders>
                                <w:start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start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7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6"/>
                          </w:trPr>
                          <w:tc>
                            <w:tcPr>
                              <w:tcW w:type="dxa" w:w="80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50"/>
                              <w:gridSpan w:val="7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4"/>
                          </w:trPr>
                          <w:tc>
                            <w:tcPr>
                              <w:tcW w:type="dxa" w:w="802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2"/>
                          </w:trPr>
                          <w:tc>
                            <w:tcPr>
                              <w:tcW w:type="dxa" w:w="80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0"/>
                          </w:trPr>
                          <w:tc>
                            <w:tcPr>
                              <w:tcW w:type="dxa" w:w="80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73"/>
                          </w:trPr>
                          <w:tc>
                            <w:tcPr>
                              <w:tcW w:type="dxa" w:w="80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990"/>
                              <w:gridSpan w:val="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5"/>
                          </w:trPr>
                          <w:tc>
                            <w:tcPr>
                              <w:tcW w:type="dxa" w:w="80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top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57"/>
                          </w:trPr>
                          <w:tc>
                            <w:tcPr>
                              <w:tcW w:type="dxa" w:w="80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/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top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1"/>
                          </w:trPr>
                          <w:tc>
                            <w:tcPr>
                              <w:tcW w:type="dxa" w:w="802"/>
                              <w:tcBorders>
                                <w:start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vMerge w:val="restart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46.400000000000546" w:val="single" w:color="#041E4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90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2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88"/>
                              <w:tcBorders>
                                <w:start w:sz="9.920000076293945" w:val="single" w:color="#000000"/>
                                <w:end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  <w:vMerge/>
                              <w:tcBorders>
                                <w:start w:sz="9.920000076293945" w:val="single" w:color="#000000"/>
                                <w:top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  <w:tc>
                            <w:tcPr>
                              <w:tcW w:type="dxa" w:w="264"/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682"/>
                        <w:vMerge/>
                        <w:tcBorders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</w:tr>
                  <w:tr>
                    <w:tc>
                      <w:tcPr>
                        <w:tcW w:type="dxa" w:w="682"/>
                        <w:vMerge/>
                        <w:tcBorders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  <w:tc>
                      <w:tcPr>
                        <w:tcW w:type="dxa" w:w="682"/>
                      </w:tcPr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dxa" w:w="5783"/>
          </w:tcPr>
          <w:p/>
        </w:tc>
      </w:tr>
    </w:tbl>
    <w:sectPr w:rsidR="00FC693F" w:rsidRPr="0006063C" w:rsidSect="00034616">
      <w:pgSz w:w="11906" w:h="16838"/>
      <w:pgMar w:top="318" w:right="26" w:bottom="1256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