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.00000000000001" w:type="dxa"/>
      </w:tblPr>
      <w:tblGrid>
        <w:gridCol w:w="2313"/>
        <w:gridCol w:w="2313"/>
        <w:gridCol w:w="2313"/>
        <w:gridCol w:w="2313"/>
        <w:gridCol w:w="2313"/>
      </w:tblGrid>
      <w:tr>
        <w:trPr>
          <w:trHeight w:hRule="exact" w:val="642"/>
        </w:trPr>
        <w:tc>
          <w:tcPr>
            <w:tcW w:type="dxa" w:w="1802"/>
            <w:vMerge w:val="restart"/>
            <w:tcBorders>
              <w:bottom w:sz="4.0" w:val="single" w:color="#6E2C3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61720" cy="9677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720" cy="967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6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0" w:after="0"/>
              <w:ind w:left="0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FFFFFF"/>
                <w:sz w:val="12"/>
              </w:rPr>
              <w:t>u4</w:t>
            </w:r>
          </w:p>
        </w:tc>
        <w:tc>
          <w:tcPr>
            <w:tcW w:type="dxa" w:w="2026"/>
            <w:vMerge w:val="restart"/>
            <w:tcBorders>
              <w:bottom w:sz="4.0" w:val="single" w:color="#6E2C3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05509" cy="5765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09" cy="576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0"/>
        </w:trPr>
        <w:tc>
          <w:tcPr>
            <w:tcW w:type="dxa" w:w="2313"/>
            <w:vMerge/>
            <w:tcBorders>
              <w:bottom w:sz="4.0" w:val="single" w:color="#6E2C3E"/>
            </w:tcBorders>
          </w:tcPr>
          <w:p/>
        </w:tc>
        <w:tc>
          <w:tcPr>
            <w:tcW w:type="dxa" w:w="34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0" w:right="0" w:firstLine="0"/>
              <w:jc w:val="left"/>
            </w:pPr>
            <w:r>
              <w:rPr>
                <w:w w:val="101.45454406738281"/>
                <w:rFonts w:ascii="Calibri" w:hAnsi="Calibri" w:eastAsia="Calibri"/>
                <w:b w:val="0"/>
                <w:i w:val="0"/>
                <w:color w:val="041E42"/>
                <w:sz w:val="22"/>
              </w:rPr>
              <w:t>Informe de Riesgo</w:t>
            </w:r>
          </w:p>
        </w:tc>
        <w:tc>
          <w:tcPr>
            <w:tcW w:type="dxa" w:w="411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8" w:after="0"/>
              <w:ind w:left="0" w:right="590" w:firstLine="0"/>
              <w:jc w:val="right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41E42"/>
                <w:sz w:val="14"/>
              </w:rPr>
              <w:t>15 de marzo de 2024</w:t>
            </w:r>
          </w:p>
        </w:tc>
        <w:tc>
          <w:tcPr>
            <w:tcW w:type="dxa" w:w="2313"/>
            <w:vMerge/>
            <w:tcBorders>
              <w:bottom w:sz="4.0" w:val="single" w:color="#6E2C3E"/>
            </w:tcBorders>
          </w:tcPr>
          <w:p/>
        </w:tc>
      </w:tr>
      <w:tr>
        <w:trPr>
          <w:trHeight w:hRule="exact" w:val="170"/>
        </w:trPr>
        <w:tc>
          <w:tcPr>
            <w:tcW w:type="dxa" w:w="2313"/>
            <w:vMerge/>
            <w:tcBorders>
              <w:bottom w:sz="4.0" w:val="single" w:color="#6E2C3E"/>
            </w:tcBorders>
          </w:tcPr>
          <w:p/>
        </w:tc>
        <w:tc>
          <w:tcPr>
            <w:tcW w:type="dxa" w:w="7612"/>
            <w:gridSpan w:val="3"/>
            <w:tcBorders>
              <w:bottom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6E2C3E"/>
                <w:sz w:val="15"/>
              </w:rPr>
              <w:t>TIPS U4________________________________________________________________________________________________</w:t>
            </w:r>
          </w:p>
        </w:tc>
        <w:tc>
          <w:tcPr>
            <w:tcW w:type="dxa" w:w="2313"/>
            <w:vMerge/>
            <w:tcBorders>
              <w:bottom w:sz="4.0" w:val="single" w:color="#6E2C3E"/>
            </w:tcBorders>
          </w:tcPr>
          <w:p/>
        </w:tc>
      </w:tr>
      <w:tr>
        <w:trPr>
          <w:trHeight w:hRule="exact" w:val="250"/>
        </w:trPr>
        <w:tc>
          <w:tcPr>
            <w:tcW w:type="dxa" w:w="1802"/>
            <w:vMerge w:val="restart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98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5"/>
              </w:rPr>
              <w:t>Cifras en miles de UVR</w:t>
            </w:r>
          </w:p>
        </w:tc>
        <w:tc>
          <w:tcPr>
            <w:tcW w:type="dxa" w:w="3100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0" w:after="0"/>
              <w:ind w:left="0" w:right="17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Edad de la emisión:</w:t>
            </w:r>
          </w:p>
        </w:tc>
        <w:tc>
          <w:tcPr>
            <w:tcW w:type="dxa" w:w="1014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0" w:after="0"/>
              <w:ind w:left="2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55 meses</w:t>
            </w:r>
          </w:p>
        </w:tc>
        <w:tc>
          <w:tcPr>
            <w:tcW w:type="dxa" w:w="2026"/>
            <w:vMerge w:val="restart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0"/>
        </w:trPr>
        <w:tc>
          <w:tcPr>
            <w:tcW w:type="dxa" w:w="2313"/>
            <w:vMerge/>
            <w:tcBorders>
              <w:top w:sz="4.0" w:val="single" w:color="#6E2C3E"/>
            </w:tcBorders>
          </w:tcPr>
          <w:p/>
        </w:tc>
        <w:tc>
          <w:tcPr>
            <w:tcW w:type="dxa" w:w="65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7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Saldo de capital de la cartera:</w:t>
            </w:r>
          </w:p>
        </w:tc>
        <w:tc>
          <w:tcPr>
            <w:tcW w:type="dxa" w:w="10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534,669</w:t>
            </w:r>
          </w:p>
        </w:tc>
        <w:tc>
          <w:tcPr>
            <w:tcW w:type="dxa" w:w="2313"/>
            <w:vMerge/>
            <w:tcBorders>
              <w:top w:sz="4.0" w:val="single" w:color="#6E2C3E"/>
            </w:tcBorders>
          </w:tcPr>
          <w:p/>
        </w:tc>
      </w:tr>
      <w:tr>
        <w:trPr>
          <w:trHeight w:hRule="exact" w:val="274"/>
        </w:trPr>
        <w:tc>
          <w:tcPr>
            <w:tcW w:type="dxa" w:w="2313"/>
            <w:vMerge/>
            <w:tcBorders>
              <w:top w:sz="4.0" w:val="single" w:color="#6E2C3E"/>
            </w:tcBorders>
          </w:tcPr>
          <w:p/>
        </w:tc>
        <w:tc>
          <w:tcPr>
            <w:tcW w:type="dxa" w:w="65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17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Saldo en Mora&gt;120 días:</w:t>
            </w:r>
          </w:p>
        </w:tc>
        <w:tc>
          <w:tcPr>
            <w:tcW w:type="dxa" w:w="10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26,315</w:t>
            </w:r>
          </w:p>
        </w:tc>
        <w:tc>
          <w:tcPr>
            <w:tcW w:type="dxa" w:w="2313"/>
            <w:vMerge/>
            <w:tcBorders>
              <w:top w:sz="4.0" w:val="single" w:color="#6E2C3E"/>
            </w:tcBorders>
          </w:tcPr>
          <w:p/>
        </w:tc>
      </w:tr>
    </w:tbl>
    <w:p>
      <w:pPr>
        <w:autoSpaceDN w:val="0"/>
        <w:autoSpaceDE w:val="0"/>
        <w:widowControl/>
        <w:spacing w:line="194" w:lineRule="auto" w:before="34" w:after="22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Saldos y cobertura 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6.0" w:type="dxa"/>
      </w:tblPr>
      <w:tblGrid>
        <w:gridCol w:w="1157"/>
        <w:gridCol w:w="1157"/>
        <w:gridCol w:w="1157"/>
        <w:gridCol w:w="1157"/>
        <w:gridCol w:w="1157"/>
        <w:gridCol w:w="1157"/>
        <w:gridCol w:w="1157"/>
        <w:gridCol w:w="1157"/>
        <w:gridCol w:w="1157"/>
        <w:gridCol w:w="1157"/>
      </w:tblGrid>
      <w:tr>
        <w:trPr>
          <w:trHeight w:hRule="exact" w:val="15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TIPS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Tasa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27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Saldo Inicial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21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Actual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Participación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14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Amortización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4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Cobertura Vigente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4" w:after="0"/>
              <w:ind w:left="5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156.33%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37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03366"/>
                <w:sz w:val="14"/>
                <w:u w:val="single"/>
              </w:rPr>
              <w:t>Cobeturas Externas</w:t>
            </w:r>
          </w:p>
        </w:tc>
      </w:tr>
      <w:tr>
        <w:trPr>
          <w:trHeight w:hRule="exact" w:val="2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2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A-2027: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2" w:after="0"/>
              <w:ind w:left="18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2.22%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2" w:after="0"/>
              <w:ind w:left="274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1,166,135.5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2" w:after="0"/>
              <w:ind w:left="2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325,170.0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68.2%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2" w:after="0"/>
              <w:ind w:left="0" w:right="59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72.1%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2" w:after="0"/>
              <w:ind w:left="0" w:right="19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</w:t>
            </w:r>
          </w:p>
        </w:tc>
        <w:tc>
          <w:tcPr>
            <w:tcW w:type="dxa" w:w="115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2" w:after="0"/>
              <w:ind w:left="0" w:right="26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TC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3,252</w:t>
            </w:r>
          </w:p>
        </w:tc>
      </w:tr>
      <w:tr>
        <w:trPr>
          <w:trHeight w:hRule="exact" w:val="1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B-2034: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18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4.70%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24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129,570.0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2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125,007.3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26.2%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62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3.5%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19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5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112.92%</w:t>
            </w:r>
          </w:p>
        </w:tc>
        <w:tc>
          <w:tcPr>
            <w:tcW w:type="dxa" w:w="1157"/>
            <w:vMerge/>
            <w:tcBorders/>
          </w:tcPr>
          <w:p/>
        </w:tc>
        <w:tc>
          <w:tcPr>
            <w:tcW w:type="dxa" w:w="115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MZ-2034: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18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7.20%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27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16,162.5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15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16,162.5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3.4%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62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19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 + MZ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5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109.01%</w:t>
            </w:r>
          </w:p>
        </w:tc>
        <w:tc>
          <w:tcPr>
            <w:tcW w:type="dxa" w:w="1157"/>
            <w:vMerge/>
            <w:tcBorders/>
          </w:tcPr>
          <w:p/>
        </w:tc>
        <w:tc>
          <w:tcPr>
            <w:tcW w:type="dxa" w:w="115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C--2034: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18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9.00%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27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10,364.5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15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10,364.5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2.2%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62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19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 + MZ + C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5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106.64%</w:t>
            </w:r>
          </w:p>
        </w:tc>
        <w:tc>
          <w:tcPr>
            <w:tcW w:type="dxa" w:w="1157"/>
            <w:vMerge/>
            <w:tcBorders/>
          </w:tcPr>
          <w:p/>
        </w:tc>
        <w:tc>
          <w:tcPr>
            <w:tcW w:type="dxa" w:w="115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4" w:after="104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Prepago________________________________________________________________________________________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058"/>
        </w:trPr>
        <w:tc>
          <w:tcPr>
            <w:tcW w:type="dxa" w:w="516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76.0" w:type="dxa"/>
            </w:tblPr>
            <w:tblGrid>
              <w:gridCol w:w="1290"/>
              <w:gridCol w:w="1290"/>
              <w:gridCol w:w="1290"/>
              <w:gridCol w:w="1290"/>
            </w:tblGrid>
            <w:tr>
              <w:trPr>
                <w:trHeight w:hRule="exact" w:val="504"/>
              </w:trPr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4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Observado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febrero</w:t>
                  </w:r>
                </w:p>
              </w:tc>
              <w:tc>
                <w:tcPr>
                  <w:tcW w:type="dxa" w:w="9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móvil 12 meses</w:t>
                  </w:r>
                </w:p>
              </w:tc>
              <w:tc>
                <w:tcPr>
                  <w:tcW w:type="dxa" w:w="11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4" w:right="144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de la emisión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0" w:after="0"/>
                    <w:ind w:left="144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Escenario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valoración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marzo</w:t>
                  </w:r>
                </w:p>
              </w:tc>
            </w:tr>
            <w:tr>
              <w:trPr>
                <w:trHeight w:hRule="exact" w:val="155"/>
              </w:trPr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26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10.22%</w:t>
                  </w:r>
                </w:p>
              </w:tc>
              <w:tc>
                <w:tcPr>
                  <w:tcW w:type="dxa" w:w="9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26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9.42%</w:t>
                  </w:r>
                </w:p>
              </w:tc>
              <w:tc>
                <w:tcPr>
                  <w:tcW w:type="dxa" w:w="11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26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10.20%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26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9.42%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6.0" w:type="dxa"/>
            </w:tblPr>
            <w:tblGrid>
              <w:gridCol w:w="5160"/>
            </w:tblGrid>
            <w:tr>
              <w:trPr>
                <w:trHeight w:hRule="exact" w:val="1888"/>
              </w:trPr>
              <w:tc>
                <w:tcPr>
                  <w:tcW w:type="dxa" w:w="4232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2.00000000000003" w:type="dxa"/>
                  </w:tblPr>
                  <w:tblGrid>
                    <w:gridCol w:w="1058"/>
                    <w:gridCol w:w="1058"/>
                    <w:gridCol w:w="1058"/>
                    <w:gridCol w:w="1058"/>
                  </w:tblGrid>
                  <w:tr>
                    <w:trPr>
                      <w:trHeight w:hRule="exact" w:val="1584"/>
                    </w:trPr>
                    <w:tc>
                      <w:tcPr>
                        <w:tcW w:type="dxa" w:w="3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0" w:lineRule="exact" w:before="15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60%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50%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40%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30%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20%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10%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0%</w:t>
                        </w:r>
                      </w:p>
                    </w:tc>
                    <w:tc>
                      <w:tcPr>
                        <w:tcW w:type="dxa" w:w="3820"/>
                        <w:gridSpan w:val="3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6" w:after="20"/>
                          <w:ind w:left="1008" w:right="1334" w:firstLine="0"/>
                          <w:jc w:val="right"/>
                        </w:pPr>
                        <w:r>
                          <w:rPr>
                            <w:w w:val="102.8000036875407"/>
                            <w:rFonts w:ascii="Arial" w:hAnsi="Arial" w:eastAsia="Arial"/>
                            <w:b/>
                            <w:i w:val="0"/>
                            <w:color w:val="003366"/>
                            <w:sz w:val="12"/>
                          </w:rPr>
                          <w:t xml:space="preserve">Amortización de capital </w:t>
                        </w:r>
                        <w:r>
                          <w:br/>
                        </w:r>
                        <w:r>
                          <w:rPr>
                            <w:w w:val="102.8000036875407"/>
                            <w:rFonts w:ascii="Arial" w:hAnsi="Arial" w:eastAsia="Arial"/>
                            <w:b/>
                            <w:i w:val="0"/>
                            <w:color w:val="003366"/>
                            <w:sz w:val="12"/>
                          </w:rPr>
                          <w:t>acumulado de la cartera</w:t>
                        </w: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54.00000000000006" w:type="dxa"/>
                        </w:tblPr>
                        <w:tblGrid>
                          <w:gridCol w:w="424"/>
                          <w:gridCol w:w="424"/>
                          <w:gridCol w:w="424"/>
                          <w:gridCol w:w="424"/>
                          <w:gridCol w:w="424"/>
                          <w:gridCol w:w="424"/>
                          <w:gridCol w:w="424"/>
                          <w:gridCol w:w="424"/>
                          <w:gridCol w:w="424"/>
                        </w:tblGrid>
                        <w:tr>
                          <w:trPr>
                            <w:trHeight w:hRule="exact" w:val="547"/>
                          </w:trPr>
                          <w:tc>
                            <w:tcPr>
                              <w:tcW w:type="dxa" w:w="258"/>
                              <w:tcBorders>
                                <w:start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40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38"/>
                              <w:vMerge w:val="restart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8" w:lineRule="exact" w:before="514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0"/>
                                </w:rPr>
                                <w:t>58.21%</w:t>
                              </w:r>
                            </w:p>
                          </w:tc>
                          <w:tc>
                            <w:tcPr>
                              <w:tcW w:type="dxa" w:w="518"/>
                              <w:gridSpan w:val="2"/>
                              <w:vMerge w:val="restart"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38"/>
                              <w:vMerge w:val="restart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8" w:lineRule="exact" w:before="498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0"/>
                                </w:rPr>
                                <w:t>57.87%</w:t>
                              </w:r>
                            </w:p>
                          </w:tc>
                          <w:tc>
                            <w:tcPr>
                              <w:tcW w:type="dxa" w:w="260"/>
                              <w:vMerge w:val="restart"/>
                              <w:tcBorders>
                                <w:start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658"/>
                          </w:trPr>
                          <w:tc>
                            <w:tcPr>
                              <w:tcW w:type="dxa" w:w="258"/>
                              <w:tcBorders>
                                <w:start w:sz="1.2400000095367432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40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8" w:lineRule="exact" w:before="278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0"/>
                                </w:rPr>
                                <w:t>32.04%</w:t>
                              </w:r>
                            </w:p>
                          </w:tc>
                          <w:tc>
                            <w:tcPr>
                              <w:tcW w:type="dxa" w:w="258"/>
                              <w:tcBorders>
                                <w:start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24"/>
                              <w:vMerge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848"/>
                              <w:gridSpan w:val="2"/>
                              <w:vMerge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424"/>
                              <w:vMerge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424"/>
                              <w:vMerge/>
                              <w:tcBorders>
                                <w:start w:sz="9.920000076293945" w:val="single" w:color="#000000"/>
                                <w:bottom w:sz="1.2400000095367432" w:val="single" w:color="#000000"/>
                              </w:tcBorders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232"/>
                    </w:trPr>
                    <w:tc>
                      <w:tcPr>
                        <w:tcW w:type="dxa" w:w="1058"/>
                        <w:vMerge/>
                        <w:tcBorders/>
                      </w:tcPr>
                      <w:p/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36" w:after="0"/>
                          <w:ind w:left="0" w:right="370" w:firstLine="0"/>
                          <w:jc w:val="right"/>
                        </w:pPr>
                        <w:r>
                          <w:rPr>
                            <w:w w:val="102.800003687540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2"/>
                          </w:rPr>
                          <w:t>Teórico</w:t>
                        </w:r>
                      </w:p>
                    </w:tc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36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800003687540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2"/>
                          </w:rPr>
                          <w:t>10% CPR</w:t>
                        </w:r>
                      </w:p>
                    </w:tc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36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800003687540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2"/>
                          </w:rPr>
                          <w:t>Observado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0" w:after="0"/>
              <w:ind w:left="17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>Mora observada_______________________________</w:t>
            </w:r>
          </w:p>
          <w:p>
            <w:pPr>
              <w:autoSpaceDN w:val="0"/>
              <w:tabs>
                <w:tab w:pos="1744" w:val="left"/>
              </w:tabs>
              <w:autoSpaceDE w:val="0"/>
              <w:widowControl/>
              <w:spacing w:line="256" w:lineRule="exact" w:before="104" w:after="0"/>
              <w:ind w:left="204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7.0% </w:t>
            </w:r>
            <w:r>
              <w:tab/>
            </w:r>
            <w:r>
              <w:rPr>
                <w:w w:val="102.17142786298479"/>
                <w:rFonts w:ascii="Arial" w:hAnsi="Arial" w:eastAsia="Arial"/>
                <w:b/>
                <w:i w:val="0"/>
                <w:color w:val="003366"/>
                <w:sz w:val="14"/>
              </w:rPr>
              <w:t>Mora 120 días/ saldo inicial</w:t>
            </w:r>
          </w:p>
          <w:p>
            <w:pPr>
              <w:autoSpaceDN w:val="0"/>
              <w:autoSpaceDE w:val="0"/>
              <w:widowControl/>
              <w:spacing w:line="170" w:lineRule="exact" w:before="880" w:after="0"/>
              <w:ind w:left="204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3.0%</w:t>
            </w:r>
          </w:p>
          <w:p>
            <w:pPr>
              <w:autoSpaceDN w:val="0"/>
              <w:autoSpaceDE w:val="0"/>
              <w:widowControl/>
              <w:spacing w:line="170" w:lineRule="exact" w:before="92" w:after="0"/>
              <w:ind w:left="204" w:right="0" w:firstLine="0"/>
              <w:jc w:val="left"/>
            </w:pPr>
            <w:r>
              <w:rPr>
                <w:w w:val="103.19999853769939"/>
                <w:rFonts w:ascii="ArialMT" w:hAnsi="ArialMT" w:eastAsia="ArialMT"/>
                <w:b w:val="0"/>
                <w:i w:val="0"/>
                <w:color w:val="000000"/>
                <w:sz w:val="12"/>
              </w:rPr>
              <w:t>2.0%</w:t>
            </w:r>
          </w:p>
          <w:p>
            <w:pPr>
              <w:autoSpaceDN w:val="0"/>
              <w:autoSpaceDE w:val="0"/>
              <w:widowControl/>
              <w:spacing w:line="170" w:lineRule="exact" w:before="92" w:after="0"/>
              <w:ind w:left="204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1.0%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781300" cy="1206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206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204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6.0%</w:t>
            </w:r>
          </w:p>
          <w:p>
            <w:pPr>
              <w:autoSpaceDN w:val="0"/>
              <w:autoSpaceDE w:val="0"/>
              <w:widowControl/>
              <w:spacing w:line="170" w:lineRule="exact" w:before="92" w:after="0"/>
              <w:ind w:left="204" w:right="0" w:firstLine="0"/>
              <w:jc w:val="left"/>
            </w:pPr>
            <w:r>
              <w:rPr>
                <w:w w:val="103.19999853769939"/>
                <w:rFonts w:ascii="ArialMT" w:hAnsi="ArialMT" w:eastAsia="ArialMT"/>
                <w:b w:val="0"/>
                <w:i w:val="0"/>
                <w:color w:val="000000"/>
                <w:sz w:val="12"/>
              </w:rPr>
              <w:t>5.0%</w:t>
            </w:r>
          </w:p>
          <w:p>
            <w:pPr>
              <w:autoSpaceDN w:val="0"/>
              <w:autoSpaceDE w:val="0"/>
              <w:widowControl/>
              <w:spacing w:line="170" w:lineRule="exact" w:before="94" w:after="0"/>
              <w:ind w:left="204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4.0%</w:t>
            </w:r>
          </w:p>
          <w:p>
            <w:pPr>
              <w:autoSpaceDN w:val="0"/>
              <w:tabs>
                <w:tab w:pos="1110" w:val="left"/>
                <w:tab w:pos="1804" w:val="left"/>
                <w:tab w:pos="2464" w:val="left"/>
                <w:tab w:pos="3130" w:val="left"/>
                <w:tab w:pos="3790" w:val="left"/>
                <w:tab w:pos="4484" w:val="left"/>
              </w:tabs>
              <w:autoSpaceDE w:val="0"/>
              <w:widowControl/>
              <w:spacing w:line="142" w:lineRule="exact" w:before="1016" w:after="0"/>
              <w:ind w:left="452" w:right="0" w:firstLine="0"/>
              <w:jc w:val="left"/>
            </w:pP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ago19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may20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feb21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nov21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ago22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may23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>feb24</w:t>
            </w:r>
          </w:p>
        </w:tc>
        <w:tc>
          <w:tcPr>
            <w:tcW w:type="dxa" w:w="616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14" w:after="0"/>
              <w:ind w:left="0" w:right="29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3366"/>
                <w:sz w:val="10"/>
              </w:rPr>
              <w:t>Evolución del prepago</w:t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2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30.0%</w:t>
            </w:r>
          </w:p>
          <w:p>
            <w:pPr>
              <w:autoSpaceDN w:val="0"/>
              <w:autoSpaceDE w:val="0"/>
              <w:widowControl/>
              <w:spacing w:line="166" w:lineRule="exact" w:before="544" w:after="0"/>
              <w:ind w:left="2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15.0%</w:t>
            </w:r>
          </w:p>
          <w:p>
            <w:pPr>
              <w:autoSpaceDN w:val="0"/>
              <w:autoSpaceDE w:val="0"/>
              <w:widowControl/>
              <w:spacing w:line="166" w:lineRule="exact" w:before="70" w:after="0"/>
              <w:ind w:left="2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10.0%</w:t>
            </w:r>
          </w:p>
          <w:p>
            <w:pPr>
              <w:autoSpaceDN w:val="0"/>
              <w:autoSpaceDE w:val="0"/>
              <w:widowControl/>
              <w:spacing w:line="164" w:lineRule="exact" w:before="72" w:after="0"/>
              <w:ind w:left="3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5.0%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997200" cy="939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939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2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25.0%</w:t>
            </w:r>
          </w:p>
          <w:p>
            <w:pPr>
              <w:autoSpaceDN w:val="0"/>
              <w:autoSpaceDE w:val="0"/>
              <w:widowControl/>
              <w:spacing w:line="164" w:lineRule="exact" w:before="72" w:after="0"/>
              <w:ind w:left="2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20.0%</w:t>
            </w:r>
          </w:p>
          <w:p>
            <w:pPr>
              <w:autoSpaceDN w:val="0"/>
              <w:tabs>
                <w:tab w:pos="1232" w:val="left"/>
                <w:tab w:pos="1980" w:val="left"/>
                <w:tab w:pos="2678" w:val="left"/>
                <w:tab w:pos="3384" w:val="left"/>
                <w:tab w:pos="4080" w:val="left"/>
                <w:tab w:pos="4828" w:val="left"/>
              </w:tabs>
              <w:autoSpaceDE w:val="0"/>
              <w:widowControl/>
              <w:spacing w:line="166" w:lineRule="exact" w:before="926" w:after="0"/>
              <w:ind w:left="5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ago19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may20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feb21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nov21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ago22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may23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feb24</w:t>
            </w:r>
          </w:p>
        </w:tc>
      </w:tr>
      <w:tr>
        <w:trPr>
          <w:trHeight w:hRule="exact" w:val="360"/>
        </w:trPr>
        <w:tc>
          <w:tcPr>
            <w:tcW w:type="dxa" w:w="5061"/>
            <w:gridSpan w:val="7"/>
            <w:vMerge/>
            <w:tcBorders/>
          </w:tcPr>
          <w:p/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38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04" w:after="0"/>
              <w:ind w:left="22" w:right="0" w:firstLine="0"/>
              <w:jc w:val="left"/>
            </w:pPr>
            <w:r>
              <w:rPr>
                <w:w w:val="101.60000324249268"/>
                <w:rFonts w:ascii="ArialMT" w:hAnsi="ArialMT" w:eastAsia="ArialMT"/>
                <w:b w:val="0"/>
                <w:i w:val="0"/>
                <w:color w:val="000000"/>
                <w:sz w:val="6"/>
              </w:rPr>
              <w:t>Observado</w:t>
            </w:r>
          </w:p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04" w:after="0"/>
              <w:ind w:left="0" w:right="0" w:firstLine="0"/>
              <w:jc w:val="right"/>
            </w:pPr>
            <w:r>
              <w:rPr>
                <w:w w:val="101.60000324249268"/>
                <w:rFonts w:ascii="ArialMT" w:hAnsi="ArialMT" w:eastAsia="ArialMT"/>
                <w:b w:val="0"/>
                <w:i w:val="0"/>
                <w:color w:val="000000"/>
                <w:sz w:val="6"/>
              </w:rPr>
              <w:t xml:space="preserve">Media Móvil 12 meses 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6" w:val="left"/>
              </w:tabs>
              <w:autoSpaceDE w:val="0"/>
              <w:widowControl/>
              <w:spacing w:line="84" w:lineRule="exact" w:before="104" w:after="0"/>
              <w:ind w:left="0" w:right="0" w:firstLine="0"/>
              <w:jc w:val="left"/>
            </w:pPr>
            <w:r>
              <w:rPr>
                <w:w w:val="101.60000324249268"/>
                <w:rFonts w:ascii="ArialMT" w:hAnsi="ArialMT" w:eastAsia="ArialMT"/>
                <w:b w:val="0"/>
                <w:i w:val="0"/>
                <w:color w:val="000000"/>
                <w:sz w:val="6"/>
              </w:rPr>
              <w:t xml:space="preserve">s </w:t>
            </w:r>
            <w:r>
              <w:tab/>
            </w:r>
            <w:r>
              <w:rPr>
                <w:w w:val="101.60000324249268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6%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04" w:after="0"/>
              <w:ind w:left="0" w:right="172" w:firstLine="0"/>
              <w:jc w:val="right"/>
            </w:pPr>
            <w:r>
              <w:rPr>
                <w:w w:val="101.60000324249268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10%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04" w:after="0"/>
              <w:ind w:left="0" w:right="28" w:firstLine="0"/>
              <w:jc w:val="right"/>
            </w:pPr>
            <w:r>
              <w:rPr>
                <w:w w:val="101.60000324249268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14%</w:t>
            </w:r>
          </w:p>
        </w:tc>
        <w:tc>
          <w:tcPr>
            <w:tcW w:type="dxa" w:w="1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04" w:after="0"/>
              <w:ind w:left="0" w:right="744" w:firstLine="0"/>
              <w:jc w:val="right"/>
            </w:pPr>
            <w:r>
              <w:rPr>
                <w:w w:val="101.60000324249268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20%</w:t>
            </w:r>
          </w:p>
        </w:tc>
      </w:tr>
      <w:tr>
        <w:trPr>
          <w:trHeight w:hRule="exact" w:val="820"/>
        </w:trPr>
        <w:tc>
          <w:tcPr>
            <w:tcW w:type="dxa" w:w="5061"/>
            <w:gridSpan w:val="7"/>
            <w:vMerge/>
            <w:tcBorders/>
          </w:tcPr>
          <w:p/>
        </w:tc>
        <w:tc>
          <w:tcPr>
            <w:tcW w:type="dxa" w:w="616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186" w:after="0"/>
              <w:ind w:left="410" w:right="144" w:firstLine="1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 xml:space="preserve">Escenarios de Estrés______________________________ </w:t>
            </w:r>
            <w:r>
              <w:br/>
            </w: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 xml:space="preserve">% de amortización de capital proyectado  para diferentes escenarios de estrés  de prepago -CPR 10 %, 20 % o la Media Movil (MM) de los </w:t>
            </w:r>
          </w:p>
          <w:p>
            <w:pPr>
              <w:autoSpaceDN w:val="0"/>
              <w:autoSpaceDE w:val="0"/>
              <w:widowControl/>
              <w:spacing w:line="199" w:lineRule="auto" w:before="36" w:after="0"/>
              <w:ind w:left="410" w:right="0" w:firstLine="0"/>
              <w:jc w:val="left"/>
            </w:pP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>últimos 12 meses- y mora 1, 1,5 o 5 veces la curva proyectada</w:t>
            </w:r>
          </w:p>
        </w:tc>
      </w:tr>
      <w:tr>
        <w:trPr>
          <w:trHeight w:hRule="exact" w:val="180"/>
        </w:trPr>
        <w:tc>
          <w:tcPr>
            <w:tcW w:type="dxa" w:w="5061"/>
            <w:gridSpan w:val="7"/>
            <w:vMerge/>
            <w:tcBorders/>
          </w:tcPr>
          <w:p/>
        </w:tc>
        <w:tc>
          <w:tcPr>
            <w:tcW w:type="dxa" w:w="1242"/>
            <w:gridSpan w:val="3"/>
            <w:vMerge w:val="restart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9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Prepago</w:t>
            </w:r>
          </w:p>
        </w:tc>
        <w:tc>
          <w:tcPr>
            <w:tcW w:type="dxa" w:w="718"/>
            <w:vMerge w:val="restart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Mora</w:t>
            </w:r>
          </w:p>
        </w:tc>
        <w:tc>
          <w:tcPr>
            <w:tcW w:type="dxa" w:w="1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42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</w:t>
            </w:r>
          </w:p>
        </w:tc>
        <w:tc>
          <w:tcPr>
            <w:tcW w:type="dxa" w:w="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B</w:t>
            </w:r>
          </w:p>
        </w:tc>
        <w:tc>
          <w:tcPr>
            <w:tcW w:type="dxa" w:w="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MZ</w:t>
            </w:r>
          </w:p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6" w:after="0"/>
              <w:ind w:left="0" w:right="30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8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  <w:u w:val="single"/>
              </w:rPr>
              <w:t xml:space="preserve">Residual Miles de </w:t>
            </w:r>
          </w:p>
        </w:tc>
      </w:tr>
      <w:tr>
        <w:trPr>
          <w:trHeight w:hRule="exact" w:val="180"/>
        </w:trPr>
        <w:tc>
          <w:tcPr>
            <w:tcW w:type="dxa" w:w="5061"/>
            <w:gridSpan w:val="7"/>
            <w:vMerge/>
            <w:tcBorders/>
          </w:tcPr>
          <w:p/>
        </w:tc>
        <w:tc>
          <w:tcPr>
            <w:tcW w:type="dxa" w:w="2169"/>
            <w:gridSpan w:val="3"/>
            <w:vMerge/>
            <w:tcBorders>
              <w:end w:sz="7.440000057220459" w:val="single" w:color="#FF00FF"/>
            </w:tcBorders>
          </w:tcPr>
          <w:p/>
        </w:tc>
        <w:tc>
          <w:tcPr>
            <w:tcW w:type="dxa" w:w="723"/>
            <w:vMerge/>
            <w:tcBorders>
              <w:start w:sz="7.440000057220459" w:val="single" w:color="#FF00FF"/>
            </w:tcBorders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  <w:u w:val="single"/>
              </w:rPr>
              <w:t>UVR</w:t>
            </w:r>
          </w:p>
        </w:tc>
      </w:tr>
      <w:tr>
        <w:trPr>
          <w:trHeight w:hRule="exact" w:val="180"/>
        </w:trPr>
        <w:tc>
          <w:tcPr>
            <w:tcW w:type="dxa" w:w="5061"/>
            <w:gridSpan w:val="7"/>
            <w:vMerge/>
            <w:tcBorders/>
          </w:tcPr>
          <w:p/>
        </w:tc>
        <w:tc>
          <w:tcPr>
            <w:tcW w:type="dxa" w:w="124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71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5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27,394</w:t>
            </w:r>
          </w:p>
        </w:tc>
      </w:tr>
      <w:tr>
        <w:trPr>
          <w:trHeight w:hRule="exact" w:val="180"/>
        </w:trPr>
        <w:tc>
          <w:tcPr>
            <w:tcW w:type="dxa" w:w="5061"/>
            <w:gridSpan w:val="7"/>
            <w:vMerge/>
            <w:tcBorders/>
          </w:tcPr>
          <w:p/>
        </w:tc>
        <w:tc>
          <w:tcPr>
            <w:tcW w:type="dxa" w:w="124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71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5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31,482</w:t>
            </w:r>
          </w:p>
        </w:tc>
      </w:tr>
      <w:tr>
        <w:trPr>
          <w:trHeight w:hRule="exact" w:val="180"/>
        </w:trPr>
        <w:tc>
          <w:tcPr>
            <w:tcW w:type="dxa" w:w="5061"/>
            <w:gridSpan w:val="7"/>
            <w:vMerge/>
            <w:tcBorders/>
          </w:tcPr>
          <w:p/>
        </w:tc>
        <w:tc>
          <w:tcPr>
            <w:tcW w:type="dxa" w:w="124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71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5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27,551</w:t>
            </w:r>
          </w:p>
        </w:tc>
      </w:tr>
      <w:tr>
        <w:trPr>
          <w:trHeight w:hRule="exact" w:val="180"/>
        </w:trPr>
        <w:tc>
          <w:tcPr>
            <w:tcW w:type="dxa" w:w="5061"/>
            <w:gridSpan w:val="7"/>
            <w:vMerge/>
            <w:tcBorders/>
          </w:tcPr>
          <w:p/>
        </w:tc>
        <w:tc>
          <w:tcPr>
            <w:tcW w:type="dxa" w:w="124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71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5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22,994</w:t>
            </w:r>
          </w:p>
        </w:tc>
      </w:tr>
      <w:tr>
        <w:trPr>
          <w:trHeight w:hRule="exact" w:val="180"/>
        </w:trPr>
        <w:tc>
          <w:tcPr>
            <w:tcW w:type="dxa" w:w="5061"/>
            <w:gridSpan w:val="7"/>
            <w:vMerge/>
            <w:tcBorders/>
          </w:tcPr>
          <w:p/>
        </w:tc>
        <w:tc>
          <w:tcPr>
            <w:tcW w:type="dxa" w:w="124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71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5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27,838</w:t>
            </w:r>
          </w:p>
        </w:tc>
      </w:tr>
      <w:tr>
        <w:trPr>
          <w:trHeight w:hRule="exact" w:val="180"/>
        </w:trPr>
        <w:tc>
          <w:tcPr>
            <w:tcW w:type="dxa" w:w="5061"/>
            <w:gridSpan w:val="7"/>
            <w:vMerge/>
            <w:tcBorders/>
          </w:tcPr>
          <w:p/>
        </w:tc>
        <w:tc>
          <w:tcPr>
            <w:tcW w:type="dxa" w:w="124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71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5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23,087</w:t>
            </w:r>
          </w:p>
        </w:tc>
      </w:tr>
      <w:tr>
        <w:trPr>
          <w:trHeight w:hRule="exact" w:val="180"/>
        </w:trPr>
        <w:tc>
          <w:tcPr>
            <w:tcW w:type="dxa" w:w="5061"/>
            <w:gridSpan w:val="7"/>
            <w:vMerge/>
            <w:tcBorders/>
          </w:tcPr>
          <w:p/>
        </w:tc>
        <w:tc>
          <w:tcPr>
            <w:tcW w:type="dxa" w:w="124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71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5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23</w:t>
            </w:r>
          </w:p>
        </w:tc>
      </w:tr>
      <w:tr>
        <w:trPr>
          <w:trHeight w:hRule="exact" w:val="180"/>
        </w:trPr>
        <w:tc>
          <w:tcPr>
            <w:tcW w:type="dxa" w:w="5061"/>
            <w:gridSpan w:val="7"/>
            <w:vMerge/>
            <w:tcBorders/>
          </w:tcPr>
          <w:p/>
        </w:tc>
        <w:tc>
          <w:tcPr>
            <w:tcW w:type="dxa" w:w="124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71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5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6,607</w:t>
            </w:r>
          </w:p>
        </w:tc>
      </w:tr>
      <w:tr>
        <w:trPr>
          <w:trHeight w:hRule="exact" w:val="160"/>
        </w:trPr>
        <w:tc>
          <w:tcPr>
            <w:tcW w:type="dxa" w:w="5061"/>
            <w:gridSpan w:val="7"/>
            <w:vMerge/>
            <w:tcBorders/>
          </w:tcPr>
          <w:p/>
        </w:tc>
        <w:tc>
          <w:tcPr>
            <w:tcW w:type="dxa" w:w="124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0" w:right="1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71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0" w:right="5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0" w:right="17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</w:tr>
      <w:tr>
        <w:trPr>
          <w:trHeight w:hRule="exact" w:val="240"/>
        </w:trPr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90" w:after="0"/>
              <w:ind w:left="0" w:right="6" w:firstLine="0"/>
              <w:jc w:val="right"/>
            </w:pPr>
            <w:r>
              <w:rPr>
                <w:w w:val="101.60000324249268"/>
                <w:rFonts w:ascii="ArialMT" w:hAnsi="ArialMT" w:eastAsia="ArialMT"/>
                <w:b w:val="0"/>
                <w:i w:val="0"/>
                <w:color w:val="000000"/>
                <w:sz w:val="6"/>
              </w:rPr>
              <w:t>P 2.5%</w:t>
            </w:r>
          </w:p>
        </w:tc>
        <w:tc>
          <w:tcPr>
            <w:tcW w:type="dxa" w:w="1014"/>
            <w:gridSpan w:val="2"/>
            <w:tcBorders>
              <w:end w:sz="7.440000057220459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90" w:after="0"/>
              <w:ind w:left="0" w:right="198" w:firstLine="0"/>
              <w:jc w:val="right"/>
            </w:pPr>
            <w:r>
              <w:rPr>
                <w:w w:val="101.60000324249268"/>
                <w:rFonts w:ascii="ArialMT" w:hAnsi="ArialMT" w:eastAsia="ArialMT"/>
                <w:b w:val="0"/>
                <w:i w:val="0"/>
                <w:color w:val="000000"/>
                <w:sz w:val="6"/>
              </w:rPr>
              <w:t>P 50%</w:t>
            </w:r>
          </w:p>
        </w:tc>
        <w:tc>
          <w:tcPr>
            <w:tcW w:type="dxa" w:w="406"/>
            <w:tcBorders>
              <w:start w:sz="7.440000057220459" w:val="single" w:color="#00FF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38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90" w:after="0"/>
              <w:ind w:left="18" w:right="0" w:firstLine="0"/>
              <w:jc w:val="left"/>
            </w:pPr>
            <w:r>
              <w:rPr>
                <w:w w:val="101.60000324249268"/>
                <w:rFonts w:ascii="ArialMT" w:hAnsi="ArialMT" w:eastAsia="ArialMT"/>
                <w:b w:val="0"/>
                <w:i w:val="0"/>
                <w:color w:val="000000"/>
                <w:sz w:val="6"/>
              </w:rPr>
              <w:t>Observado</w:t>
            </w:r>
          </w:p>
        </w:tc>
        <w:tc>
          <w:tcPr>
            <w:tcW w:type="dxa" w:w="16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90" w:after="0"/>
              <w:ind w:left="0" w:right="924" w:firstLine="0"/>
              <w:jc w:val="right"/>
            </w:pPr>
            <w:r>
              <w:rPr>
                <w:w w:val="101.60000324249268"/>
                <w:rFonts w:ascii="ArialMT" w:hAnsi="ArialMT" w:eastAsia="ArialMT"/>
                <w:b w:val="0"/>
                <w:i w:val="0"/>
                <w:color w:val="000000"/>
                <w:sz w:val="6"/>
              </w:rPr>
              <w:t>P 97.5%</w:t>
            </w:r>
          </w:p>
        </w:tc>
        <w:tc>
          <w:tcPr>
            <w:tcW w:type="dxa" w:w="6160"/>
            <w:gridSpan w:val="9"/>
            <w:vMerge w:val="restart"/>
            <w:tcBorders>
              <w:bottom w:sz="4.960000038146973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86" w:after="0"/>
              <w:ind w:left="41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3366"/>
                <w:sz w:val="15"/>
              </w:rPr>
              <w:t>Notas:</w:t>
            </w:r>
            <w:r>
              <w:br/>
            </w: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 Vigente : Saldo de capital de la cartera con mora inferior a 120 días dividido por el saldo de los TIPS en la fecha de liquidación.</w:t>
            </w:r>
          </w:p>
          <w:p>
            <w:pPr>
              <w:autoSpaceDN w:val="0"/>
              <w:autoSpaceDE w:val="0"/>
              <w:widowControl/>
              <w:spacing w:line="100" w:lineRule="exact" w:before="134" w:after="0"/>
              <w:ind w:left="4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Coberturas Externas : Saldo del Mecanismo de Cobertura Parcial de los títulos A.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4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 Teórico: Pago contractual de los créditos en un escanario de cero mora y cero prepago.</w:t>
            </w:r>
          </w:p>
          <w:p>
            <w:pPr>
              <w:autoSpaceDN w:val="0"/>
              <w:autoSpaceDE w:val="0"/>
              <w:widowControl/>
              <w:spacing w:line="98" w:lineRule="exact" w:before="136" w:after="0"/>
              <w:ind w:left="0" w:right="0" w:firstLine="0"/>
              <w:jc w:val="center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Prepago es el agregado de la suma de prepago parcial y total anualizado. Prepago promedio ponderado (pp) de la emisión: Corresponde al prepago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414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ponderado por el saldo de cartera de cada mes de la emisión. 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4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4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100" w:lineRule="exact" w:before="100" w:after="0"/>
              <w:ind w:left="406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Para efectos de monitorear el riesgo de crédito, el indicador de mora mayor a 120 días se ha proyectado teniendo en cuenta el comportamiento crediticio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406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de una muestra de desarrollo de 204,300 créditos hipotecarios. Se presenta la mora en percentiles  (P2,5%, P50% y P97,5%).  Para mayor información de la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406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metodología de proyección ver Anexo 2 del Prospecto de la emisión.</w:t>
            </w:r>
          </w:p>
          <w:p>
            <w:pPr>
              <w:autoSpaceDN w:val="0"/>
              <w:autoSpaceDE w:val="0"/>
              <w:widowControl/>
              <w:spacing w:line="98" w:lineRule="exact" w:before="136" w:after="0"/>
              <w:ind w:left="0" w:right="0" w:firstLine="0"/>
              <w:jc w:val="center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Escenarios: Muestra el porcentaje de amortización proyectado de cada título para diferentes escenarios de estrés de prepago y múltiplos de la mora </w:t>
            </w:r>
          </w:p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esperada. El monto residual una vez pagados los títulos es el valor presente descontado a la tir del pasivo correlativo. Para mayor información ver informe </w:t>
            </w:r>
          </w:p>
        </w:tc>
      </w:tr>
      <w:tr>
        <w:trPr>
          <w:trHeight w:hRule="exact" w:val="2040"/>
        </w:trPr>
        <w:tc>
          <w:tcPr>
            <w:tcW w:type="dxa" w:w="516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74.0" w:type="dxa"/>
            </w:tblPr>
            <w:tblGrid>
              <w:gridCol w:w="5160"/>
            </w:tblGrid>
            <w:tr>
              <w:trPr>
                <w:trHeight w:hRule="exact" w:val="154"/>
              </w:trPr>
              <w:tc>
                <w:tcPr>
                  <w:tcW w:type="dxa" w:w="2064"/>
                  <w:tcBorders>
                    <w:start w:sz="9.600000000000023" w:val="single" w:color="#000000"/>
                    <w:top w:sz="9.599999999999909" w:val="single" w:color="#000000"/>
                    <w:end w:sz="9.599999999999909" w:val="single" w:color="#000000"/>
                    <w:bottom w:sz="9.600000000000364" w:val="single" w:color="#000000"/>
                  </w:tcBorders>
                  <w:shd w:fill="b4b4b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0" w:after="0"/>
                    <w:ind w:left="0" w:right="0" w:firstLine="0"/>
                    <w:jc w:val="center"/>
                  </w:pP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234061"/>
                      <w:sz w:val="14"/>
                    </w:rPr>
                    <w:t>Mora observada feb: 2.05%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54" w:lineRule="exact" w:before="192" w:after="0"/>
              <w:ind w:left="1070" w:right="0" w:firstLine="0"/>
              <w:jc w:val="left"/>
            </w:pPr>
            <w:r>
              <w:rPr>
                <w:w w:val="101.67272741144353"/>
                <w:rFonts w:ascii="Arial" w:hAnsi="Arial" w:eastAsia="Arial"/>
                <w:b/>
                <w:i w:val="0"/>
                <w:color w:val="003366"/>
                <w:sz w:val="11"/>
              </w:rPr>
              <w:t xml:space="preserve">Evolución de las Tasas Anualizadas Implícitas de los Créditos </w:t>
            </w:r>
          </w:p>
          <w:p>
            <w:pPr>
              <w:autoSpaceDN w:val="0"/>
              <w:tabs>
                <w:tab w:pos="2378" w:val="left"/>
              </w:tabs>
              <w:autoSpaceDE w:val="0"/>
              <w:widowControl/>
              <w:spacing w:line="138" w:lineRule="exact" w:before="0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10% </w:t>
            </w:r>
            <w:r>
              <w:tab/>
            </w:r>
            <w:r>
              <w:rPr>
                <w:w w:val="101.67272741144353"/>
                <w:rFonts w:ascii="Arial" w:hAnsi="Arial" w:eastAsia="Arial"/>
                <w:b/>
                <w:i w:val="0"/>
                <w:color w:val="003366"/>
                <w:sz w:val="11"/>
              </w:rPr>
              <w:t>Hipotecarios</w:t>
            </w:r>
          </w:p>
          <w:p>
            <w:pPr>
              <w:autoSpaceDN w:val="0"/>
              <w:autoSpaceDE w:val="0"/>
              <w:widowControl/>
              <w:spacing w:line="138" w:lineRule="exact" w:before="400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5%</w:t>
            </w:r>
          </w:p>
          <w:p>
            <w:pPr>
              <w:autoSpaceDN w:val="0"/>
              <w:autoSpaceDE w:val="0"/>
              <w:widowControl/>
              <w:spacing w:line="138" w:lineRule="exact" w:before="0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4%</w:t>
            </w:r>
          </w:p>
          <w:p>
            <w:pPr>
              <w:autoSpaceDN w:val="0"/>
              <w:autoSpaceDE w:val="0"/>
              <w:widowControl/>
              <w:spacing w:line="136" w:lineRule="exact" w:before="0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2%</w:t>
            </w:r>
          </w:p>
          <w:p>
            <w:pPr>
              <w:autoSpaceDN w:val="0"/>
              <w:autoSpaceDE w:val="0"/>
              <w:widowControl/>
              <w:spacing w:line="136" w:lineRule="exact" w:before="0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1%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0%</w:t>
            </w:r>
            <w:r>
              <w:drawing>
                <wp:inline xmlns:a="http://schemas.openxmlformats.org/drawingml/2006/main" xmlns:pic="http://schemas.openxmlformats.org/drawingml/2006/picture">
                  <wp:extent cx="2781300" cy="736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3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38" w:lineRule="exact" w:before="0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8%</w:t>
            </w:r>
          </w:p>
          <w:p>
            <w:pPr>
              <w:autoSpaceDN w:val="0"/>
              <w:autoSpaceDE w:val="0"/>
              <w:widowControl/>
              <w:spacing w:line="136" w:lineRule="exact" w:before="0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7%</w:t>
            </w:r>
          </w:p>
          <w:p>
            <w:pPr>
              <w:autoSpaceDN w:val="0"/>
              <w:autoSpaceDE w:val="0"/>
              <w:widowControl/>
              <w:spacing w:line="136" w:lineRule="exact" w:before="0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6%</w:t>
            </w:r>
          </w:p>
          <w:p>
            <w:pPr>
              <w:autoSpaceDN w:val="0"/>
              <w:tabs>
                <w:tab w:pos="1098" w:val="left"/>
                <w:tab w:pos="1792" w:val="left"/>
                <w:tab w:pos="2444" w:val="left"/>
                <w:tab w:pos="3104" w:val="left"/>
                <w:tab w:pos="3756" w:val="left"/>
                <w:tab w:pos="4450" w:val="left"/>
              </w:tabs>
              <w:autoSpaceDE w:val="0"/>
              <w:widowControl/>
              <w:spacing w:line="138" w:lineRule="exact" w:before="654" w:after="0"/>
              <w:ind w:left="4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ago19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may20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feb21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nov21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ago22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may23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feb24</w:t>
            </w:r>
          </w:p>
        </w:tc>
        <w:tc>
          <w:tcPr>
            <w:tcW w:type="dxa" w:w="6507"/>
            <w:gridSpan w:val="9"/>
            <w:vMerge/>
            <w:tcBorders>
              <w:bottom w:sz="4.960000038146973" w:val="single" w:color="#041E42"/>
            </w:tcBorders>
          </w:tcPr>
          <w:p/>
        </w:tc>
      </w:tr>
      <w:tr>
        <w:trPr>
          <w:trHeight w:hRule="exact" w:val="122"/>
        </w:trPr>
        <w:tc>
          <w:tcPr>
            <w:tcW w:type="dxa" w:w="25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78" w:after="0"/>
              <w:ind w:left="0" w:right="474" w:firstLine="0"/>
              <w:jc w:val="right"/>
            </w:pPr>
            <w:r>
              <w:rPr>
                <w:w w:val="101.60000324249268"/>
                <w:rFonts w:ascii="ArialMT" w:hAnsi="ArialMT" w:eastAsia="ArialMT"/>
                <w:b w:val="0"/>
                <w:i w:val="0"/>
                <w:color w:val="000000"/>
                <w:sz w:val="6"/>
              </w:rPr>
              <w:t>Tasa Observada</w:t>
            </w:r>
          </w:p>
        </w:tc>
        <w:tc>
          <w:tcPr>
            <w:tcW w:type="dxa" w:w="9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78" w:after="0"/>
              <w:ind w:left="0" w:right="356" w:firstLine="0"/>
              <w:jc w:val="right"/>
            </w:pPr>
            <w:r>
              <w:rPr>
                <w:w w:val="101.60000324249268"/>
                <w:rFonts w:ascii="ArialMT" w:hAnsi="ArialMT" w:eastAsia="ArialMT"/>
                <w:b w:val="0"/>
                <w:i w:val="0"/>
                <w:color w:val="000000"/>
                <w:sz w:val="6"/>
              </w:rPr>
              <w:t>Tasa Teórica</w:t>
            </w:r>
          </w:p>
        </w:tc>
        <w:tc>
          <w:tcPr>
            <w:tcW w:type="dxa" w:w="3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25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7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78" w:after="0"/>
              <w:ind w:left="0" w:right="0" w:firstLine="0"/>
              <w:jc w:val="left"/>
            </w:pPr>
            <w:r>
              <w:rPr>
                <w:w w:val="101.60000324249268"/>
                <w:rFonts w:ascii="ArialMT" w:hAnsi="ArialMT" w:eastAsia="ArialMT"/>
                <w:b w:val="0"/>
                <w:i w:val="0"/>
                <w:color w:val="000000"/>
                <w:sz w:val="6"/>
              </w:rPr>
              <w:t>Tasa Esperada</w:t>
            </w:r>
          </w:p>
        </w:tc>
        <w:tc>
          <w:tcPr>
            <w:tcW w:type="dxa" w:w="6507"/>
            <w:gridSpan w:val="9"/>
            <w:vMerge/>
            <w:tcBorders>
              <w:bottom w:sz="4.960000038146973" w:val="single" w:color="#041E42"/>
            </w:tcBorders>
          </w:tcPr>
          <w:p/>
        </w:tc>
      </w:tr>
      <w:tr>
        <w:trPr>
          <w:trHeight w:hRule="exact" w:val="138"/>
        </w:trPr>
        <w:tc>
          <w:tcPr>
            <w:tcW w:type="dxa" w:w="1446"/>
            <w:gridSpan w:val="2"/>
            <w:vMerge/>
            <w:tcBorders/>
          </w:tcPr>
          <w:p/>
        </w:tc>
        <w:tc>
          <w:tcPr>
            <w:tcW w:type="dxa" w:w="2169"/>
            <w:gridSpan w:val="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6160"/>
            <w:gridSpan w:val="9"/>
            <w:vMerge w:val="restart"/>
            <w:tcBorders>
              <w:top w:sz="4.960000038146973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406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"Tablas de Amortización y Flujos Escenarios de Prepago y Mora" en www.titularizadora.com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0" w:right="0" w:firstLine="0"/>
              <w:jc w:val="center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Participación por Rango de Tasas: Muestra la composición de la cartera por los rangos de tasa, esto lo hace por monto y por cantidad. Por monto es </w:t>
            </w:r>
          </w:p>
          <w:p>
            <w:pPr>
              <w:autoSpaceDN w:val="0"/>
              <w:autoSpaceDE w:val="0"/>
              <w:widowControl/>
              <w:spacing w:line="199" w:lineRule="auto" w:before="30" w:after="0"/>
              <w:ind w:left="406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respecto al saldo total de los créditos hipotecarios y por cantidad es respecto al total de créditos.</w:t>
            </w:r>
          </w:p>
        </w:tc>
      </w:tr>
      <w:tr>
        <w:trPr>
          <w:trHeight w:hRule="exact" w:val="240"/>
        </w:trPr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16" w:after="0"/>
              <w:ind w:left="0" w:right="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Tasa Implícita</w:t>
            </w:r>
          </w:p>
        </w:tc>
        <w:tc>
          <w:tcPr>
            <w:tcW w:type="dxa" w:w="1014"/>
            <w:gridSpan w:val="2"/>
            <w:tcBorders>
              <w:end w:sz="7.440000057220459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1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Teórica</w:t>
            </w:r>
          </w:p>
        </w:tc>
        <w:tc>
          <w:tcPr>
            <w:tcW w:type="dxa" w:w="846"/>
            <w:gridSpan w:val="2"/>
            <w:tcBorders>
              <w:start w:sz="7.440000057220459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16" w:after="0"/>
              <w:ind w:left="0" w:right="8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Esperada</w:t>
            </w:r>
          </w:p>
        </w:tc>
        <w:tc>
          <w:tcPr>
            <w:tcW w:type="dxa" w:w="16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16" w:after="0"/>
              <w:ind w:left="0" w:right="70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Observada</w:t>
            </w:r>
          </w:p>
        </w:tc>
        <w:tc>
          <w:tcPr>
            <w:tcW w:type="dxa" w:w="6507"/>
            <w:gridSpan w:val="9"/>
            <w:vMerge/>
            <w:tcBorders>
              <w:top w:sz="4.960000038146973" w:val="single" w:color="#041E42"/>
            </w:tcBorders>
          </w:tcPr>
          <w:p/>
        </w:tc>
      </w:tr>
      <w:tr>
        <w:trPr>
          <w:trHeight w:hRule="exact" w:val="196"/>
        </w:trPr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Última:</w:t>
            </w:r>
          </w:p>
        </w:tc>
        <w:tc>
          <w:tcPr>
            <w:tcW w:type="dxa" w:w="1014"/>
            <w:gridSpan w:val="2"/>
            <w:tcBorders>
              <w:end w:sz="7.440000057220459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00000"/>
                <w:sz w:val="12"/>
              </w:rPr>
              <w:t>7.09%</w:t>
            </w:r>
          </w:p>
        </w:tc>
        <w:tc>
          <w:tcPr>
            <w:tcW w:type="dxa" w:w="846"/>
            <w:gridSpan w:val="2"/>
            <w:tcBorders>
              <w:start w:sz="7.440000057220459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16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00000"/>
                <w:sz w:val="12"/>
              </w:rPr>
              <w:t>5.15%</w:t>
            </w:r>
          </w:p>
        </w:tc>
        <w:tc>
          <w:tcPr>
            <w:tcW w:type="dxa" w:w="16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82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00000"/>
                <w:sz w:val="12"/>
              </w:rPr>
              <w:t>1.57%</w:t>
            </w:r>
          </w:p>
        </w:tc>
        <w:tc>
          <w:tcPr>
            <w:tcW w:type="dxa" w:w="6507"/>
            <w:gridSpan w:val="9"/>
            <w:vMerge/>
            <w:tcBorders>
              <w:top w:sz="4.960000038146973" w:val="single" w:color="#041E42"/>
            </w:tcBorders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5783"/>
        <w:gridCol w:w="5783"/>
      </w:tblGrid>
      <w:tr>
        <w:trPr>
          <w:trHeight w:hRule="exact" w:val="672"/>
        </w:trPr>
        <w:tc>
          <w:tcPr>
            <w:tcW w:type="dxa" w:w="11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572" w:after="0"/>
              <w:ind w:left="0" w:right="318" w:firstLine="0"/>
              <w:jc w:val="righ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LTV PP: Relación del saldo de capital de la deuda respecto al avalúo actual del inmueble como promedio ponderado por el saldo de capital los créditos.</w:t>
            </w:r>
          </w:p>
        </w:tc>
      </w:tr>
      <w:tr>
        <w:trPr>
          <w:trHeight w:hRule="exact" w:val="1796"/>
        </w:trPr>
        <w:tc>
          <w:tcPr>
            <w:tcW w:type="dxa" w:w="5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2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>Participación por Rango de Tasas______________________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.00000000000003" w:type="dxa"/>
            </w:tblPr>
            <w:tblGrid>
              <w:gridCol w:w="5600"/>
            </w:tblGrid>
            <w:tr>
              <w:trPr>
                <w:trHeight w:hRule="exact" w:val="1496"/>
              </w:trPr>
              <w:tc>
                <w:tcPr>
                  <w:tcW w:type="dxa" w:w="5456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6.00000000000001" w:type="dxa"/>
                  </w:tblPr>
                  <w:tblGrid>
                    <w:gridCol w:w="682"/>
                    <w:gridCol w:w="682"/>
                    <w:gridCol w:w="682"/>
                    <w:gridCol w:w="682"/>
                    <w:gridCol w:w="682"/>
                    <w:gridCol w:w="682"/>
                    <w:gridCol w:w="682"/>
                    <w:gridCol w:w="682"/>
                  </w:tblGrid>
                  <w:tr>
                    <w:trPr>
                      <w:trHeight w:hRule="exact" w:val="1012"/>
                    </w:trPr>
                    <w:tc>
                      <w:tcPr>
                        <w:tcW w:type="dxa" w:w="4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8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60.00%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40.00%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20.00%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0.00%</w:t>
                        </w:r>
                      </w:p>
                    </w:tc>
                    <w:tc>
                      <w:tcPr>
                        <w:tcW w:type="dxa" w:w="4760"/>
                        <w:gridSpan w:val="7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06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64.00000000000006" w:type="dxa"/>
                        </w:tblPr>
                        <w:tblGrid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  <w:gridCol w:w="227"/>
                        </w:tblGrid>
                        <w:tr>
                          <w:trPr>
                            <w:trHeight w:hRule="exact" w:val="300"/>
                          </w:trPr>
                          <w:tc>
                            <w:tcPr>
                              <w:tcW w:type="dxa" w:w="4624"/>
                              <w:gridSpan w:val="21"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35"/>
                          </w:trPr>
                          <w:tc>
                            <w:tcPr>
                              <w:tcW w:type="dxa" w:w="142"/>
                              <w:tcBorders>
                                <w:start w:sz="9.920000076293945" w:val="single" w:color="#000000"/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2400000095367432" w:val="single" w:color="#CBCBCB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2400000095367432" w:val="single" w:color="#CBCBCB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7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400000095367432" w:val="single" w:color="#CBCBCB"/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37"/>
                          </w:trPr>
                          <w:tc>
                            <w:tcPr>
                              <w:tcW w:type="dxa" w:w="142"/>
                              <w:tcBorders>
                                <w:start w:sz="9.920000076293945" w:val="single" w:color="#000000"/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start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>
                                <w:start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7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54"/>
                          </w:trPr>
                          <w:tc>
                            <w:tcPr>
                              <w:tcW w:type="dxa" w:w="142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2400000095367432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2400000095367432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9.920000076293945" w:val="single" w:color="#000000"/>
                                <w:bottom w:sz="1.2400000095367432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72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45"/>
                          </w:trPr>
                          <w:tc>
                            <w:tcPr>
                              <w:tcW w:type="dxa" w:w="142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vMerge w:val="restart"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vMerge w:val="restart"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990"/>
                              <w:gridSpan w:val="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38"/>
                          </w:trPr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88"/>
                              <w:vMerge w:val="restart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91"/>
                          </w:trPr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27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60"/>
                          </w:trPr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9.920000076293945" w:val="single" w:color="#000000"/>
                                <w:bottom w:sz="38.399999999999636" w:val="single" w:color="#041E42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27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0"/>
                          </w:trPr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38.399999999999636" w:val="single" w:color="#041E42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27"/>
                              <w:vMerge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27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7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180"/>
                    </w:trPr>
                    <w:tc>
                      <w:tcPr>
                        <w:tcW w:type="dxa" w:w="682"/>
                        <w:vMerge/>
                        <w:tcBorders/>
                      </w:tcPr>
                      <w:p/>
                    </w:tc>
                    <w:tc>
                      <w:tcPr>
                        <w:tcW w:type="dxa" w:w="7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4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&lt;=6%</w:t>
                        </w:r>
                      </w:p>
                    </w:tc>
                    <w:tc>
                      <w:tcPr>
                        <w:tcW w:type="dxa" w:w="6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4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7%</w:t>
                        </w:r>
                      </w:p>
                    </w:tc>
                    <w:tc>
                      <w:tcPr>
                        <w:tcW w:type="dxa" w:w="7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4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8%</w:t>
                        </w:r>
                      </w:p>
                    </w:tc>
                    <w:tc>
                      <w:tcPr>
                        <w:tcW w:type="dxa" w:w="6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40" w:after="0"/>
                          <w:ind w:left="0" w:right="270" w:firstLine="0"/>
                          <w:jc w:val="righ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9%</w:t>
                        </w:r>
                      </w:p>
                    </w:tc>
                    <w:tc>
                      <w:tcPr>
                        <w:tcW w:type="dxa" w:w="6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4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10%</w:t>
                        </w:r>
                      </w:p>
                    </w:tc>
                    <w:tc>
                      <w:tcPr>
                        <w:tcW w:type="dxa" w:w="6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4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11%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4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&gt;=12%</w:t>
                        </w:r>
                      </w:p>
                    </w:tc>
                  </w:tr>
                  <w:tr>
                    <w:trPr>
                      <w:trHeight w:hRule="exact" w:val="140"/>
                    </w:trPr>
                    <w:tc>
                      <w:tcPr>
                        <w:tcW w:type="dxa" w:w="682"/>
                        <w:vMerge/>
                        <w:tcBorders/>
                      </w:tcPr>
                      <w:p/>
                    </w:tc>
                    <w:tc>
                      <w:tcPr>
                        <w:tcW w:type="dxa" w:w="2120"/>
                        <w:gridSpan w:val="3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68" w:lineRule="exact" w:before="32" w:after="0"/>
                          <w:ind w:left="0" w:right="178" w:firstLine="0"/>
                          <w:jc w:val="right"/>
                        </w:pPr>
                        <w:r>
                          <w:rPr>
                            <w:w w:val="98.8799953460693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5"/>
                          </w:rPr>
                          <w:t>Por Cantidad</w:t>
                        </w:r>
                      </w:p>
                    </w:tc>
                    <w:tc>
                      <w:tcPr>
                        <w:tcW w:type="dxa" w:w="2640"/>
                        <w:gridSpan w:val="4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68" w:lineRule="exact" w:before="32" w:after="0"/>
                          <w:ind w:left="386" w:right="0" w:firstLine="0"/>
                          <w:jc w:val="left"/>
                        </w:pPr>
                        <w:r>
                          <w:rPr>
                            <w:w w:val="98.8799953460693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5"/>
                          </w:rPr>
                          <w:t>Por Monto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76" w:after="0"/>
              <w:ind w:left="86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Tasa PP: Tasa promedio ponderada por el saldo de capital de los créditos.</w:t>
            </w:r>
          </w:p>
          <w:p>
            <w:pPr>
              <w:autoSpaceDN w:val="0"/>
              <w:autoSpaceDE w:val="0"/>
              <w:widowControl/>
              <w:spacing w:line="245" w:lineRule="auto" w:before="326" w:after="0"/>
              <w:ind w:left="86" w:right="144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“Titularizadora Colombiana S.A publica el presente documento con un carácter estrictamente informativo para los inversionistas. Aunque la información aquí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contenida ha sido obtenida de fuentes que la compañía considera confiables, Titularizadora Colombiana S.A no garantiza su exactitud. En ningún caso su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contenido se puede considerar como una opinión financiera o legal ni como una recomendación de negocios o de inversión por parte de nuestra compañía. </w:t>
            </w:r>
          </w:p>
          <w:p>
            <w:pPr>
              <w:autoSpaceDN w:val="0"/>
              <w:autoSpaceDE w:val="0"/>
              <w:widowControl/>
              <w:spacing w:line="252" w:lineRule="auto" w:before="32" w:after="0"/>
              <w:ind w:left="86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Tampoco puede ser considerado como una invitación a realizar negocios ni como una oferta para comprar o vender ningún tipo de valor. En ningún caso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Titularizadora Colombiana S.A asume responsabilidad por las decisiones de inversión que se tomen, o el resultado de cualquier operación que se efectúe por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parte de los destinatarios o de terceras personas, sobre la información aquí contenida. Tal responsabilidad es exclusiva de los inversionistas que hagan uso de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ella. Dicha información puede tener variaciones posteriores a la fecha de su publicación razón por la cual Titularizadora Colombiana S.A se reserva el derecho de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modificarla o actualizarla en cualquier tiempo y sin previo aviso.”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1.9999999999999" w:type="dxa"/>
      </w:tblPr>
      <w:tblGrid>
        <w:gridCol w:w="5783"/>
        <w:gridCol w:w="5783"/>
      </w:tblGrid>
      <w:tr>
        <w:trPr>
          <w:trHeight w:hRule="exact" w:val="153"/>
        </w:trPr>
        <w:tc>
          <w:tcPr>
            <w:tcW w:type="dxa" w:w="18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/>
                <w:i w:val="0"/>
                <w:color w:val="041E42"/>
                <w:sz w:val="12"/>
              </w:rPr>
              <w:t>Tasa PP en febrero</w:t>
            </w:r>
          </w:p>
        </w:tc>
        <w:tc>
          <w:tcPr>
            <w:tcW w:type="dxa" w:w="11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/>
                <w:i w:val="0"/>
                <w:color w:val="000000"/>
                <w:sz w:val="12"/>
              </w:rPr>
              <w:t>7.76%</w:t>
            </w:r>
          </w:p>
        </w:tc>
      </w:tr>
      <w:tr>
        <w:trPr>
          <w:trHeight w:hRule="exact" w:val="134"/>
        </w:trPr>
        <w:tc>
          <w:tcPr>
            <w:tcW w:type="dxa" w:w="18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/>
                <w:i w:val="0"/>
                <w:color w:val="041E42"/>
                <w:sz w:val="12"/>
              </w:rPr>
              <w:t>LTV PP en febrero</w:t>
            </w:r>
          </w:p>
        </w:tc>
        <w:tc>
          <w:tcPr>
            <w:tcW w:type="dxa" w:w="11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/>
                <w:i w:val="0"/>
                <w:color w:val="000000"/>
                <w:sz w:val="12"/>
              </w:rPr>
              <w:t>35.69%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18" w:right="26" w:bottom="1184" w:left="31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